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5DED" w14:textId="61190147" w:rsidR="001A2B4A" w:rsidRPr="0011585B" w:rsidRDefault="00A11DD3" w:rsidP="001A2B4A">
      <w:pPr>
        <w:rPr>
          <w:rFonts w:ascii="Arial" w:hAnsi="Arial" w:cs="Arial"/>
          <w:b/>
          <w:kern w:val="0"/>
          <w:sz w:val="32"/>
          <w:szCs w:val="24"/>
          <w:lang w:val="en-US"/>
          <w14:ligatures w14:val="none"/>
        </w:rPr>
      </w:pPr>
      <w:r w:rsidRPr="0011585B">
        <w:rPr>
          <w:rFonts w:ascii="Arial" w:hAnsi="Arial" w:cs="Arial"/>
          <w:b/>
          <w:kern w:val="0"/>
          <w:sz w:val="32"/>
          <w:szCs w:val="24"/>
          <w:lang w:val="en-US"/>
          <w14:ligatures w14:val="none"/>
        </w:rPr>
        <w:t>Supplemental Data</w:t>
      </w:r>
    </w:p>
    <w:p w14:paraId="2D5E9A06" w14:textId="2F07E822" w:rsidR="00263E42" w:rsidRDefault="00263E42" w:rsidP="001A2B4A">
      <w:pPr>
        <w:rPr>
          <w:b/>
          <w:bCs/>
          <w:noProof/>
          <w:sz w:val="32"/>
          <w:szCs w:val="32"/>
          <w:lang w:val="en-US"/>
        </w:rPr>
      </w:pPr>
    </w:p>
    <w:p w14:paraId="65CCB3BF" w14:textId="2C91F0E1" w:rsidR="00263E42" w:rsidRPr="00A11DD3" w:rsidRDefault="00AC203C" w:rsidP="001A2B4A">
      <w:pPr>
        <w:rPr>
          <w:b/>
          <w:bCs/>
          <w:noProof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22F14723" wp14:editId="2C10AA76">
            <wp:extent cx="5905500" cy="2942590"/>
            <wp:effectExtent l="0" t="0" r="0" b="0"/>
            <wp:docPr id="311810737" name="Grafik 2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10737" name="Grafik 2" descr="Ein Bild, das Diagramm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3" t="32333" r="17401" b="18578"/>
                    <a:stretch/>
                  </pic:blipFill>
                  <pic:spPr bwMode="auto">
                    <a:xfrm>
                      <a:off x="0" y="0"/>
                      <a:ext cx="5918266" cy="2948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1FE53" w14:textId="20F0494F" w:rsidR="001A2B4A" w:rsidRDefault="001A2B4A" w:rsidP="001A2B4A">
      <w:pPr>
        <w:rPr>
          <w:b/>
          <w:bCs/>
          <w:noProof/>
          <w:lang w:val="en-US"/>
        </w:rPr>
      </w:pPr>
    </w:p>
    <w:p w14:paraId="72CF4752" w14:textId="72447F16" w:rsidR="0053525C" w:rsidRDefault="001A2B4A" w:rsidP="001A2B4A">
      <w:pPr>
        <w:rPr>
          <w:noProof/>
          <w:lang w:val="en-US"/>
        </w:rPr>
      </w:pPr>
      <w:r w:rsidRPr="001A2B4A">
        <w:rPr>
          <w:b/>
          <w:bCs/>
          <w:noProof/>
          <w:lang w:val="en-US"/>
        </w:rPr>
        <w:t>Supplementary Figure 1:   Cardiovascular mortality and MACE in PAD Patients with Respect to CERT risk groups</w:t>
      </w:r>
      <w:r>
        <w:rPr>
          <w:b/>
          <w:bCs/>
          <w:noProof/>
          <w:lang w:val="en-US"/>
        </w:rPr>
        <w:t xml:space="preserve">. </w:t>
      </w:r>
      <w:r w:rsidRPr="001A2B4A">
        <w:rPr>
          <w:noProof/>
          <w:lang w:val="en-US"/>
        </w:rPr>
        <w:t>Kaplan-Meier estimates of cumulative probabilities of cardiovascular mortality and MACE</w:t>
      </w:r>
      <w:r>
        <w:rPr>
          <w:noProof/>
          <w:lang w:val="en-US"/>
        </w:rPr>
        <w:t xml:space="preserve"> are depicted </w:t>
      </w:r>
      <w:r w:rsidRPr="001A2B4A">
        <w:rPr>
          <w:noProof/>
          <w:lang w:val="en-US"/>
        </w:rPr>
        <w:t xml:space="preserve">according to the four risk groups of CERT. The number of patients at risk </w:t>
      </w:r>
      <w:r w:rsidR="0011585B">
        <w:rPr>
          <w:noProof/>
          <w:lang w:val="en-US"/>
        </w:rPr>
        <w:t>is</w:t>
      </w:r>
      <w:r w:rsidRPr="001A2B4A">
        <w:rPr>
          <w:noProof/>
          <w:lang w:val="en-US"/>
        </w:rPr>
        <w:t xml:space="preserve"> given for each risk group every two years</w:t>
      </w:r>
    </w:p>
    <w:p w14:paraId="1E96DBDD" w14:textId="77777777" w:rsidR="0053525C" w:rsidRDefault="0053525C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44B101C5" w14:textId="6ED2FA5C" w:rsidR="001A2B4A" w:rsidRPr="001A2B4A" w:rsidRDefault="001A2B4A" w:rsidP="001A2B4A">
      <w:pPr>
        <w:rPr>
          <w:noProof/>
          <w:lang w:val="en-US"/>
        </w:rPr>
      </w:pPr>
    </w:p>
    <w:p w14:paraId="387EC132" w14:textId="4D7B6763" w:rsidR="007D0D5A" w:rsidRDefault="007D0D5A">
      <w:pPr>
        <w:rPr>
          <w:lang w:val="en-US"/>
        </w:rPr>
      </w:pPr>
    </w:p>
    <w:p w14:paraId="633073CE" w14:textId="123A17F6" w:rsidR="007D0D5A" w:rsidRDefault="00AC203C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465F6B" wp14:editId="2EF194DD">
            <wp:simplePos x="0" y="0"/>
            <wp:positionH relativeFrom="margin">
              <wp:posOffset>1043305</wp:posOffset>
            </wp:positionH>
            <wp:positionV relativeFrom="paragraph">
              <wp:posOffset>194310</wp:posOffset>
            </wp:positionV>
            <wp:extent cx="3495675" cy="1889760"/>
            <wp:effectExtent l="0" t="0" r="9525" b="0"/>
            <wp:wrapTopAndBottom/>
            <wp:docPr id="3" name="Grafik 3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Diagramm enthält.&#10;&#10;Automatisch generierte Beschreibu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0" t="38801" r="51223" b="27983"/>
                    <a:stretch/>
                  </pic:blipFill>
                  <pic:spPr bwMode="auto">
                    <a:xfrm>
                      <a:off x="0" y="0"/>
                      <a:ext cx="3495675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75284" w14:textId="03024682" w:rsidR="007D0D5A" w:rsidRDefault="007D0D5A">
      <w:pPr>
        <w:rPr>
          <w:lang w:val="en-US"/>
        </w:rPr>
      </w:pPr>
    </w:p>
    <w:p w14:paraId="51D9BF79" w14:textId="4E8566AB" w:rsidR="0053525C" w:rsidRDefault="0053525C" w:rsidP="0053525C">
      <w:pPr>
        <w:rPr>
          <w:noProof/>
          <w:lang w:val="en-US"/>
        </w:rPr>
      </w:pPr>
      <w:r w:rsidRPr="0053525C">
        <w:rPr>
          <w:b/>
          <w:bCs/>
          <w:noProof/>
          <w:lang w:val="en-US"/>
        </w:rPr>
        <w:t>Supplementary Figure 2:   Frequency of CERT risk categories in patients with respect to their pre-baseline treatment status with statins.</w:t>
      </w:r>
      <w:r>
        <w:rPr>
          <w:noProof/>
          <w:lang w:val="en-US"/>
        </w:rPr>
        <w:t xml:space="preserve"> P-value was calculated  according to</w:t>
      </w:r>
      <w:r w:rsidR="00C717A9">
        <w:rPr>
          <w:noProof/>
          <w:lang w:val="en-US"/>
        </w:rPr>
        <w:t xml:space="preserve"> the </w:t>
      </w:r>
      <w:r w:rsidR="00C717A9" w:rsidRPr="00C717A9">
        <w:rPr>
          <w:noProof/>
          <w:lang w:val="en-US"/>
        </w:rPr>
        <w:t>Mantel-Haenszel test of trend</w:t>
      </w:r>
      <w:r>
        <w:rPr>
          <w:noProof/>
          <w:lang w:val="en-US"/>
        </w:rPr>
        <w:t>.</w:t>
      </w:r>
    </w:p>
    <w:p w14:paraId="47C66410" w14:textId="77777777" w:rsidR="004A0795" w:rsidRDefault="004A0795" w:rsidP="004A0795">
      <w:pPr>
        <w:spacing w:line="360" w:lineRule="auto"/>
        <w:jc w:val="both"/>
        <w:rPr>
          <w:rFonts w:cstheme="minorHAnsi"/>
          <w:b/>
          <w:i/>
          <w:lang w:val="en-US"/>
        </w:rPr>
      </w:pPr>
    </w:p>
    <w:p w14:paraId="1F1E5C50" w14:textId="77777777" w:rsidR="004A0795" w:rsidRDefault="004A0795" w:rsidP="004A0795">
      <w:pPr>
        <w:spacing w:line="360" w:lineRule="auto"/>
        <w:jc w:val="both"/>
        <w:rPr>
          <w:rFonts w:cstheme="minorHAnsi"/>
          <w:b/>
          <w:i/>
          <w:lang w:val="en-US"/>
        </w:rPr>
      </w:pPr>
    </w:p>
    <w:p w14:paraId="7C5B75BC" w14:textId="77777777" w:rsidR="004A0795" w:rsidRDefault="004A0795" w:rsidP="004A0795">
      <w:pPr>
        <w:spacing w:line="360" w:lineRule="auto"/>
        <w:jc w:val="both"/>
        <w:rPr>
          <w:rFonts w:cstheme="minorHAnsi"/>
          <w:b/>
          <w:i/>
          <w:lang w:val="en-US"/>
        </w:rPr>
      </w:pPr>
    </w:p>
    <w:p w14:paraId="09655DE8" w14:textId="77777777" w:rsidR="004A0795" w:rsidRDefault="004A0795" w:rsidP="004A0795">
      <w:pPr>
        <w:spacing w:line="360" w:lineRule="auto"/>
        <w:jc w:val="both"/>
        <w:rPr>
          <w:rFonts w:cstheme="minorHAnsi"/>
          <w:b/>
          <w:i/>
          <w:lang w:val="en-US"/>
        </w:rPr>
      </w:pPr>
    </w:p>
    <w:p w14:paraId="2087C1B2" w14:textId="77777777" w:rsidR="004A0795" w:rsidRDefault="004A0795" w:rsidP="004A0795">
      <w:pPr>
        <w:spacing w:line="360" w:lineRule="auto"/>
        <w:jc w:val="both"/>
        <w:rPr>
          <w:rFonts w:cstheme="minorHAnsi"/>
          <w:b/>
          <w:i/>
          <w:lang w:val="en-US"/>
        </w:rPr>
      </w:pPr>
    </w:p>
    <w:p w14:paraId="5E959295" w14:textId="1A466872" w:rsidR="004A0795" w:rsidRPr="008D0DB9" w:rsidRDefault="004A0795" w:rsidP="004A0795">
      <w:pPr>
        <w:spacing w:line="360" w:lineRule="auto"/>
        <w:jc w:val="both"/>
        <w:rPr>
          <w:i/>
          <w:iCs/>
          <w:lang w:val="en-US"/>
        </w:rPr>
      </w:pPr>
      <w:r w:rsidRPr="008D0DB9">
        <w:rPr>
          <w:rFonts w:cstheme="minorHAnsi"/>
          <w:b/>
          <w:i/>
          <w:lang w:val="en-US"/>
        </w:rPr>
        <w:t xml:space="preserve">Supplementary </w:t>
      </w:r>
      <w:r>
        <w:rPr>
          <w:rFonts w:cstheme="minorHAnsi"/>
          <w:b/>
          <w:i/>
          <w:lang w:val="en-US"/>
        </w:rPr>
        <w:t>T</w:t>
      </w:r>
      <w:r w:rsidRPr="008D0DB9">
        <w:rPr>
          <w:rFonts w:cstheme="minorHAnsi"/>
          <w:b/>
          <w:i/>
          <w:lang w:val="en-US"/>
        </w:rPr>
        <w:t xml:space="preserve">able 1. </w:t>
      </w:r>
      <w:r w:rsidRPr="008D0DB9">
        <w:rPr>
          <w:rFonts w:cstheme="minorHAnsi"/>
          <w:b/>
          <w:bCs/>
          <w:i/>
          <w:iCs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3"/>
        <w:gridCol w:w="1822"/>
        <w:gridCol w:w="1842"/>
        <w:gridCol w:w="1275"/>
        <w:gridCol w:w="1840"/>
      </w:tblGrid>
      <w:tr w:rsidR="004A0795" w:rsidRPr="008D0DB9" w14:paraId="472BB0B3" w14:textId="77777777" w:rsidTr="00773B34">
        <w:trPr>
          <w:trHeight w:val="283"/>
        </w:trPr>
        <w:tc>
          <w:tcPr>
            <w:tcW w:w="2283" w:type="dxa"/>
            <w:vAlign w:val="center"/>
          </w:tcPr>
          <w:p w14:paraId="2B25471B" w14:textId="77777777" w:rsidR="004A0795" w:rsidRPr="008D0DB9" w:rsidRDefault="004A0795" w:rsidP="00773B34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8D0D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Ceramides</w:t>
            </w:r>
          </w:p>
        </w:tc>
        <w:tc>
          <w:tcPr>
            <w:tcW w:w="1822" w:type="dxa"/>
            <w:vAlign w:val="center"/>
          </w:tcPr>
          <w:p w14:paraId="50259CA4" w14:textId="77777777" w:rsidR="004A0795" w:rsidRPr="008D0DB9" w:rsidRDefault="004A0795" w:rsidP="00773B34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8D0D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Q1 (M+HCOO)- (m/z)</w:t>
            </w:r>
          </w:p>
        </w:tc>
        <w:tc>
          <w:tcPr>
            <w:tcW w:w="1842" w:type="dxa"/>
            <w:vAlign w:val="center"/>
          </w:tcPr>
          <w:p w14:paraId="4DF72482" w14:textId="77777777" w:rsidR="004A0795" w:rsidRPr="008D0DB9" w:rsidRDefault="004A0795" w:rsidP="00773B34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8D0D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Q1 (M+HCOO)- (m/z)</w:t>
            </w:r>
          </w:p>
        </w:tc>
        <w:tc>
          <w:tcPr>
            <w:tcW w:w="1275" w:type="dxa"/>
            <w:vAlign w:val="center"/>
          </w:tcPr>
          <w:p w14:paraId="1D405C68" w14:textId="77777777" w:rsidR="004A0795" w:rsidRPr="008D0DB9" w:rsidRDefault="004A0795" w:rsidP="00773B34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8D0D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Collision energy</w:t>
            </w:r>
          </w:p>
        </w:tc>
        <w:tc>
          <w:tcPr>
            <w:tcW w:w="1840" w:type="dxa"/>
            <w:vAlign w:val="center"/>
          </w:tcPr>
          <w:p w14:paraId="4925B8B4" w14:textId="77777777" w:rsidR="004A0795" w:rsidRPr="008D0DB9" w:rsidRDefault="004A0795" w:rsidP="00773B34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8D0DB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Internal standard</w:t>
            </w:r>
          </w:p>
        </w:tc>
      </w:tr>
      <w:tr w:rsidR="004A0795" w:rsidRPr="008D0DB9" w14:paraId="33611CB0" w14:textId="77777777" w:rsidTr="00773B34">
        <w:trPr>
          <w:trHeight w:val="283"/>
        </w:trPr>
        <w:tc>
          <w:tcPr>
            <w:tcW w:w="2283" w:type="dxa"/>
            <w:vAlign w:val="center"/>
          </w:tcPr>
          <w:p w14:paraId="72269EA9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18:1/16:0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BF37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538.5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8AB5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264.25</w:t>
            </w:r>
          </w:p>
        </w:tc>
        <w:tc>
          <w:tcPr>
            <w:tcW w:w="1275" w:type="dxa"/>
            <w:vAlign w:val="center"/>
          </w:tcPr>
          <w:p w14:paraId="3DA3008B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40</w:t>
            </w:r>
          </w:p>
        </w:tc>
        <w:tc>
          <w:tcPr>
            <w:tcW w:w="1840" w:type="dxa"/>
            <w:vAlign w:val="center"/>
          </w:tcPr>
          <w:p w14:paraId="3158B694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18:1/16:0 – d4</w:t>
            </w:r>
          </w:p>
        </w:tc>
      </w:tr>
      <w:tr w:rsidR="004A0795" w:rsidRPr="008D0DB9" w14:paraId="75BF5200" w14:textId="77777777" w:rsidTr="00773B34">
        <w:trPr>
          <w:trHeight w:val="283"/>
        </w:trPr>
        <w:tc>
          <w:tcPr>
            <w:tcW w:w="2283" w:type="dxa"/>
            <w:vAlign w:val="center"/>
          </w:tcPr>
          <w:p w14:paraId="2F966C5F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18:1/18:0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996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566.5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C77F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264.25</w:t>
            </w:r>
          </w:p>
        </w:tc>
        <w:tc>
          <w:tcPr>
            <w:tcW w:w="1275" w:type="dxa"/>
            <w:vAlign w:val="center"/>
          </w:tcPr>
          <w:p w14:paraId="1CE14255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40</w:t>
            </w:r>
          </w:p>
        </w:tc>
        <w:tc>
          <w:tcPr>
            <w:tcW w:w="1840" w:type="dxa"/>
            <w:vAlign w:val="center"/>
          </w:tcPr>
          <w:p w14:paraId="08BA7FA3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18:1/18:0 – d4</w:t>
            </w:r>
          </w:p>
        </w:tc>
      </w:tr>
      <w:tr w:rsidR="004A0795" w:rsidRPr="008D0DB9" w14:paraId="2491A98E" w14:textId="77777777" w:rsidTr="00773B34">
        <w:trPr>
          <w:trHeight w:val="283"/>
        </w:trPr>
        <w:tc>
          <w:tcPr>
            <w:tcW w:w="2283" w:type="dxa"/>
            <w:vAlign w:val="center"/>
          </w:tcPr>
          <w:p w14:paraId="47B9B645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18:1/24:0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610A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650.6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CA9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264.25</w:t>
            </w:r>
          </w:p>
        </w:tc>
        <w:tc>
          <w:tcPr>
            <w:tcW w:w="1275" w:type="dxa"/>
            <w:vAlign w:val="center"/>
          </w:tcPr>
          <w:p w14:paraId="7C9DE291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40</w:t>
            </w:r>
          </w:p>
        </w:tc>
        <w:tc>
          <w:tcPr>
            <w:tcW w:w="1840" w:type="dxa"/>
            <w:vAlign w:val="center"/>
          </w:tcPr>
          <w:p w14:paraId="5009D733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18:1/24:0 – d4</w:t>
            </w:r>
          </w:p>
        </w:tc>
      </w:tr>
      <w:tr w:rsidR="004A0795" w:rsidRPr="008D0DB9" w14:paraId="38708039" w14:textId="77777777" w:rsidTr="00773B34">
        <w:trPr>
          <w:trHeight w:val="283"/>
        </w:trPr>
        <w:tc>
          <w:tcPr>
            <w:tcW w:w="2283" w:type="dxa"/>
            <w:vAlign w:val="center"/>
          </w:tcPr>
          <w:p w14:paraId="032260E4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18:1/24:1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B610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648.6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563C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264.25</w:t>
            </w:r>
          </w:p>
        </w:tc>
        <w:tc>
          <w:tcPr>
            <w:tcW w:w="1275" w:type="dxa"/>
            <w:vAlign w:val="center"/>
          </w:tcPr>
          <w:p w14:paraId="525D2525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40</w:t>
            </w:r>
          </w:p>
        </w:tc>
        <w:tc>
          <w:tcPr>
            <w:tcW w:w="1840" w:type="dxa"/>
            <w:vAlign w:val="center"/>
          </w:tcPr>
          <w:p w14:paraId="5A66E51D" w14:textId="77777777" w:rsidR="004A0795" w:rsidRPr="008D0DB9" w:rsidRDefault="004A0795" w:rsidP="00773B34">
            <w:pPr>
              <w:spacing w:line="180" w:lineRule="exact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D0DB9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18:1/24:1 – d4</w:t>
            </w:r>
          </w:p>
        </w:tc>
      </w:tr>
    </w:tbl>
    <w:p w14:paraId="418F8CDD" w14:textId="77777777" w:rsidR="004A0795" w:rsidRPr="008D0DB9" w:rsidRDefault="004A0795" w:rsidP="004A0795">
      <w:pPr>
        <w:spacing w:line="360" w:lineRule="auto"/>
        <w:jc w:val="both"/>
        <w:rPr>
          <w:b/>
          <w:lang w:val="en-US"/>
        </w:rPr>
      </w:pPr>
    </w:p>
    <w:p w14:paraId="3B1BC31E" w14:textId="43C500F5" w:rsidR="004A0795" w:rsidRPr="004A0795" w:rsidRDefault="004A0795" w:rsidP="004A0795">
      <w:pPr>
        <w:spacing w:line="360" w:lineRule="auto"/>
        <w:jc w:val="both"/>
        <w:rPr>
          <w:b/>
          <w:bCs/>
          <w:noProof/>
          <w:lang w:val="en-US"/>
        </w:rPr>
      </w:pPr>
      <w:r w:rsidRPr="004A0795">
        <w:rPr>
          <w:b/>
          <w:bCs/>
          <w:noProof/>
          <w:lang w:val="en-US"/>
        </w:rPr>
        <w:t>Lipids and their respective ions used in the study.</w:t>
      </w:r>
    </w:p>
    <w:p w14:paraId="10CACC74" w14:textId="7E7D8340" w:rsidR="0053525C" w:rsidRDefault="0053525C">
      <w:pPr>
        <w:rPr>
          <w:noProof/>
          <w:lang w:val="en-US"/>
        </w:rPr>
      </w:pPr>
    </w:p>
    <w:sectPr w:rsidR="00535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NTEwMDSyMLA0MjJS0lEKTi0uzszPAykwqwUAMhWndywAAAA="/>
  </w:docVars>
  <w:rsids>
    <w:rsidRoot w:val="001A2B4A"/>
    <w:rsid w:val="0011585B"/>
    <w:rsid w:val="001227DD"/>
    <w:rsid w:val="0017093F"/>
    <w:rsid w:val="001A2B4A"/>
    <w:rsid w:val="001D1371"/>
    <w:rsid w:val="00246135"/>
    <w:rsid w:val="00263E42"/>
    <w:rsid w:val="004A0795"/>
    <w:rsid w:val="0053525C"/>
    <w:rsid w:val="0060440E"/>
    <w:rsid w:val="007D0D5A"/>
    <w:rsid w:val="007D3008"/>
    <w:rsid w:val="008E0B63"/>
    <w:rsid w:val="009248F0"/>
    <w:rsid w:val="00957592"/>
    <w:rsid w:val="009712F8"/>
    <w:rsid w:val="009A5E14"/>
    <w:rsid w:val="00A11DD3"/>
    <w:rsid w:val="00AC203C"/>
    <w:rsid w:val="00AD3012"/>
    <w:rsid w:val="00BD1FD2"/>
    <w:rsid w:val="00C64102"/>
    <w:rsid w:val="00C717A9"/>
    <w:rsid w:val="00C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11B7"/>
  <w15:chartTrackingRefBased/>
  <w15:docId w15:val="{AC7E104B-2B5B-420C-B21C-7543B0D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A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7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4A0795"/>
    <w:pPr>
      <w:spacing w:after="0" w:line="240" w:lineRule="auto"/>
      <w:contextualSpacing/>
      <w:jc w:val="both"/>
    </w:pPr>
    <w:rPr>
      <w:rFonts w:ascii="Times New Roman" w:hAnsi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776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Leiherer</dc:creator>
  <cp:keywords/>
  <dc:description/>
  <cp:lastModifiedBy>Andreas Leiherer</cp:lastModifiedBy>
  <cp:revision>3</cp:revision>
  <dcterms:created xsi:type="dcterms:W3CDTF">2023-05-30T08:40:00Z</dcterms:created>
  <dcterms:modified xsi:type="dcterms:W3CDTF">2023-07-26T09:06:00Z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764f8b1d82c43a282f4228595d8d3dd9474e03a974de74429aee1fef7cbe7542</vt:lpwstr>
  </property>
</Properties>
</file>