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8772" w14:textId="77777777" w:rsidR="00BF67FA" w:rsidRPr="00B37A11" w:rsidRDefault="00527E3C" w:rsidP="00527E3C">
      <w:pPr>
        <w:jc w:val="center"/>
        <w:rPr>
          <w:b/>
          <w:lang w:val="en-US"/>
        </w:rPr>
      </w:pPr>
      <w:r w:rsidRPr="00B37A11">
        <w:rPr>
          <w:b/>
          <w:lang w:val="en-US"/>
        </w:rPr>
        <w:t>SUPPLEMENTARY MATERIALS</w:t>
      </w:r>
    </w:p>
    <w:p w14:paraId="03F0EA99" w14:textId="28B4965F" w:rsidR="00F8743A" w:rsidRDefault="00E708B9" w:rsidP="00F8743A">
      <w:pPr>
        <w:rPr>
          <w:b/>
          <w:lang w:val="en-US"/>
        </w:rPr>
      </w:pPr>
      <w:r>
        <w:rPr>
          <w:b/>
          <w:lang w:val="en-US"/>
        </w:rPr>
        <w:t>TABLE</w:t>
      </w:r>
    </w:p>
    <w:p w14:paraId="79ADACFF" w14:textId="51779E4C" w:rsidR="00E20EB7" w:rsidRPr="001F0ED2" w:rsidRDefault="00E20EB7" w:rsidP="00F8743A">
      <w:pPr>
        <w:rPr>
          <w:sz w:val="20"/>
          <w:szCs w:val="20"/>
          <w:lang w:val="en-US"/>
        </w:rPr>
      </w:pPr>
      <w:r w:rsidRPr="00F22124">
        <w:rPr>
          <w:b/>
          <w:smallCaps/>
          <w:sz w:val="20"/>
          <w:lang w:val="en-US"/>
        </w:rPr>
        <w:t xml:space="preserve">Table </w:t>
      </w:r>
      <w:r>
        <w:rPr>
          <w:b/>
          <w:smallCaps/>
          <w:sz w:val="20"/>
          <w:lang w:val="en-US"/>
        </w:rPr>
        <w:t>S1</w:t>
      </w:r>
      <w:r w:rsidRPr="00B76496">
        <w:rPr>
          <w:b/>
          <w:smallCaps/>
          <w:sz w:val="20"/>
          <w:szCs w:val="20"/>
          <w:lang w:val="en-US"/>
        </w:rPr>
        <w:t>.</w:t>
      </w:r>
      <w:r w:rsidR="001F0ED2">
        <w:rPr>
          <w:b/>
          <w:smallCaps/>
          <w:sz w:val="20"/>
          <w:szCs w:val="20"/>
          <w:lang w:val="en-US"/>
        </w:rPr>
        <w:t xml:space="preserve"> </w:t>
      </w:r>
      <w:r w:rsidR="001F0ED2">
        <w:rPr>
          <w:sz w:val="20"/>
          <w:szCs w:val="20"/>
          <w:lang w:val="en-US"/>
        </w:rPr>
        <w:t>Patient characteristics by thrombin generation testing status</w:t>
      </w:r>
      <w:r w:rsidR="006A379B">
        <w:rPr>
          <w:sz w:val="20"/>
          <w:szCs w:val="20"/>
          <w:lang w:val="en-US"/>
        </w:rPr>
        <w:t xml:space="preserve"> one year after index venous thromboembolism (VTE)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1559"/>
        <w:gridCol w:w="1560"/>
        <w:gridCol w:w="1134"/>
      </w:tblGrid>
      <w:tr w:rsidR="004462E3" w:rsidRPr="001F585C" w14:paraId="7B5663A0" w14:textId="77777777" w:rsidTr="004462E3">
        <w:trPr>
          <w:trHeight w:val="406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D674F82" w14:textId="765C3FA8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AD2EBE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Characteristic*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87E766" w14:textId="1E9392A6" w:rsidR="004462E3" w:rsidRPr="007E040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All</w:t>
            </w:r>
            <w:r w:rsidRPr="007E040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n (%) or median (IQ-range)</w:t>
            </w:r>
          </w:p>
          <w:p w14:paraId="1F61F423" w14:textId="75C4FD55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D15F41" w14:textId="77777777" w:rsidR="004462E3" w:rsidRPr="007E040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7E040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Tested</w:t>
            </w:r>
          </w:p>
          <w:p w14:paraId="0BDFA840" w14:textId="17402A31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n (%) or median (IQ-range)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5C8EC" w14:textId="77777777" w:rsidR="004462E3" w:rsidRPr="007E040C" w:rsidRDefault="004462E3" w:rsidP="001F585C">
            <w:pPr>
              <w:spacing w:after="0" w:line="240" w:lineRule="auto"/>
              <w:ind w:right="-491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7E040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Untested</w:t>
            </w:r>
          </w:p>
          <w:p w14:paraId="1E46684F" w14:textId="5069DB3A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n (%) or median (IQ-range)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6378B" w14:textId="77777777" w:rsidR="004462E3" w:rsidRPr="007E040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7E040C">
              <w:rPr>
                <w:rFonts w:eastAsia="Times New Roman" w:cs="Arial"/>
                <w:b/>
                <w:i/>
                <w:sz w:val="20"/>
                <w:szCs w:val="20"/>
                <w:lang w:eastAsia="de-CH"/>
              </w:rPr>
              <w:t>P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-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value</w:t>
            </w:r>
            <w:proofErr w:type="spellEnd"/>
          </w:p>
          <w:p w14:paraId="0E1C5600" w14:textId="219DBDB8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</w:t>
            </w:r>
          </w:p>
        </w:tc>
      </w:tr>
      <w:tr w:rsidR="004462E3" w:rsidRPr="001F585C" w14:paraId="48A18ACD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8D747B4" w14:textId="256A7BC3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Total </w:t>
            </w:r>
            <w:proofErr w:type="spellStart"/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>number</w:t>
            </w:r>
            <w:proofErr w:type="spellEnd"/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>of</w:t>
            </w:r>
            <w:proofErr w:type="spellEnd"/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AD2EBE">
              <w:rPr>
                <w:rFonts w:eastAsia="Times New Roman" w:cs="Arial"/>
                <w:b/>
                <w:sz w:val="20"/>
                <w:szCs w:val="20"/>
                <w:lang w:eastAsia="de-CH"/>
              </w:rPr>
              <w:t>patients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E6B083" w14:textId="0DCB18BC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E6F8E" w14:textId="7D943AD4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>565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DA4585" w14:textId="2A13AF7F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9DC3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4D6C237C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856A8B2" w14:textId="1FB7BC94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Patient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age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(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years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92A6C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75.0   (69.0;   81.0)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512B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74.0   (69.0;   79.0)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B919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76.0   (71.0;   83.0)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DB7B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&lt;0.001 </w:t>
            </w:r>
          </w:p>
        </w:tc>
      </w:tr>
      <w:tr w:rsidR="004462E3" w:rsidRPr="001F585C" w14:paraId="780C507B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89A37DE" w14:textId="6ABF6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Female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sex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5E281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466 (47%)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528D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239 (42%)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D81B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227 (53%)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57A9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0.001 </w:t>
            </w:r>
          </w:p>
        </w:tc>
      </w:tr>
      <w:tr w:rsidR="004462E3" w:rsidRPr="001F585C" w14:paraId="6861851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B78739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Index VTE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event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F68FA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24E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EBF6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2324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0.788 </w:t>
            </w:r>
          </w:p>
        </w:tc>
      </w:tr>
      <w:tr w:rsidR="004462E3" w:rsidRPr="001F585C" w14:paraId="7CCBA48D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03BA3A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PE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only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018DB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553 (56%)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675B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317 (56%)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F5D6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236 (55%)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EA76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5FDB03B0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B74AF8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DVT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only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7DD27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307 (31%)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0CB1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175 (31%)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C2EB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132 (31%)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8D18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129EA495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029559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PE and DVT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C4ABA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135 (14%)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B5D4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73 (13%)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36144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62 (14%)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4DD6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5208E972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B1CAEDC" w14:textId="09EDE715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Index DVT type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6D19B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1768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DC1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954F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0.014 </w:t>
            </w:r>
          </w:p>
        </w:tc>
      </w:tr>
      <w:tr w:rsidR="004462E3" w:rsidRPr="001F585C" w14:paraId="1FB3AF7B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AF0A24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proximal DVT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only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8DDB1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197 (20%)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1B4A7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101 (18%)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47EC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96 (22%)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0D0C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46F60BB8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B5FB65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distal DVT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only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E3B58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109 (11%)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6AD5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58 (10%)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3D0A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51 (12%)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82A1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3925454B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82C7F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proximal and distal DVT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2887D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134 (13%)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0533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89 (16%)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463F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45 (10%)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B69B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1DC6EF7F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2A1284" w14:textId="18C7E2E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Type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of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index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1504E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9FF8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D210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8155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&lt;0.001 </w:t>
            </w:r>
          </w:p>
        </w:tc>
      </w:tr>
      <w:tr w:rsidR="004462E3" w:rsidRPr="001F585C" w14:paraId="4292BF63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3DEAEE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cancer-related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E8D6F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179 (18%)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BB61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64 (11%)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D593E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115 (27%)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8E9C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2BC1BD6F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2C521F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provoked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index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B3E06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215 (22%)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3F48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114 (20%)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8D29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101 (23%)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37B6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3E3ECC96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28D26A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unprovoked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index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110B5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599 (60%)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D02A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387 (68%)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C097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212 (49%)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45F5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4462E3" w:rsidRPr="001F585C" w14:paraId="1DEC541A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A3B720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Current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oestrogen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therapy during the last 3 months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935B9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32  (3%)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D041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19  (3%)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309E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13  (3%)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0909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0.857 </w:t>
            </w:r>
          </w:p>
        </w:tc>
      </w:tr>
      <w:tr w:rsidR="004462E3" w:rsidRPr="001F585C" w14:paraId="32449356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E6328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Immobilization during the last 3 months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19C73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219 (22%)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D051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96 (17%)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A0BD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123 (29%)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51CE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&lt;0.001 </w:t>
            </w:r>
          </w:p>
        </w:tc>
      </w:tr>
      <w:tr w:rsidR="004462E3" w:rsidRPr="001F585C" w14:paraId="77801384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BD50A8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Major surgery during the last 3 months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01D76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150 (15%)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155A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81 (14%)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2F82D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69 (16%)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C561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0.474 </w:t>
            </w:r>
          </w:p>
        </w:tc>
      </w:tr>
      <w:tr w:rsidR="004462E3" w:rsidRPr="001F585C" w14:paraId="32453280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779978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Prior VTE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B7EBF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283 (28%)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E34FB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172 (30%)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6378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111 (26%)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C651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0.136 </w:t>
            </w:r>
          </w:p>
        </w:tc>
      </w:tr>
      <w:tr w:rsidR="004462E3" w:rsidRPr="001F585C" w14:paraId="7AD9F690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3AF1CE9" w14:textId="4759752A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PTS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F4EA4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503 (51%)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C017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295 (52%)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0954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208 (48%)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CCD3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0.299 </w:t>
            </w:r>
          </w:p>
        </w:tc>
      </w:tr>
      <w:tr w:rsidR="004462E3" w:rsidRPr="001F585C" w14:paraId="529840FA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6D4F7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History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of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major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bleeding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2BFAE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101 (10%)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56AF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44  (8%)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4CFD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57 (13%)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704C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0.006 </w:t>
            </w:r>
          </w:p>
        </w:tc>
      </w:tr>
      <w:tr w:rsidR="004462E3" w:rsidRPr="001F585C" w14:paraId="77AABCC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601AB6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Chronic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liver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disease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19B25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14  (1%)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C5DB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8  (1%)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538A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 6  (1%)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A8D4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1.000 </w:t>
            </w:r>
          </w:p>
        </w:tc>
      </w:tr>
      <w:tr w:rsidR="004462E3" w:rsidRPr="001F585C" w14:paraId="10731C1E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C1906D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Chronic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renal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disease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2768C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185 (19%)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A6C1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101 (18%)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155C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84 (20%)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42EE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0.511 </w:t>
            </w:r>
          </w:p>
        </w:tc>
      </w:tr>
      <w:tr w:rsidR="004462E3" w:rsidRPr="001F585C" w14:paraId="34C50A1A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B0A6E3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Chronic or acute heart failure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31DF4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115 (12%)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ECD2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67 (12%)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222E4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48 (11%)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57E0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0.765 </w:t>
            </w:r>
          </w:p>
        </w:tc>
      </w:tr>
      <w:tr w:rsidR="004462E3" w:rsidRPr="001F585C" w14:paraId="5B1B9A62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621624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Cerebrovascular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disease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(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stroke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, TIA)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C35D8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92  (9%)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734C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44  (8%)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03CA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48 (11%)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40A1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0.077 </w:t>
            </w:r>
          </w:p>
        </w:tc>
      </w:tr>
      <w:tr w:rsidR="004462E3" w:rsidRPr="001F585C" w14:paraId="2C503DD0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CFE776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Diabetes mellitus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3736B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155 (16%)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A8F8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89 (16%)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001D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66 (15%)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41F0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0.930 </w:t>
            </w:r>
          </w:p>
        </w:tc>
      </w:tr>
      <w:tr w:rsidR="004462E3" w:rsidRPr="001F585C" w14:paraId="684D1BDA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D601CB9" w14:textId="45F14FC0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BMI &gt;30 kg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</w:t>
            </w:r>
            <w:r w:rsidRPr="004462E3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-</w:t>
            </w:r>
            <w:r w:rsidRPr="001F585C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2</w:t>
            </w:r>
            <w:r w:rsidRPr="00B25F05"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3A95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238 (24%)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A688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141 (25%)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9ABC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97 (23%)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F16B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0.499 </w:t>
            </w:r>
          </w:p>
        </w:tc>
      </w:tr>
      <w:tr w:rsidR="004462E3" w:rsidRPr="001F585C" w14:paraId="2FDC32DC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325B0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High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risk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of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fall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DA02E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457 (46%)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EA4D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238 (42%)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F6EA8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219 (51%)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F304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0.004 </w:t>
            </w:r>
          </w:p>
        </w:tc>
      </w:tr>
      <w:tr w:rsidR="004462E3" w:rsidRPr="001F585C" w14:paraId="5A8931B6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D97EDE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Acute rheumatic disease during the last 3 months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8E717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32  (3%)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2AA3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18  (3%)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888E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14  (3%)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8AAA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1.000 </w:t>
            </w:r>
          </w:p>
        </w:tc>
      </w:tr>
      <w:tr w:rsidR="004462E3" w:rsidRPr="001F585C" w14:paraId="6A777956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450AA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Inflammatory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bowel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disease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B5917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32  (3%)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A46F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19  (3%)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A054A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13  (3%)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D7BD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0.857 </w:t>
            </w:r>
          </w:p>
        </w:tc>
      </w:tr>
      <w:tr w:rsidR="004462E3" w:rsidRPr="001F585C" w14:paraId="6232B3E6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476CD0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Severe infection or sepsis during the last 3 months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A572B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83  (8%)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2FC90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47  (8%)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EE70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36  (8%)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101A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1.000 </w:t>
            </w:r>
          </w:p>
        </w:tc>
      </w:tr>
      <w:tr w:rsidR="004462E3" w:rsidRPr="001F585C" w14:paraId="1377ABB1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E2C7072" w14:textId="6D3E0103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lastRenderedPageBreak/>
              <w:t>Anemia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E2A2D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389 (39%)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E4C1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189 (33%)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96EA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200 (47%)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7299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&lt;0.001 </w:t>
            </w:r>
          </w:p>
        </w:tc>
      </w:tr>
      <w:tr w:rsidR="004462E3" w:rsidRPr="001F585C" w14:paraId="20750D63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026D01" w14:textId="558D5CE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Platelet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count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&lt;150 G L</w:t>
            </w:r>
            <w:r w:rsidRPr="004462E3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-1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1CB90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140 (14%)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3DA9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79 (14%)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16063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61 (14%)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9FFC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1.000 </w:t>
            </w:r>
          </w:p>
        </w:tc>
      </w:tr>
      <w:tr w:rsidR="004462E3" w:rsidRPr="001F585C" w14:paraId="0AE9505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58F400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Concomitant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antiplatelet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therapy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98BED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322 (32%)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EE81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177 (31%)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AC95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145 (34%)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A182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0.412 </w:t>
            </w:r>
          </w:p>
        </w:tc>
      </w:tr>
      <w:tr w:rsidR="004462E3" w:rsidRPr="001F585C" w14:paraId="317B0AB3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3BBE22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Concomitant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antiplatelet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/NSAID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therapy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DF2BF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381 (38%)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64EA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207 (37%)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3ADF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174 (40%)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6968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0.211 </w:t>
            </w:r>
          </w:p>
        </w:tc>
      </w:tr>
      <w:tr w:rsidR="004462E3" w:rsidRPr="001F585C" w14:paraId="0A301130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8564A8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Arterial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hypertension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75B3D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640 (64%)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0618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365 (65%)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A0A2E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275 (64%)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5440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0.947 </w:t>
            </w:r>
          </w:p>
        </w:tc>
      </w:tr>
      <w:tr w:rsidR="004462E3" w:rsidRPr="001F585C" w14:paraId="0433E9A2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101133" w14:textId="580E0C88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Heart rate 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≥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110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beats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min</w:t>
            </w:r>
            <w:r w:rsidRPr="004462E3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-1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70C0E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88  (9%)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A571C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47  (8%)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9BB0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41 (10%)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9B59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0.573 </w:t>
            </w:r>
          </w:p>
        </w:tc>
      </w:tr>
      <w:tr w:rsidR="004462E3" w:rsidRPr="001F585C" w14:paraId="5B9E8A0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6969EF4" w14:textId="7B89AF2A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Systolic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BP &lt;100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mmHg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5CE2D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35  (4%)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6B4A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12  (2%)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D828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23  (5%)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615D1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0.009 </w:t>
            </w:r>
          </w:p>
        </w:tc>
      </w:tr>
      <w:tr w:rsidR="004462E3" w:rsidRPr="001F585C" w14:paraId="3F5DAA2F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C22205B" w14:textId="6F5D5E4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Respiratory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rate 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≥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30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min</w:t>
            </w:r>
            <w:r w:rsidRPr="004462E3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-1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403FE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33  (3%)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FD8F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15  (3%)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3F63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18  (4%)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97E7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0.291 </w:t>
            </w:r>
          </w:p>
        </w:tc>
      </w:tr>
      <w:tr w:rsidR="004462E3" w:rsidRPr="001F585C" w14:paraId="0BB694ED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756A006" w14:textId="6BF7C42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Temperature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&lt;36C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CH"/>
              </w:rPr>
              <w:t>°*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45CAF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70  (7%)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835D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36  (6%)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5E68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34  (8%)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97AB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0.379 </w:t>
            </w:r>
          </w:p>
        </w:tc>
      </w:tr>
      <w:tr w:rsidR="004462E3" w:rsidRPr="001F585C" w14:paraId="4A8BC593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67C0D54" w14:textId="4316ED5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Arterial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oxygen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saturation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&lt;90%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18496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107 (11%)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5A27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54 (10%)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61D66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53 (12%)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2A30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0.141 </w:t>
            </w:r>
          </w:p>
        </w:tc>
      </w:tr>
      <w:tr w:rsidR="004462E3" w:rsidRPr="001F585C" w14:paraId="01AC4A29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F278738" w14:textId="1B2DFDA4" w:rsidR="004462E3" w:rsidRPr="000E76D4" w:rsidRDefault="004462E3" w:rsidP="0045742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0E76D4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D-dimer at the time of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</w:t>
            </w:r>
            <w:r w:rsidRPr="000E76D4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the index VTE*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7B61F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0E76D4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>2507.0 (1579.3; 3811.3)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AD717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2482.0 (1599.0; 3757.0)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A5F5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2615.0 (1548.0; 3993.0)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7E86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0.427 </w:t>
            </w:r>
          </w:p>
        </w:tc>
      </w:tr>
      <w:tr w:rsidR="004462E3" w:rsidRPr="001F585C" w14:paraId="617BBEC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9A5C0AA" w14:textId="7FA73824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Factor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VIII &gt;164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%*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DD1552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573 (58%)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87DA4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345 (61%)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DE0C8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228 (53%)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556B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0.884 </w:t>
            </w:r>
          </w:p>
        </w:tc>
      </w:tr>
      <w:tr w:rsidR="004462E3" w:rsidRPr="001F585C" w14:paraId="23C77E9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352C204" w14:textId="5F9411C3" w:rsidR="004462E3" w:rsidRPr="001F585C" w:rsidRDefault="004462E3" w:rsidP="00B7748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Factor IX &gt;134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% (females)</w:t>
            </w: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&gt;138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% (males*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E9F89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157 (16%)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3346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90 (16%)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DB15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67 (16%)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8A48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0.417 </w:t>
            </w:r>
          </w:p>
        </w:tc>
      </w:tr>
      <w:tr w:rsidR="004462E3" w:rsidRPr="001F585C" w14:paraId="360DDD6B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503322" w14:textId="1250A1EE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Factor XI &gt;139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% (females)</w:t>
            </w: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&gt;138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% (males)*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C675BF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96 (10%)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FE46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56 (10%)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ADA6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40  (9%)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8783C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0.660 </w:t>
            </w:r>
          </w:p>
        </w:tc>
      </w:tr>
      <w:tr w:rsidR="004462E3" w:rsidRPr="001F585C" w14:paraId="76B17793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CF411C9" w14:textId="60BC749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Fibrinogen</w:t>
            </w:r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&gt;4.2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g L</w:t>
            </w:r>
            <w:r w:rsidRPr="000E76D4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CH"/>
              </w:rPr>
              <w:t>-1</w:t>
            </w:r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5B238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511 (51%)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F1E9B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307 (54%)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5E00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204 (47%)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F229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0.832 </w:t>
            </w:r>
          </w:p>
        </w:tc>
      </w:tr>
      <w:tr w:rsidR="004462E3" w:rsidRPr="001F585C" w14:paraId="4303A25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453605" w14:textId="76D51A64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CH"/>
              </w:rPr>
            </w:pP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Factor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 V Leiden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mutation</w:t>
            </w:r>
            <w:proofErr w:type="spellEnd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 xml:space="preserve">, </w:t>
            </w:r>
            <w:proofErr w:type="spellStart"/>
            <w:r w:rsidRPr="001F585C">
              <w:rPr>
                <w:rFonts w:eastAsia="Times New Roman" w:cs="Arial"/>
                <w:b/>
                <w:sz w:val="20"/>
                <w:szCs w:val="20"/>
                <w:lang w:eastAsia="de-CH"/>
              </w:rPr>
              <w:t>present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361BC9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82  (8%)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4A9D0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54 (10%)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36874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28  (7%)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B0673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0.343 </w:t>
            </w:r>
          </w:p>
        </w:tc>
      </w:tr>
      <w:tr w:rsidR="004462E3" w:rsidRPr="001F585C" w14:paraId="4CCCB9DE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77BE31" w14:textId="5FBA88AB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F585C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Factor II G20210A mutation, present</w:t>
            </w:r>
            <w:r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*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C84EC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val="en-US" w:eastAsia="de-CH"/>
              </w:rPr>
              <w:t xml:space="preserve">         </w:t>
            </w: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49  (5%)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3984A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32  (6%)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7620ED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        17  (4%)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A2055" w14:textId="77777777" w:rsidR="004462E3" w:rsidRPr="001F585C" w:rsidRDefault="004462E3" w:rsidP="001F58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F585C">
              <w:rPr>
                <w:rFonts w:eastAsia="Times New Roman" w:cs="Arial"/>
                <w:sz w:val="20"/>
                <w:szCs w:val="20"/>
                <w:lang w:eastAsia="de-CH"/>
              </w:rPr>
              <w:t xml:space="preserve"> 0.549 </w:t>
            </w:r>
          </w:p>
        </w:tc>
      </w:tr>
      <w:tr w:rsidR="004462E3" w:rsidRPr="001B46D0" w14:paraId="5EB45627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</w:tcPr>
          <w:p w14:paraId="48694E36" w14:textId="4481D76E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B46D0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Overall anticoagulation duration</w:t>
            </w:r>
            <w:r w:rsidR="007C3EF7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(days)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AEA5B9E" w14:textId="35F57ED6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 w:rsidRPr="001B46D0">
              <w:rPr>
                <w:rFonts w:eastAsia="Times New Roman" w:cs="Arial"/>
                <w:sz w:val="20"/>
                <w:szCs w:val="20"/>
                <w:lang w:val="en-US" w:eastAsia="de-CH"/>
              </w:rPr>
              <w:t>413  (178;  896)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C96263" w14:textId="3DA9BAD4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645.0  (213.0;  976.0)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7D04D53" w14:textId="0D276510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242.0   (94.0;  636.5)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334F6D" w14:textId="3B5CDFCB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&lt;0.001 </w:t>
            </w:r>
          </w:p>
        </w:tc>
      </w:tr>
      <w:tr w:rsidR="004462E3" w:rsidRPr="001B46D0" w14:paraId="68DF9285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</w:tcPr>
          <w:p w14:paraId="5DDD889E" w14:textId="5D992FE6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B46D0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Anticoag</w:t>
            </w:r>
            <w:r w:rsidR="00400B13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ulation duration until one year</w:t>
            </w:r>
            <w:r w:rsidRPr="001B46D0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after the index VTE</w:t>
            </w:r>
            <w:r w:rsidR="007C3EF7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(days)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6CF0E56" w14:textId="23D2BC8F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 w:rsidRPr="001B46D0">
              <w:rPr>
                <w:rFonts w:eastAsia="Times New Roman" w:cs="Arial"/>
                <w:sz w:val="20"/>
                <w:szCs w:val="20"/>
                <w:lang w:val="en-US" w:eastAsia="de-CH"/>
              </w:rPr>
              <w:t>324  (171;  368)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5B32A" w14:textId="33713C52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354.0  (194.0;  365.0)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971564" w14:textId="7502456F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225.0   (94.0;  435.0)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1C93F0" w14:textId="732EB998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0.003 </w:t>
            </w:r>
          </w:p>
        </w:tc>
      </w:tr>
      <w:tr w:rsidR="004462E3" w:rsidRPr="001B46D0" w14:paraId="055E259D" w14:textId="77777777" w:rsidTr="004462E3">
        <w:trPr>
          <w:trHeight w:val="292"/>
        </w:trPr>
        <w:tc>
          <w:tcPr>
            <w:tcW w:w="2547" w:type="dxa"/>
            <w:shd w:val="clear" w:color="auto" w:fill="auto"/>
            <w:noWrap/>
            <w:vAlign w:val="bottom"/>
          </w:tcPr>
          <w:p w14:paraId="08182957" w14:textId="2B2B9144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</w:pPr>
            <w:r w:rsidRPr="001B46D0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Anticoa</w:t>
            </w:r>
            <w:r w:rsidR="00400B13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>gulation duration from one year</w:t>
            </w:r>
            <w:r w:rsidRPr="001B46D0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after the index VTE</w:t>
            </w:r>
            <w:r w:rsidR="007C3EF7">
              <w:rPr>
                <w:rFonts w:eastAsia="Times New Roman" w:cs="Arial"/>
                <w:b/>
                <w:sz w:val="20"/>
                <w:szCs w:val="20"/>
                <w:lang w:val="en-US" w:eastAsia="de-CH"/>
              </w:rPr>
              <w:t xml:space="preserve"> (days)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1F6A528" w14:textId="32BF6702" w:rsidR="004462E3" w:rsidRPr="001B46D0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 w:rsidRPr="001B46D0">
              <w:rPr>
                <w:rFonts w:eastAsia="Times New Roman" w:cs="Arial"/>
                <w:sz w:val="20"/>
                <w:szCs w:val="20"/>
                <w:lang w:val="en-US" w:eastAsia="de-CH"/>
              </w:rPr>
              <w:t>276    (0;  688)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AAC00" w14:textId="1A23DF72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338.0    (0.0;  685.5)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61545E2" w14:textId="6292E93D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 110.0    (0.0;  697.5)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26A653" w14:textId="390AAE17" w:rsidR="004462E3" w:rsidRPr="000E76D4" w:rsidRDefault="004462E3" w:rsidP="002A33D7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val="en-US" w:eastAsia="de-CH"/>
              </w:rPr>
            </w:pPr>
            <w:r>
              <w:rPr>
                <w:rFonts w:ascii="Calibri" w:hAnsi="Calibri" w:cs="Calibri"/>
              </w:rPr>
              <w:t xml:space="preserve"> 0.117 </w:t>
            </w:r>
          </w:p>
        </w:tc>
      </w:tr>
    </w:tbl>
    <w:p w14:paraId="70C8DB88" w14:textId="3210D6F9" w:rsidR="006F3E32" w:rsidRPr="000A37EE" w:rsidRDefault="006F3E32" w:rsidP="00903979">
      <w:pPr>
        <w:ind w:right="-993"/>
        <w:rPr>
          <w:sz w:val="20"/>
          <w:lang w:val="en-GB"/>
        </w:rPr>
      </w:pPr>
      <w:r w:rsidRPr="0050767B">
        <w:rPr>
          <w:sz w:val="20"/>
        </w:rPr>
        <w:t xml:space="preserve">BP, </w:t>
      </w:r>
      <w:proofErr w:type="spellStart"/>
      <w:r w:rsidRPr="0050767B">
        <w:rPr>
          <w:sz w:val="20"/>
        </w:rPr>
        <w:t>blood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pressure</w:t>
      </w:r>
      <w:proofErr w:type="spellEnd"/>
      <w:r w:rsidRPr="0050767B">
        <w:rPr>
          <w:sz w:val="20"/>
        </w:rPr>
        <w:t xml:space="preserve">; BMI, </w:t>
      </w:r>
      <w:proofErr w:type="spellStart"/>
      <w:r w:rsidRPr="0050767B">
        <w:rPr>
          <w:sz w:val="20"/>
        </w:rPr>
        <w:t>body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mass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index</w:t>
      </w:r>
      <w:proofErr w:type="spellEnd"/>
      <w:r w:rsidRPr="0050767B">
        <w:rPr>
          <w:sz w:val="20"/>
        </w:rPr>
        <w:t xml:space="preserve">; DVT, </w:t>
      </w:r>
      <w:proofErr w:type="spellStart"/>
      <w:r w:rsidRPr="0050767B">
        <w:rPr>
          <w:sz w:val="20"/>
        </w:rPr>
        <w:t>deep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vein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thrombosis</w:t>
      </w:r>
      <w:proofErr w:type="spellEnd"/>
      <w:r w:rsidRPr="0050767B">
        <w:rPr>
          <w:sz w:val="20"/>
        </w:rPr>
        <w:t xml:space="preserve">; IQR, </w:t>
      </w:r>
      <w:proofErr w:type="spellStart"/>
      <w:r w:rsidRPr="0050767B">
        <w:rPr>
          <w:sz w:val="20"/>
        </w:rPr>
        <w:t>interquartile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range</w:t>
      </w:r>
      <w:proofErr w:type="spellEnd"/>
      <w:r w:rsidRPr="0050767B">
        <w:rPr>
          <w:sz w:val="20"/>
        </w:rPr>
        <w:t>; NSAID,</w:t>
      </w:r>
      <w:r w:rsidRPr="0050767B">
        <w:rPr>
          <w:i/>
          <w:sz w:val="20"/>
        </w:rPr>
        <w:t xml:space="preserve"> </w:t>
      </w:r>
      <w:r w:rsidR="00D755B9"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>n</w:t>
      </w:r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>on-</w:t>
      </w:r>
      <w:proofErr w:type="spellStart"/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>steroidal</w:t>
      </w:r>
      <w:proofErr w:type="spellEnd"/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 xml:space="preserve"> anti-</w:t>
      </w:r>
      <w:proofErr w:type="spellStart"/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>inflammatory</w:t>
      </w:r>
      <w:proofErr w:type="spellEnd"/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 xml:space="preserve"> </w:t>
      </w:r>
      <w:proofErr w:type="spellStart"/>
      <w:r w:rsidRPr="0050767B">
        <w:rPr>
          <w:rStyle w:val="Emphasis"/>
          <w:rFonts w:cs="Arial"/>
          <w:bCs/>
          <w:i w:val="0"/>
          <w:sz w:val="20"/>
          <w:szCs w:val="21"/>
          <w:shd w:val="clear" w:color="auto" w:fill="FFFFFF"/>
        </w:rPr>
        <w:t>drug</w:t>
      </w:r>
      <w:proofErr w:type="spellEnd"/>
      <w:r w:rsidRPr="0050767B">
        <w:rPr>
          <w:i/>
          <w:sz w:val="20"/>
        </w:rPr>
        <w:t xml:space="preserve">; </w:t>
      </w:r>
      <w:r w:rsidRPr="0050767B">
        <w:rPr>
          <w:sz w:val="20"/>
        </w:rPr>
        <w:t xml:space="preserve">PE, </w:t>
      </w:r>
      <w:proofErr w:type="spellStart"/>
      <w:r w:rsidRPr="0050767B">
        <w:rPr>
          <w:sz w:val="20"/>
        </w:rPr>
        <w:t>pulmonary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embolism</w:t>
      </w:r>
      <w:proofErr w:type="spellEnd"/>
      <w:r w:rsidRPr="0050767B">
        <w:rPr>
          <w:sz w:val="20"/>
        </w:rPr>
        <w:t>; PTS, post-</w:t>
      </w:r>
      <w:proofErr w:type="spellStart"/>
      <w:r w:rsidRPr="0050767B">
        <w:rPr>
          <w:sz w:val="20"/>
        </w:rPr>
        <w:t>thrombotic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syndrome</w:t>
      </w:r>
      <w:proofErr w:type="spellEnd"/>
      <w:r w:rsidRPr="0050767B">
        <w:rPr>
          <w:sz w:val="20"/>
        </w:rPr>
        <w:t xml:space="preserve">; TIA, transient </w:t>
      </w:r>
      <w:proofErr w:type="spellStart"/>
      <w:r w:rsidRPr="0050767B">
        <w:rPr>
          <w:sz w:val="20"/>
        </w:rPr>
        <w:t>ischemic</w:t>
      </w:r>
      <w:proofErr w:type="spellEnd"/>
      <w:r w:rsidRPr="0050767B">
        <w:rPr>
          <w:sz w:val="20"/>
        </w:rPr>
        <w:t xml:space="preserve"> </w:t>
      </w:r>
      <w:proofErr w:type="spellStart"/>
      <w:r w:rsidRPr="0050767B">
        <w:rPr>
          <w:sz w:val="20"/>
        </w:rPr>
        <w:t>attack</w:t>
      </w:r>
      <w:proofErr w:type="spellEnd"/>
      <w:r w:rsidRPr="0050767B">
        <w:rPr>
          <w:sz w:val="20"/>
        </w:rPr>
        <w:t xml:space="preserve">. </w:t>
      </w:r>
      <w:proofErr w:type="gramStart"/>
      <w:r w:rsidRPr="000A37EE">
        <w:rPr>
          <w:sz w:val="20"/>
          <w:lang w:val="en-GB"/>
        </w:rPr>
        <w:t xml:space="preserve">*Values were missing for </w:t>
      </w:r>
      <w:r>
        <w:rPr>
          <w:sz w:val="20"/>
          <w:lang w:val="en-GB"/>
        </w:rPr>
        <w:t>index</w:t>
      </w:r>
      <w:r w:rsidR="00902FCA">
        <w:rPr>
          <w:sz w:val="20"/>
          <w:lang w:val="en-GB"/>
        </w:rPr>
        <w:t xml:space="preserve"> DVT type (56%), </w:t>
      </w:r>
      <w:r w:rsidR="00EE7773">
        <w:rPr>
          <w:sz w:val="20"/>
          <w:lang w:val="en-GB"/>
        </w:rPr>
        <w:t>presence of PTS (3</w:t>
      </w:r>
      <w:r w:rsidR="00EE7773" w:rsidRPr="000A37EE">
        <w:rPr>
          <w:sz w:val="20"/>
          <w:lang w:val="en-GB"/>
        </w:rPr>
        <w:t>%),</w:t>
      </w:r>
      <w:r w:rsidR="00EE7773">
        <w:rPr>
          <w:sz w:val="20"/>
          <w:lang w:val="en-GB"/>
        </w:rPr>
        <w:t xml:space="preserve"> </w:t>
      </w:r>
      <w:r w:rsidR="00B25F05">
        <w:rPr>
          <w:sz w:val="20"/>
          <w:lang w:val="en-GB"/>
        </w:rPr>
        <w:t>BMI &gt; 30 kg</w:t>
      </w:r>
      <w:r w:rsidR="000E76D4">
        <w:rPr>
          <w:sz w:val="20"/>
          <w:lang w:val="en-GB"/>
        </w:rPr>
        <w:t xml:space="preserve"> </w:t>
      </w:r>
      <w:r w:rsidR="00B25F05">
        <w:rPr>
          <w:sz w:val="20"/>
          <w:lang w:val="en-GB"/>
        </w:rPr>
        <w:t>m</w:t>
      </w:r>
      <w:r w:rsidR="000E76D4" w:rsidRPr="004462E3">
        <w:rPr>
          <w:sz w:val="20"/>
          <w:vertAlign w:val="superscript"/>
          <w:lang w:val="en-GB"/>
        </w:rPr>
        <w:t>-</w:t>
      </w:r>
      <w:r w:rsidR="00B25F05" w:rsidRPr="00B25F05">
        <w:rPr>
          <w:sz w:val="20"/>
          <w:vertAlign w:val="superscript"/>
          <w:lang w:val="en-GB"/>
        </w:rPr>
        <w:t>2</w:t>
      </w:r>
      <w:r w:rsidR="00B25F05">
        <w:rPr>
          <w:sz w:val="20"/>
          <w:lang w:val="en-GB"/>
        </w:rPr>
        <w:t xml:space="preserve"> (1%), </w:t>
      </w:r>
      <w:proofErr w:type="spellStart"/>
      <w:r w:rsidRPr="000A37EE">
        <w:rPr>
          <w:sz w:val="20"/>
          <w:lang w:val="en-GB"/>
        </w:rPr>
        <w:t>anemia</w:t>
      </w:r>
      <w:proofErr w:type="spellEnd"/>
      <w:r w:rsidRPr="000A37EE">
        <w:rPr>
          <w:sz w:val="20"/>
          <w:lang w:val="en-GB"/>
        </w:rPr>
        <w:t xml:space="preserve"> (7%), platelet count of &lt;150 G</w:t>
      </w:r>
      <w:r w:rsidR="005C28EE">
        <w:rPr>
          <w:sz w:val="20"/>
          <w:lang w:val="en-GB"/>
        </w:rPr>
        <w:t xml:space="preserve"> L</w:t>
      </w:r>
      <w:r w:rsidR="005C28EE" w:rsidRPr="000E76D4">
        <w:rPr>
          <w:sz w:val="20"/>
          <w:vertAlign w:val="superscript"/>
          <w:lang w:val="en-GB"/>
        </w:rPr>
        <w:t>-1</w:t>
      </w:r>
      <w:r w:rsidRPr="000A37EE">
        <w:rPr>
          <w:sz w:val="20"/>
          <w:lang w:val="en-GB"/>
        </w:rPr>
        <w:t xml:space="preserve"> (7%), heart rate of </w:t>
      </w:r>
      <w:r w:rsidRPr="000A37EE">
        <w:rPr>
          <w:rFonts w:cs="Arial"/>
          <w:sz w:val="20"/>
          <w:lang w:val="en-GB"/>
        </w:rPr>
        <w:t>≥</w:t>
      </w:r>
      <w:r w:rsidRPr="000A37EE">
        <w:rPr>
          <w:sz w:val="20"/>
          <w:lang w:val="en-GB"/>
        </w:rPr>
        <w:t xml:space="preserve"> 110 beats min</w:t>
      </w:r>
      <w:r w:rsidRPr="000A37EE">
        <w:rPr>
          <w:sz w:val="20"/>
          <w:vertAlign w:val="superscript"/>
          <w:lang w:val="en-GB"/>
        </w:rPr>
        <w:t>-1</w:t>
      </w:r>
      <w:r w:rsidR="00B25F05">
        <w:rPr>
          <w:sz w:val="20"/>
          <w:lang w:val="en-GB"/>
        </w:rPr>
        <w:t xml:space="preserve"> (2</w:t>
      </w:r>
      <w:r w:rsidRPr="000A37EE">
        <w:rPr>
          <w:sz w:val="20"/>
          <w:lang w:val="en-GB"/>
        </w:rPr>
        <w:t xml:space="preserve">%), systolic BP of &lt; 100 mmHg (2%), respiratory rate of </w:t>
      </w:r>
      <w:r w:rsidRPr="000A37EE">
        <w:rPr>
          <w:rFonts w:cs="Arial"/>
          <w:sz w:val="20"/>
          <w:lang w:val="en-GB"/>
        </w:rPr>
        <w:t>≥</w:t>
      </w:r>
      <w:r w:rsidRPr="000A37EE">
        <w:rPr>
          <w:sz w:val="20"/>
          <w:lang w:val="en-GB"/>
        </w:rPr>
        <w:t xml:space="preserve"> 30 min</w:t>
      </w:r>
      <w:r w:rsidRPr="000A37EE">
        <w:rPr>
          <w:sz w:val="20"/>
          <w:vertAlign w:val="superscript"/>
          <w:lang w:val="en-GB"/>
        </w:rPr>
        <w:t>-1</w:t>
      </w:r>
      <w:r w:rsidR="00B25F05">
        <w:rPr>
          <w:sz w:val="20"/>
          <w:lang w:val="en-GB"/>
        </w:rPr>
        <w:t xml:space="preserve"> (21</w:t>
      </w:r>
      <w:r w:rsidRPr="000A37EE">
        <w:rPr>
          <w:sz w:val="20"/>
          <w:lang w:val="en-GB"/>
        </w:rPr>
        <w:t>%), temperature of &lt; 36°C (8%), arterial oxygen saturation of &lt; 90% (23%), D-dimer</w:t>
      </w:r>
      <w:r w:rsidR="00B25F05">
        <w:rPr>
          <w:sz w:val="20"/>
          <w:lang w:val="en-GB"/>
        </w:rPr>
        <w:t xml:space="preserve"> at the time of the index VTE (15</w:t>
      </w:r>
      <w:r w:rsidRPr="000A37EE">
        <w:rPr>
          <w:sz w:val="20"/>
          <w:lang w:val="en-GB"/>
        </w:rPr>
        <w:t xml:space="preserve">%), </w:t>
      </w:r>
      <w:r w:rsidR="00EE7773">
        <w:rPr>
          <w:sz w:val="20"/>
          <w:lang w:val="en-GB"/>
        </w:rPr>
        <w:t>factor VIII of &gt; 164% (13</w:t>
      </w:r>
      <w:r w:rsidRPr="000A37EE">
        <w:rPr>
          <w:sz w:val="20"/>
          <w:lang w:val="en-GB"/>
        </w:rPr>
        <w:t>%), factor IX of &gt; 134%</w:t>
      </w:r>
      <w:r w:rsidR="00EE7773">
        <w:rPr>
          <w:sz w:val="20"/>
          <w:lang w:val="en-GB"/>
        </w:rPr>
        <w:t xml:space="preserve"> (females) and &gt; 138% (males) (13</w:t>
      </w:r>
      <w:r w:rsidRPr="000A37EE">
        <w:rPr>
          <w:sz w:val="20"/>
          <w:lang w:val="en-GB"/>
        </w:rPr>
        <w:t>%), factor XI of &gt; 13</w:t>
      </w:r>
      <w:r w:rsidR="00EE7773">
        <w:rPr>
          <w:sz w:val="20"/>
          <w:lang w:val="en-GB"/>
        </w:rPr>
        <w:t>9% (women) and &gt; 138% (males) (13</w:t>
      </w:r>
      <w:r w:rsidRPr="000A37EE">
        <w:rPr>
          <w:sz w:val="20"/>
          <w:lang w:val="en-GB"/>
        </w:rPr>
        <w:t>%)</w:t>
      </w:r>
      <w:r w:rsidR="00EE7773">
        <w:rPr>
          <w:sz w:val="20"/>
          <w:lang w:val="en-GB"/>
        </w:rPr>
        <w:t>, fibrinogen of &gt; 4.2 g/L (13</w:t>
      </w:r>
      <w:r w:rsidRPr="000A37EE">
        <w:rPr>
          <w:sz w:val="20"/>
          <w:lang w:val="en-GB"/>
        </w:rPr>
        <w:t>%), fac</w:t>
      </w:r>
      <w:r w:rsidR="00EE7773">
        <w:rPr>
          <w:sz w:val="20"/>
          <w:lang w:val="en-GB"/>
        </w:rPr>
        <w:t>tor V Leiden mutation present (11</w:t>
      </w:r>
      <w:r w:rsidRPr="000A37EE">
        <w:rPr>
          <w:sz w:val="20"/>
          <w:lang w:val="en-GB"/>
        </w:rPr>
        <w:t>%), facto</w:t>
      </w:r>
      <w:r w:rsidR="00EE7773">
        <w:rPr>
          <w:sz w:val="20"/>
          <w:lang w:val="en-GB"/>
        </w:rPr>
        <w:t>r II G20210A mutation present (11</w:t>
      </w:r>
      <w:r w:rsidRPr="000A37EE">
        <w:rPr>
          <w:sz w:val="20"/>
          <w:lang w:val="en-GB"/>
        </w:rPr>
        <w:t>%)</w:t>
      </w:r>
      <w:r w:rsidR="004462E3">
        <w:rPr>
          <w:sz w:val="20"/>
          <w:lang w:val="en-GB"/>
        </w:rPr>
        <w:t xml:space="preserve">, </w:t>
      </w:r>
      <w:r w:rsidR="002A33D7">
        <w:rPr>
          <w:sz w:val="20"/>
          <w:lang w:val="en-GB"/>
        </w:rPr>
        <w:t>anticoagulation duration from 12 months after the index VTE</w:t>
      </w:r>
      <w:r w:rsidR="004462E3">
        <w:rPr>
          <w:sz w:val="20"/>
          <w:lang w:val="en-GB"/>
        </w:rPr>
        <w:t xml:space="preserve"> (34%)</w:t>
      </w:r>
      <w:r w:rsidR="002A33D7">
        <w:rPr>
          <w:sz w:val="20"/>
          <w:lang w:val="en-GB"/>
        </w:rPr>
        <w:t>.</w:t>
      </w:r>
      <w:proofErr w:type="gramEnd"/>
    </w:p>
    <w:p w14:paraId="22137324" w14:textId="77777777" w:rsidR="001F585C" w:rsidRPr="006F3E32" w:rsidRDefault="001F585C" w:rsidP="00F8743A">
      <w:pPr>
        <w:rPr>
          <w:rFonts w:cs="Arial"/>
          <w:b/>
          <w:sz w:val="20"/>
          <w:szCs w:val="20"/>
          <w:lang w:val="en-GB"/>
        </w:rPr>
      </w:pPr>
    </w:p>
    <w:p w14:paraId="01AB84E4" w14:textId="77777777" w:rsidR="00F8743A" w:rsidRPr="00F22124" w:rsidRDefault="00F8743A">
      <w:pPr>
        <w:rPr>
          <w:b/>
          <w:lang w:val="en-US"/>
        </w:rPr>
      </w:pPr>
      <w:r w:rsidRPr="00F22124">
        <w:rPr>
          <w:b/>
          <w:lang w:val="en-US"/>
        </w:rPr>
        <w:br w:type="page"/>
      </w:r>
    </w:p>
    <w:p w14:paraId="5C5FC9F1" w14:textId="3F4B7233" w:rsidR="00527E3C" w:rsidRDefault="00F8743A">
      <w:pPr>
        <w:rPr>
          <w:rFonts w:cs="Arial"/>
          <w:sz w:val="20"/>
          <w:szCs w:val="20"/>
          <w:lang w:val="en-US"/>
        </w:rPr>
      </w:pPr>
      <w:r w:rsidRPr="00F22124">
        <w:rPr>
          <w:b/>
          <w:lang w:val="en-US"/>
        </w:rPr>
        <w:lastRenderedPageBreak/>
        <w:t>FIGURES</w:t>
      </w:r>
      <w:r w:rsidR="00F10C12">
        <w:rPr>
          <w:rFonts w:cs="Arial"/>
          <w:sz w:val="20"/>
          <w:szCs w:val="20"/>
          <w:lang w:val="en-US"/>
        </w:rPr>
        <w:object w:dxaOrig="11518" w:dyaOrig="13423" w14:anchorId="58BBFF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519.35pt" o:ole="" filled="t">
            <v:imagedata r:id="rId5" o:title=""/>
          </v:shape>
          <o:OLEObject Type="Embed" ProgID="Prism9.Document" ShapeID="_x0000_i1025" DrawAspect="Content" ObjectID="_1751049000" r:id="rId6"/>
        </w:object>
      </w:r>
    </w:p>
    <w:p w14:paraId="61D2F75E" w14:textId="03500D9A" w:rsidR="00527E3C" w:rsidRPr="00E6395E" w:rsidRDefault="00527E3C" w:rsidP="00527E3C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mallCaps/>
          <w:sz w:val="20"/>
          <w:szCs w:val="20"/>
          <w:lang w:val="en-US"/>
        </w:rPr>
        <w:t>Figure S1.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</w:t>
      </w:r>
      <w:r w:rsidR="006859A5" w:rsidRPr="00E6395E">
        <w:rPr>
          <w:rFonts w:cs="Arial"/>
          <w:sz w:val="20"/>
          <w:szCs w:val="20"/>
          <w:lang w:val="en-US"/>
        </w:rPr>
        <w:t xml:space="preserve"> patients under anticoagulation and not under anticoagulati</w:t>
      </w:r>
      <w:r w:rsidR="00CF4346" w:rsidRPr="00E6395E">
        <w:rPr>
          <w:rFonts w:cs="Arial"/>
          <w:sz w:val="20"/>
          <w:szCs w:val="20"/>
          <w:lang w:val="en-US"/>
        </w:rPr>
        <w:t>on 12 months after the index venous thromboembolism</w:t>
      </w:r>
      <w:r w:rsidRPr="00E6395E">
        <w:rPr>
          <w:rFonts w:cs="Arial"/>
          <w:sz w:val="20"/>
          <w:szCs w:val="20"/>
          <w:lang w:val="en-US"/>
        </w:rPr>
        <w:t xml:space="preserve"> using</w:t>
      </w:r>
      <w:r w:rsidR="001E2883" w:rsidRPr="00E6395E">
        <w:rPr>
          <w:rFonts w:cs="Arial"/>
          <w:sz w:val="20"/>
          <w:szCs w:val="20"/>
          <w:lang w:val="en-US"/>
        </w:rPr>
        <w:t xml:space="preserve"> 1pM</w:t>
      </w:r>
      <w:r w:rsidRPr="00E6395E">
        <w:rPr>
          <w:rFonts w:cs="Arial"/>
          <w:sz w:val="20"/>
          <w:szCs w:val="20"/>
          <w:lang w:val="en-US"/>
        </w:rPr>
        <w:t xml:space="preserve"> </w:t>
      </w:r>
      <w:r w:rsidR="001E2883" w:rsidRPr="00E6395E">
        <w:rPr>
          <w:rFonts w:cs="Arial"/>
          <w:sz w:val="20"/>
          <w:szCs w:val="20"/>
          <w:lang w:val="en-US"/>
        </w:rPr>
        <w:t>tissue factor</w:t>
      </w:r>
      <w:r w:rsidRPr="00E6395E">
        <w:rPr>
          <w:rFonts w:cs="Arial"/>
          <w:sz w:val="20"/>
          <w:szCs w:val="20"/>
          <w:lang w:val="en-US"/>
        </w:rPr>
        <w:t xml:space="preserve"> without </w:t>
      </w:r>
      <w:proofErr w:type="spellStart"/>
      <w:r w:rsidRPr="00E6395E">
        <w:rPr>
          <w:rFonts w:cs="Arial"/>
          <w:sz w:val="20"/>
          <w:szCs w:val="20"/>
          <w:lang w:val="en-US"/>
        </w:rPr>
        <w:t>thrombomodulin</w:t>
      </w:r>
      <w:proofErr w:type="spellEnd"/>
      <w:r w:rsidR="00CF4346" w:rsidRPr="00E6395E">
        <w:rPr>
          <w:rFonts w:cs="Arial"/>
          <w:sz w:val="20"/>
          <w:szCs w:val="20"/>
          <w:lang w:val="en-US"/>
        </w:rPr>
        <w:t xml:space="preserve"> (TM)</w:t>
      </w:r>
      <w:r w:rsidRPr="00E6395E">
        <w:rPr>
          <w:rFonts w:cs="Arial"/>
          <w:sz w:val="20"/>
          <w:szCs w:val="20"/>
          <w:lang w:val="en-US"/>
        </w:rPr>
        <w:t xml:space="preserve"> (A-E), </w:t>
      </w:r>
      <w:r w:rsidR="00CF4346" w:rsidRPr="00E6395E">
        <w:rPr>
          <w:rFonts w:cs="Arial"/>
          <w:sz w:val="20"/>
          <w:szCs w:val="20"/>
          <w:lang w:val="en-US"/>
        </w:rPr>
        <w:t>with TM</w:t>
      </w:r>
      <w:r w:rsidRPr="00E6395E">
        <w:rPr>
          <w:rFonts w:cs="Arial"/>
          <w:sz w:val="20"/>
          <w:szCs w:val="20"/>
          <w:lang w:val="en-US"/>
        </w:rPr>
        <w:t xml:space="preserve"> (F-G) and normalized ratio</w:t>
      </w:r>
      <w:r w:rsidR="00CF4346" w:rsidRPr="00E6395E">
        <w:rPr>
          <w:rFonts w:cs="Arial"/>
          <w:sz w:val="20"/>
          <w:szCs w:val="20"/>
          <w:lang w:val="en-US"/>
        </w:rPr>
        <w:t xml:space="preserve"> with and without TM</w:t>
      </w:r>
      <w:r w:rsidR="006859A5" w:rsidRPr="00E6395E">
        <w:rPr>
          <w:rFonts w:cs="Arial"/>
          <w:sz w:val="20"/>
          <w:szCs w:val="20"/>
          <w:lang w:val="en-US"/>
        </w:rPr>
        <w:t xml:space="preserve"> for</w:t>
      </w:r>
      <w:r w:rsidRPr="00E6395E">
        <w:rPr>
          <w:rFonts w:cs="Arial"/>
          <w:sz w:val="20"/>
          <w:szCs w:val="20"/>
          <w:lang w:val="en-US"/>
        </w:rPr>
        <w:t xml:space="preserve"> </w:t>
      </w:r>
      <w:r w:rsidR="00095BC3">
        <w:rPr>
          <w:rFonts w:cs="Arial"/>
          <w:sz w:val="20"/>
          <w:szCs w:val="20"/>
          <w:lang w:val="en-US"/>
        </w:rPr>
        <w:t xml:space="preserve">peak (H) and </w:t>
      </w:r>
      <w:r w:rsidR="00CF4346" w:rsidRPr="00E6395E">
        <w:rPr>
          <w:rFonts w:cs="Arial"/>
          <w:sz w:val="20"/>
          <w:szCs w:val="20"/>
          <w:lang w:val="en-US"/>
        </w:rPr>
        <w:t>endogenous</w:t>
      </w:r>
      <w:r w:rsidR="00095BC3">
        <w:rPr>
          <w:rFonts w:cs="Arial"/>
          <w:sz w:val="20"/>
          <w:szCs w:val="20"/>
          <w:lang w:val="en-US"/>
        </w:rPr>
        <w:t xml:space="preserve"> thrombin</w:t>
      </w:r>
      <w:r w:rsidR="00CF4346" w:rsidRPr="00E6395E">
        <w:rPr>
          <w:rFonts w:cs="Arial"/>
          <w:sz w:val="20"/>
          <w:szCs w:val="20"/>
          <w:lang w:val="en-US"/>
        </w:rPr>
        <w:t xml:space="preserve"> potential (</w:t>
      </w:r>
      <w:r w:rsidRPr="00E6395E">
        <w:rPr>
          <w:rFonts w:cs="Arial"/>
          <w:sz w:val="20"/>
          <w:szCs w:val="20"/>
          <w:lang w:val="en-US"/>
        </w:rPr>
        <w:t>ETP</w:t>
      </w:r>
      <w:r w:rsidR="00CF4346" w:rsidRPr="00E6395E">
        <w:rPr>
          <w:rFonts w:cs="Arial"/>
          <w:sz w:val="20"/>
          <w:szCs w:val="20"/>
          <w:lang w:val="en-US"/>
        </w:rPr>
        <w:t>)</w:t>
      </w:r>
      <w:r w:rsidR="001E2883" w:rsidRPr="00E6395E">
        <w:rPr>
          <w:rFonts w:cs="Arial"/>
          <w:sz w:val="20"/>
          <w:szCs w:val="20"/>
          <w:lang w:val="en-US"/>
        </w:rPr>
        <w:t xml:space="preserve"> (</w:t>
      </w:r>
      <w:r w:rsidR="00095BC3">
        <w:rPr>
          <w:rFonts w:cs="Arial"/>
          <w:sz w:val="20"/>
          <w:szCs w:val="20"/>
          <w:lang w:val="en-US"/>
        </w:rPr>
        <w:t>I</w:t>
      </w:r>
      <w:r w:rsidR="001E2883" w:rsidRPr="00E6395E">
        <w:rPr>
          <w:rFonts w:cs="Arial"/>
          <w:sz w:val="20"/>
          <w:szCs w:val="20"/>
          <w:lang w:val="en-US"/>
        </w:rPr>
        <w:t>)</w:t>
      </w:r>
      <w:r w:rsidRPr="00E6395E">
        <w:rPr>
          <w:rFonts w:cs="Arial"/>
          <w:sz w:val="20"/>
          <w:szCs w:val="20"/>
          <w:lang w:val="en-US"/>
        </w:rPr>
        <w:t xml:space="preserve">. </w:t>
      </w:r>
      <w:r w:rsidR="001E2883" w:rsidRPr="00E6395E">
        <w:rPr>
          <w:rFonts w:cs="Arial"/>
          <w:sz w:val="20"/>
          <w:szCs w:val="20"/>
          <w:lang w:val="en-US"/>
        </w:rPr>
        <w:t xml:space="preserve">Box-plots of thrombin generation parameters </w:t>
      </w:r>
      <w:proofErr w:type="gramStart"/>
      <w:r w:rsidR="00A764B3" w:rsidRPr="00E6395E">
        <w:rPr>
          <w:rFonts w:cs="Arial"/>
          <w:sz w:val="20"/>
          <w:szCs w:val="20"/>
          <w:lang w:val="en-US"/>
        </w:rPr>
        <w:t xml:space="preserve">are </w:t>
      </w:r>
      <w:r w:rsidR="001E2883" w:rsidRPr="00E6395E">
        <w:rPr>
          <w:rFonts w:cs="Arial"/>
          <w:sz w:val="20"/>
          <w:szCs w:val="20"/>
          <w:lang w:val="en-US"/>
        </w:rPr>
        <w:t>presented</w:t>
      </w:r>
      <w:proofErr w:type="gramEnd"/>
      <w:r w:rsidR="001E2883" w:rsidRPr="00E6395E">
        <w:rPr>
          <w:rFonts w:cs="Arial"/>
          <w:sz w:val="20"/>
          <w:szCs w:val="20"/>
          <w:lang w:val="en-US"/>
        </w:rPr>
        <w:t xml:space="preserve"> as median with </w:t>
      </w:r>
      <w:r w:rsidRPr="00E6395E">
        <w:rPr>
          <w:rFonts w:cs="Arial"/>
          <w:sz w:val="20"/>
          <w:szCs w:val="20"/>
          <w:lang w:val="en-US"/>
        </w:rPr>
        <w:t>interquar</w:t>
      </w:r>
      <w:r w:rsidR="00A764B3" w:rsidRPr="00E6395E">
        <w:rPr>
          <w:rFonts w:cs="Arial"/>
          <w:sz w:val="20"/>
          <w:szCs w:val="20"/>
          <w:lang w:val="en-US"/>
        </w:rPr>
        <w:t>tile range (5-95%)</w:t>
      </w:r>
      <w:r w:rsidRPr="00E6395E">
        <w:rPr>
          <w:rFonts w:cs="Arial"/>
          <w:sz w:val="20"/>
          <w:szCs w:val="20"/>
          <w:lang w:val="en-US"/>
        </w:rPr>
        <w:t xml:space="preserve">. </w:t>
      </w:r>
    </w:p>
    <w:p w14:paraId="7568C2A9" w14:textId="77777777" w:rsidR="003A1D71" w:rsidRPr="00E6395E" w:rsidRDefault="003A1D71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br w:type="page"/>
      </w:r>
    </w:p>
    <w:p w14:paraId="4F00D4B7" w14:textId="43F21802" w:rsidR="00527E3C" w:rsidRDefault="00F10C12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object w:dxaOrig="11498" w:dyaOrig="13848" w14:anchorId="41ED3409">
          <v:shape id="_x0000_i1026" type="#_x0000_t75" style="width:479.4pt;height:576.9pt" o:ole="" filled="t">
            <v:imagedata r:id="rId7" o:title=""/>
          </v:shape>
          <o:OLEObject Type="Embed" ProgID="Prism9.Document" ShapeID="_x0000_i1026" DrawAspect="Content" ObjectID="_1751049001" r:id="rId8"/>
        </w:object>
      </w:r>
    </w:p>
    <w:p w14:paraId="6DED4C1E" w14:textId="10681090" w:rsidR="00C453B4" w:rsidRPr="00E6395E" w:rsidRDefault="003A1D71" w:rsidP="00C453B4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mallCaps/>
          <w:sz w:val="20"/>
          <w:szCs w:val="20"/>
          <w:lang w:val="en-US"/>
        </w:rPr>
        <w:t>Figure S2.</w:t>
      </w:r>
      <w:r w:rsidR="00C453B4" w:rsidRPr="00E6395E">
        <w:rPr>
          <w:rFonts w:cs="Arial"/>
          <w:b/>
          <w:smallCaps/>
          <w:sz w:val="20"/>
          <w:szCs w:val="20"/>
          <w:lang w:val="en-US"/>
        </w:rPr>
        <w:t xml:space="preserve"> </w:t>
      </w:r>
      <w:r w:rsidR="00C453B4" w:rsidRPr="00E6395E">
        <w:rPr>
          <w:rFonts w:cs="Arial"/>
          <w:sz w:val="20"/>
          <w:szCs w:val="20"/>
          <w:lang w:val="en-US"/>
        </w:rPr>
        <w:t xml:space="preserve">Thrombin generation in patients under anticoagulation and not under anticoagulation 12 months after the index venous thromboembolism using 13.6 </w:t>
      </w:r>
      <w:proofErr w:type="spellStart"/>
      <w:r w:rsidR="00C453B4" w:rsidRPr="00E6395E">
        <w:rPr>
          <w:rFonts w:cs="Arial"/>
          <w:sz w:val="20"/>
          <w:szCs w:val="20"/>
          <w:lang w:val="en-US"/>
        </w:rPr>
        <w:t>pM</w:t>
      </w:r>
      <w:proofErr w:type="spellEnd"/>
      <w:r w:rsidR="00C453B4" w:rsidRPr="00E6395E">
        <w:rPr>
          <w:rFonts w:cs="Arial"/>
          <w:sz w:val="20"/>
          <w:szCs w:val="20"/>
          <w:lang w:val="en-US"/>
        </w:rPr>
        <w:t xml:space="preserve"> </w:t>
      </w:r>
      <w:r w:rsidR="006F06A0" w:rsidRPr="00E6395E">
        <w:rPr>
          <w:rFonts w:cs="Arial"/>
          <w:sz w:val="20"/>
          <w:szCs w:val="20"/>
          <w:lang w:val="en-US"/>
        </w:rPr>
        <w:t xml:space="preserve">tissue factor </w:t>
      </w:r>
      <w:r w:rsidR="00C453B4" w:rsidRPr="00E6395E">
        <w:rPr>
          <w:rFonts w:cs="Arial"/>
          <w:sz w:val="20"/>
          <w:szCs w:val="20"/>
          <w:lang w:val="en-US"/>
        </w:rPr>
        <w:t xml:space="preserve">without activated protein C (APC) (A-E), with APC (F-G) and ratio with and without </w:t>
      </w:r>
      <w:r w:rsidR="00F201E8" w:rsidRPr="00E6395E">
        <w:rPr>
          <w:rFonts w:cs="Arial"/>
          <w:sz w:val="20"/>
          <w:szCs w:val="20"/>
          <w:lang w:val="en-US"/>
        </w:rPr>
        <w:t xml:space="preserve">APC for </w:t>
      </w:r>
      <w:r w:rsidR="00095BC3">
        <w:rPr>
          <w:rFonts w:cs="Arial"/>
          <w:sz w:val="20"/>
          <w:szCs w:val="20"/>
          <w:lang w:val="en-US"/>
        </w:rPr>
        <w:t>peak</w:t>
      </w:r>
      <w:r w:rsidR="00F201E8" w:rsidRPr="00E6395E">
        <w:rPr>
          <w:rFonts w:cs="Arial"/>
          <w:sz w:val="20"/>
          <w:szCs w:val="20"/>
          <w:lang w:val="en-US"/>
        </w:rPr>
        <w:t xml:space="preserve"> (H)</w:t>
      </w:r>
      <w:r w:rsidR="00C13B74">
        <w:rPr>
          <w:rFonts w:cs="Arial"/>
          <w:sz w:val="20"/>
          <w:szCs w:val="20"/>
          <w:lang w:val="en-US"/>
        </w:rPr>
        <w:t xml:space="preserve"> and normalized ratio with and without APC for endogenous thrombin potential</w:t>
      </w:r>
      <w:r w:rsidR="00EF5CD7">
        <w:rPr>
          <w:rFonts w:cs="Arial"/>
          <w:sz w:val="20"/>
          <w:szCs w:val="20"/>
          <w:lang w:val="en-US"/>
        </w:rPr>
        <w:t xml:space="preserve"> (ETP)</w:t>
      </w:r>
      <w:r w:rsidR="00C13B74">
        <w:rPr>
          <w:rFonts w:cs="Arial"/>
          <w:sz w:val="20"/>
          <w:szCs w:val="20"/>
          <w:lang w:val="en-US"/>
        </w:rPr>
        <w:t xml:space="preserve"> </w:t>
      </w:r>
      <w:r w:rsidR="00C453B4" w:rsidRPr="00E6395E">
        <w:rPr>
          <w:rFonts w:cs="Arial"/>
          <w:sz w:val="20"/>
          <w:szCs w:val="20"/>
          <w:lang w:val="en-US"/>
        </w:rPr>
        <w:t xml:space="preserve">(I). </w:t>
      </w:r>
      <w:r w:rsidR="00F201E8" w:rsidRPr="00E6395E">
        <w:rPr>
          <w:rFonts w:cs="Arial"/>
          <w:sz w:val="20"/>
          <w:szCs w:val="20"/>
          <w:lang w:val="en-US"/>
        </w:rPr>
        <w:t xml:space="preserve">Box-plots of thrombin generation parameters </w:t>
      </w:r>
      <w:proofErr w:type="gramStart"/>
      <w:r w:rsidR="00F201E8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F201E8" w:rsidRPr="00E6395E">
        <w:rPr>
          <w:rFonts w:cs="Arial"/>
          <w:sz w:val="20"/>
          <w:szCs w:val="20"/>
          <w:lang w:val="en-US"/>
        </w:rPr>
        <w:t xml:space="preserve"> as median with interquartile range (5-95%). </w:t>
      </w:r>
    </w:p>
    <w:p w14:paraId="38CA5EC8" w14:textId="5E2EE6FD" w:rsidR="003A1D71" w:rsidRPr="00716489" w:rsidRDefault="003A1D71">
      <w:pPr>
        <w:rPr>
          <w:rFonts w:cs="Arial"/>
          <w:sz w:val="20"/>
          <w:szCs w:val="20"/>
          <w:lang w:val="en-US"/>
        </w:rPr>
      </w:pPr>
    </w:p>
    <w:p w14:paraId="07999507" w14:textId="1B8DBF01" w:rsidR="00DB312C" w:rsidRDefault="00DB312C">
      <w:pPr>
        <w:rPr>
          <w:rFonts w:cs="Arial"/>
          <w:sz w:val="20"/>
          <w:szCs w:val="20"/>
          <w:lang w:val="en-US"/>
        </w:rPr>
      </w:pPr>
    </w:p>
    <w:p w14:paraId="27E53F63" w14:textId="568DD30D" w:rsidR="00DB312C" w:rsidRDefault="00F10C12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object w:dxaOrig="11405" w:dyaOrig="14655" w14:anchorId="7DE1B29B">
          <v:shape id="_x0000_i1027" type="#_x0000_t75" style="width:453.5pt;height:582.6pt" o:ole="" filled="t">
            <v:imagedata r:id="rId9" o:title=""/>
          </v:shape>
          <o:OLEObject Type="Embed" ProgID="Prism9.Document" ShapeID="_x0000_i1027" DrawAspect="Content" ObjectID="_1751049002" r:id="rId10"/>
        </w:object>
      </w:r>
    </w:p>
    <w:p w14:paraId="46A303CF" w14:textId="03686909" w:rsidR="006F06A0" w:rsidRPr="00E6395E" w:rsidRDefault="00B37A11" w:rsidP="006F06A0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S3.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thromboemboli</w:t>
      </w:r>
      <w:r w:rsidR="00CC094C" w:rsidRPr="00E6395E">
        <w:rPr>
          <w:rFonts w:cs="Arial"/>
          <w:sz w:val="20"/>
          <w:szCs w:val="20"/>
          <w:lang w:val="en-US"/>
        </w:rPr>
        <w:t>s</w:t>
      </w:r>
      <w:r w:rsidRPr="00E6395E">
        <w:rPr>
          <w:rFonts w:cs="Arial"/>
          <w:sz w:val="20"/>
          <w:szCs w:val="20"/>
          <w:lang w:val="en-US"/>
        </w:rPr>
        <w:t>m</w:t>
      </w:r>
      <w:r w:rsidR="007B5F9E" w:rsidRPr="00E6395E">
        <w:rPr>
          <w:rFonts w:cs="Arial"/>
          <w:sz w:val="20"/>
          <w:szCs w:val="20"/>
          <w:lang w:val="en-US"/>
        </w:rPr>
        <w:t xml:space="preserve"> (VTE)</w:t>
      </w:r>
      <w:r w:rsidRPr="00E6395E">
        <w:rPr>
          <w:rFonts w:cs="Arial"/>
          <w:sz w:val="20"/>
          <w:szCs w:val="20"/>
          <w:lang w:val="en-US"/>
        </w:rPr>
        <w:t xml:space="preserve"> using 1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tissue fa</w:t>
      </w:r>
      <w:r w:rsidR="007B5F9E" w:rsidRPr="00E6395E">
        <w:rPr>
          <w:rFonts w:cs="Arial"/>
          <w:sz w:val="20"/>
          <w:szCs w:val="20"/>
          <w:lang w:val="en-US"/>
        </w:rPr>
        <w:t xml:space="preserve">ctor without </w:t>
      </w:r>
      <w:proofErr w:type="spellStart"/>
      <w:r w:rsidR="007B5F9E" w:rsidRPr="00E6395E">
        <w:rPr>
          <w:rFonts w:cs="Arial"/>
          <w:sz w:val="20"/>
          <w:szCs w:val="20"/>
          <w:lang w:val="en-US"/>
        </w:rPr>
        <w:t>thrombomodulin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. </w:t>
      </w:r>
      <w:r w:rsidR="006F06A0" w:rsidRPr="00E6395E">
        <w:rPr>
          <w:rFonts w:cs="Arial"/>
          <w:sz w:val="20"/>
          <w:szCs w:val="20"/>
          <w:lang w:val="en-US"/>
        </w:rPr>
        <w:t xml:space="preserve">The grey boxes indicate patients with VTE recurrence and the white boxes, those without VTE recurrence up to 24 months following the index VTE. Box-plots of thrombin generation parameters </w:t>
      </w:r>
      <w:proofErr w:type="gramStart"/>
      <w:r w:rsidR="007B5F9E" w:rsidRPr="00E6395E">
        <w:rPr>
          <w:rFonts w:cs="Arial"/>
          <w:sz w:val="20"/>
          <w:szCs w:val="20"/>
          <w:lang w:val="en-US"/>
        </w:rPr>
        <w:t xml:space="preserve">are </w:t>
      </w:r>
      <w:r w:rsidR="006F06A0" w:rsidRPr="00E6395E">
        <w:rPr>
          <w:rFonts w:cs="Arial"/>
          <w:sz w:val="20"/>
          <w:szCs w:val="20"/>
          <w:lang w:val="en-US"/>
        </w:rPr>
        <w:t>presented</w:t>
      </w:r>
      <w:proofErr w:type="gramEnd"/>
      <w:r w:rsidR="006F06A0" w:rsidRPr="00E6395E">
        <w:rPr>
          <w:rFonts w:cs="Arial"/>
          <w:sz w:val="20"/>
          <w:szCs w:val="20"/>
          <w:lang w:val="en-US"/>
        </w:rPr>
        <w:t xml:space="preserve"> as median with interquartile range (5-95%). Groups </w:t>
      </w:r>
      <w:proofErr w:type="gramStart"/>
      <w:r w:rsidR="006F06A0" w:rsidRPr="00E6395E">
        <w:rPr>
          <w:rFonts w:cs="Arial"/>
          <w:sz w:val="20"/>
          <w:szCs w:val="20"/>
          <w:lang w:val="en-US"/>
        </w:rPr>
        <w:t>wer</w:t>
      </w:r>
      <w:r w:rsidR="00C47DF2">
        <w:rPr>
          <w:rFonts w:cs="Arial"/>
          <w:sz w:val="20"/>
          <w:szCs w:val="20"/>
          <w:lang w:val="en-US"/>
        </w:rPr>
        <w:t>e compared</w:t>
      </w:r>
      <w:proofErr w:type="gramEnd"/>
      <w:r w:rsidR="00C47DF2">
        <w:rPr>
          <w:rFonts w:cs="Arial"/>
          <w:sz w:val="20"/>
          <w:szCs w:val="20"/>
          <w:lang w:val="en-US"/>
        </w:rPr>
        <w:t xml:space="preserve"> using Mann-Whitney U </w:t>
      </w:r>
      <w:r w:rsidR="006F06A0" w:rsidRPr="00E6395E">
        <w:rPr>
          <w:rFonts w:cs="Arial"/>
          <w:sz w:val="20"/>
          <w:szCs w:val="20"/>
          <w:lang w:val="en-US"/>
        </w:rPr>
        <w:t xml:space="preserve">test. </w:t>
      </w:r>
      <w:r w:rsidR="004E505A" w:rsidRPr="00E6395E">
        <w:rPr>
          <w:rFonts w:cs="Arial"/>
          <w:sz w:val="20"/>
          <w:szCs w:val="20"/>
          <w:lang w:val="en-US"/>
        </w:rPr>
        <w:t xml:space="preserve">ETP, endogenous </w:t>
      </w:r>
      <w:r w:rsidR="002F3B72">
        <w:rPr>
          <w:rFonts w:cs="Arial"/>
          <w:sz w:val="20"/>
          <w:szCs w:val="20"/>
          <w:lang w:val="en-US"/>
        </w:rPr>
        <w:t xml:space="preserve">thrombin </w:t>
      </w:r>
      <w:r w:rsidR="004E505A" w:rsidRPr="00E6395E">
        <w:rPr>
          <w:rFonts w:cs="Arial"/>
          <w:sz w:val="20"/>
          <w:szCs w:val="20"/>
          <w:lang w:val="en-US"/>
        </w:rPr>
        <w:t>potenti</w:t>
      </w:r>
      <w:r w:rsidR="00AB0DAA">
        <w:rPr>
          <w:rFonts w:cs="Arial"/>
          <w:sz w:val="20"/>
          <w:szCs w:val="20"/>
          <w:lang w:val="en-US"/>
        </w:rPr>
        <w:t>al; ns, not significant</w:t>
      </w:r>
    </w:p>
    <w:p w14:paraId="0A88E115" w14:textId="0F351B90" w:rsidR="00952B6D" w:rsidRDefault="00CC094C">
      <w:pPr>
        <w:rPr>
          <w:rFonts w:cs="Arial"/>
          <w:sz w:val="20"/>
          <w:szCs w:val="20"/>
        </w:rPr>
      </w:pPr>
      <w:r w:rsidRPr="00E6395E">
        <w:rPr>
          <w:rFonts w:cs="Arial"/>
          <w:sz w:val="20"/>
          <w:szCs w:val="20"/>
          <w:lang w:val="en-US"/>
        </w:rPr>
        <w:br w:type="page"/>
      </w:r>
      <w:r w:rsidR="00F10C12">
        <w:rPr>
          <w:rFonts w:cs="Arial"/>
          <w:sz w:val="20"/>
          <w:szCs w:val="20"/>
        </w:rPr>
        <w:object w:dxaOrig="11409" w:dyaOrig="14112" w14:anchorId="3C7C7F86">
          <v:shape id="_x0000_i1028" type="#_x0000_t75" style="width:466.25pt;height:576.45pt" o:ole="" filled="t">
            <v:imagedata r:id="rId11" o:title=""/>
          </v:shape>
          <o:OLEObject Type="Embed" ProgID="Prism9.Document" ShapeID="_x0000_i1028" DrawAspect="Content" ObjectID="_1751049003" r:id="rId12"/>
        </w:object>
      </w:r>
    </w:p>
    <w:p w14:paraId="402F9CB3" w14:textId="052F5590" w:rsidR="00952B6D" w:rsidRPr="00E6395E" w:rsidRDefault="00952B6D" w:rsidP="00952B6D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S4.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</w:t>
      </w:r>
      <w:proofErr w:type="spellStart"/>
      <w:r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="007B5F9E" w:rsidRPr="00E6395E">
        <w:rPr>
          <w:rFonts w:cs="Arial"/>
          <w:sz w:val="20"/>
          <w:szCs w:val="20"/>
          <w:lang w:val="en-US"/>
        </w:rPr>
        <w:t xml:space="preserve"> (VTE)</w:t>
      </w:r>
      <w:r w:rsidRPr="00E6395E">
        <w:rPr>
          <w:rFonts w:cs="Arial"/>
          <w:sz w:val="20"/>
          <w:szCs w:val="20"/>
          <w:lang w:val="en-US"/>
        </w:rPr>
        <w:t xml:space="preserve"> using 13.6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tissue fa</w:t>
      </w:r>
      <w:r w:rsidR="007B5F9E" w:rsidRPr="00E6395E">
        <w:rPr>
          <w:rFonts w:cs="Arial"/>
          <w:sz w:val="20"/>
          <w:szCs w:val="20"/>
          <w:lang w:val="en-US"/>
        </w:rPr>
        <w:t xml:space="preserve">ctor without </w:t>
      </w:r>
      <w:r w:rsidR="0094388C">
        <w:rPr>
          <w:rFonts w:cs="Arial"/>
          <w:sz w:val="20"/>
          <w:szCs w:val="20"/>
          <w:lang w:val="en-US"/>
        </w:rPr>
        <w:t>activated protein C</w:t>
      </w:r>
      <w:r w:rsidR="007B5F9E" w:rsidRPr="00E6395E">
        <w:rPr>
          <w:rFonts w:cs="Arial"/>
          <w:sz w:val="20"/>
          <w:szCs w:val="20"/>
          <w:lang w:val="en-US"/>
        </w:rPr>
        <w:t xml:space="preserve">. The grey boxes indicate patients with VTE recurrence and the white boxes, those without VTE recurrence up to 24 months following the index VTE. Box-plots of thrombin generation parameters </w:t>
      </w:r>
      <w:proofErr w:type="gramStart"/>
      <w:r w:rsidR="007B5F9E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7B5F9E" w:rsidRPr="00E6395E">
        <w:rPr>
          <w:rFonts w:cs="Arial"/>
          <w:sz w:val="20"/>
          <w:szCs w:val="20"/>
          <w:lang w:val="en-US"/>
        </w:rPr>
        <w:t xml:space="preserve"> as median with interquartile range (5-95%). </w:t>
      </w:r>
      <w:r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using the Mann</w:t>
      </w:r>
      <w:r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Pr="00E6395E">
        <w:rPr>
          <w:rFonts w:cs="Arial"/>
          <w:sz w:val="20"/>
          <w:szCs w:val="20"/>
          <w:lang w:val="en-US"/>
        </w:rPr>
        <w:t xml:space="preserve">test. </w:t>
      </w:r>
      <w:r w:rsidR="004E505A" w:rsidRPr="00E6395E">
        <w:rPr>
          <w:rFonts w:cs="Arial"/>
          <w:sz w:val="20"/>
          <w:szCs w:val="20"/>
          <w:lang w:val="en-US"/>
        </w:rPr>
        <w:t>ETP, endogenous</w:t>
      </w:r>
      <w:r w:rsidR="002F3B72">
        <w:rPr>
          <w:rFonts w:cs="Arial"/>
          <w:sz w:val="20"/>
          <w:szCs w:val="20"/>
          <w:lang w:val="en-US"/>
        </w:rPr>
        <w:t xml:space="preserve"> thrombin</w:t>
      </w:r>
      <w:r w:rsidR="004E505A" w:rsidRPr="00E6395E">
        <w:rPr>
          <w:rFonts w:cs="Arial"/>
          <w:sz w:val="20"/>
          <w:szCs w:val="20"/>
          <w:lang w:val="en-US"/>
        </w:rPr>
        <w:t xml:space="preserve"> potential; </w:t>
      </w:r>
      <w:r w:rsidRPr="00E6395E">
        <w:rPr>
          <w:rFonts w:cs="Arial"/>
          <w:sz w:val="20"/>
          <w:szCs w:val="20"/>
          <w:lang w:val="en-US"/>
        </w:rPr>
        <w:t xml:space="preserve">ns, </w:t>
      </w:r>
      <w:r w:rsidR="004E505A" w:rsidRPr="00E6395E">
        <w:rPr>
          <w:rFonts w:cs="Arial"/>
          <w:sz w:val="20"/>
          <w:szCs w:val="20"/>
          <w:lang w:val="en-US"/>
        </w:rPr>
        <w:t xml:space="preserve">not significant; </w:t>
      </w:r>
      <w:r w:rsidRPr="00E6395E">
        <w:rPr>
          <w:rFonts w:cs="Arial"/>
          <w:sz w:val="20"/>
          <w:szCs w:val="20"/>
          <w:lang w:val="en-US"/>
        </w:rPr>
        <w:t>*P&lt;0.05</w:t>
      </w:r>
    </w:p>
    <w:p w14:paraId="4A5CBD73" w14:textId="6A93B9B0" w:rsidR="00B37A11" w:rsidRPr="00E6395E" w:rsidRDefault="00F10C12" w:rsidP="00B37A11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</w:rPr>
        <w:object w:dxaOrig="11405" w:dyaOrig="14170" w14:anchorId="3B5C9A2E">
          <v:shape id="_x0000_i1029" type="#_x0000_t75" style="width:461.4pt;height:568.1pt" o:ole="" filled="t">
            <v:imagedata r:id="rId13" o:title=""/>
          </v:shape>
          <o:OLEObject Type="Embed" ProgID="Prism9.Document" ShapeID="_x0000_i1029" DrawAspect="Content" ObjectID="_1751049004" r:id="rId14"/>
        </w:object>
      </w:r>
    </w:p>
    <w:p w14:paraId="4CBFA015" w14:textId="74ABA8EE" w:rsidR="00B37A11" w:rsidRPr="00E6395E" w:rsidRDefault="00952B6D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S5</w:t>
      </w:r>
      <w:r w:rsidR="00CC094C" w:rsidRPr="00E6395E">
        <w:rPr>
          <w:rFonts w:cs="Arial"/>
          <w:b/>
          <w:sz w:val="20"/>
          <w:szCs w:val="20"/>
          <w:lang w:val="en-US"/>
        </w:rPr>
        <w:t>.</w:t>
      </w:r>
      <w:r w:rsidR="004E505A" w:rsidRPr="00E6395E">
        <w:rPr>
          <w:rFonts w:cs="Arial"/>
          <w:sz w:val="20"/>
          <w:szCs w:val="20"/>
          <w:lang w:val="en-US"/>
        </w:rPr>
        <w:t xml:space="preserve"> Peak and endogenous</w:t>
      </w:r>
      <w:r w:rsidR="002F3B72">
        <w:rPr>
          <w:rFonts w:cs="Arial"/>
          <w:sz w:val="20"/>
          <w:szCs w:val="20"/>
          <w:lang w:val="en-US"/>
        </w:rPr>
        <w:t xml:space="preserve"> thrombin </w:t>
      </w:r>
      <w:r w:rsidR="004E505A" w:rsidRPr="00E6395E">
        <w:rPr>
          <w:rFonts w:cs="Arial"/>
          <w:sz w:val="20"/>
          <w:szCs w:val="20"/>
          <w:lang w:val="en-US"/>
        </w:rPr>
        <w:t>potential (ETP)</w:t>
      </w:r>
      <w:r w:rsidR="00CC094C" w:rsidRPr="00E6395E">
        <w:rPr>
          <w:rFonts w:cs="Arial"/>
          <w:sz w:val="20"/>
          <w:szCs w:val="20"/>
          <w:lang w:val="en-US"/>
        </w:rPr>
        <w:t xml:space="preserve"> in patients under anticoagulation and not under anticoagulation after index venous </w:t>
      </w:r>
      <w:proofErr w:type="spellStart"/>
      <w:r w:rsidR="00CC094C"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="004E505A" w:rsidRPr="00E6395E">
        <w:rPr>
          <w:rFonts w:cs="Arial"/>
          <w:sz w:val="20"/>
          <w:szCs w:val="20"/>
          <w:lang w:val="en-US"/>
        </w:rPr>
        <w:t xml:space="preserve"> (VTE)</w:t>
      </w:r>
      <w:r w:rsidR="00CC094C" w:rsidRPr="00E6395E">
        <w:rPr>
          <w:rFonts w:cs="Arial"/>
          <w:sz w:val="20"/>
          <w:szCs w:val="20"/>
          <w:lang w:val="en-US"/>
        </w:rPr>
        <w:t xml:space="preserve"> using 13.6</w:t>
      </w:r>
      <w:r w:rsidR="004E505A" w:rsidRPr="00E6395E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4E505A" w:rsidRPr="00E6395E">
        <w:rPr>
          <w:rFonts w:cs="Arial"/>
          <w:sz w:val="20"/>
          <w:szCs w:val="20"/>
          <w:lang w:val="en-US"/>
        </w:rPr>
        <w:t>pM</w:t>
      </w:r>
      <w:proofErr w:type="spellEnd"/>
      <w:r w:rsidR="004E505A" w:rsidRPr="00E6395E">
        <w:rPr>
          <w:rFonts w:cs="Arial"/>
          <w:sz w:val="20"/>
          <w:szCs w:val="20"/>
          <w:lang w:val="en-US"/>
        </w:rPr>
        <w:t xml:space="preserve"> tissue factor wit</w:t>
      </w:r>
      <w:r w:rsidR="00D27D83" w:rsidRPr="00E6395E">
        <w:rPr>
          <w:rFonts w:cs="Arial"/>
          <w:sz w:val="20"/>
          <w:szCs w:val="20"/>
          <w:lang w:val="en-US"/>
        </w:rPr>
        <w:t xml:space="preserve">h activated protein C (APC) (A), peak and ETP </w:t>
      </w:r>
      <w:r w:rsidR="004E505A" w:rsidRPr="00E6395E">
        <w:rPr>
          <w:rFonts w:cs="Arial"/>
          <w:sz w:val="20"/>
          <w:szCs w:val="20"/>
          <w:lang w:val="en-US"/>
        </w:rPr>
        <w:t xml:space="preserve">ratio with and without </w:t>
      </w:r>
      <w:r w:rsidR="00D27D83" w:rsidRPr="00E6395E">
        <w:rPr>
          <w:rFonts w:cs="Arial"/>
          <w:sz w:val="20"/>
          <w:szCs w:val="20"/>
          <w:lang w:val="en-US"/>
        </w:rPr>
        <w:t>APC</w:t>
      </w:r>
      <w:r w:rsidR="004E505A" w:rsidRPr="00E6395E">
        <w:rPr>
          <w:rFonts w:cs="Arial"/>
          <w:sz w:val="20"/>
          <w:szCs w:val="20"/>
          <w:lang w:val="en-US"/>
        </w:rPr>
        <w:t xml:space="preserve"> (B</w:t>
      </w:r>
      <w:r w:rsidR="00D27D83" w:rsidRPr="00E6395E">
        <w:rPr>
          <w:rFonts w:cs="Arial"/>
          <w:sz w:val="20"/>
          <w:szCs w:val="20"/>
          <w:lang w:val="en-US"/>
        </w:rPr>
        <w:t>),</w:t>
      </w:r>
      <w:r w:rsidR="004E505A" w:rsidRPr="00E6395E">
        <w:rPr>
          <w:rFonts w:cs="Arial"/>
          <w:sz w:val="20"/>
          <w:szCs w:val="20"/>
          <w:lang w:val="en-US"/>
        </w:rPr>
        <w:t xml:space="preserve"> </w:t>
      </w:r>
      <w:r w:rsidR="00D27D83" w:rsidRPr="00E6395E">
        <w:rPr>
          <w:rFonts w:cs="Arial"/>
          <w:sz w:val="20"/>
          <w:szCs w:val="20"/>
          <w:lang w:val="en-US"/>
        </w:rPr>
        <w:t xml:space="preserve">ETP with and without APC normalized with reference plasma </w:t>
      </w:r>
      <w:r w:rsidR="004E505A" w:rsidRPr="00E6395E">
        <w:rPr>
          <w:rFonts w:cs="Arial"/>
          <w:sz w:val="20"/>
          <w:szCs w:val="20"/>
          <w:lang w:val="en-US"/>
        </w:rPr>
        <w:t xml:space="preserve">(C). </w:t>
      </w:r>
      <w:r w:rsidR="00CC094C" w:rsidRPr="00E6395E">
        <w:rPr>
          <w:rFonts w:cs="Arial"/>
          <w:sz w:val="20"/>
          <w:szCs w:val="20"/>
          <w:lang w:val="en-US"/>
        </w:rPr>
        <w:t xml:space="preserve">The grey boxes indicate patients with VTE recurrence and the white boxes, those without VTE recurrence up to 24 months following the index VTE. Box-plots of thrombin generation parameters presented as median with interquartile range (5-95%). Groups </w:t>
      </w:r>
      <w:proofErr w:type="gramStart"/>
      <w:r w:rsidR="00CC094C" w:rsidRPr="00E6395E">
        <w:rPr>
          <w:rFonts w:cs="Arial"/>
          <w:sz w:val="20"/>
          <w:szCs w:val="20"/>
          <w:lang w:val="en-US"/>
        </w:rPr>
        <w:t>wer</w:t>
      </w:r>
      <w:r w:rsidR="00C47DF2">
        <w:rPr>
          <w:rFonts w:cs="Arial"/>
          <w:sz w:val="20"/>
          <w:szCs w:val="20"/>
          <w:lang w:val="en-US"/>
        </w:rPr>
        <w:t>e compared</w:t>
      </w:r>
      <w:proofErr w:type="gramEnd"/>
      <w:r w:rsidR="00C47DF2">
        <w:rPr>
          <w:rFonts w:cs="Arial"/>
          <w:sz w:val="20"/>
          <w:szCs w:val="20"/>
          <w:lang w:val="en-US"/>
        </w:rPr>
        <w:t xml:space="preserve"> using Mann-Whitney U </w:t>
      </w:r>
      <w:r w:rsidR="00AB0DAA">
        <w:rPr>
          <w:rFonts w:cs="Arial"/>
          <w:sz w:val="20"/>
          <w:szCs w:val="20"/>
          <w:lang w:val="en-US"/>
        </w:rPr>
        <w:t xml:space="preserve">test. </w:t>
      </w:r>
      <w:proofErr w:type="gramStart"/>
      <w:r w:rsidR="00AB0DAA">
        <w:rPr>
          <w:rFonts w:cs="Arial"/>
          <w:sz w:val="20"/>
          <w:szCs w:val="20"/>
          <w:lang w:val="en-US"/>
        </w:rPr>
        <w:t>ns</w:t>
      </w:r>
      <w:proofErr w:type="gramEnd"/>
      <w:r w:rsidR="00AB0DAA">
        <w:rPr>
          <w:rFonts w:cs="Arial"/>
          <w:sz w:val="20"/>
          <w:szCs w:val="20"/>
          <w:lang w:val="en-US"/>
        </w:rPr>
        <w:t>, not significant</w:t>
      </w:r>
      <w:r w:rsidR="00CC094C" w:rsidRPr="00E6395E">
        <w:rPr>
          <w:rFonts w:cs="Arial"/>
          <w:sz w:val="20"/>
          <w:szCs w:val="20"/>
          <w:lang w:val="en-US"/>
        </w:rPr>
        <w:br w:type="page"/>
      </w:r>
    </w:p>
    <w:p w14:paraId="6E6D29A8" w14:textId="6B3E8AE4" w:rsidR="004766AA" w:rsidRPr="00E6395E" w:rsidRDefault="00F10C12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object w:dxaOrig="11107" w:dyaOrig="14568" w14:anchorId="257A98A4">
          <v:shape id="_x0000_i1030" type="#_x0000_t75" style="width:403.9pt;height:528.15pt" o:ole="" filled="t">
            <v:imagedata r:id="rId15" o:title=""/>
          </v:shape>
          <o:OLEObject Type="Embed" ProgID="Prism9.Document" ShapeID="_x0000_i1030" DrawAspect="Content" ObjectID="_1751049005" r:id="rId16"/>
        </w:object>
      </w:r>
    </w:p>
    <w:p w14:paraId="6CE3FEAD" w14:textId="09EB7E54" w:rsidR="004766AA" w:rsidRPr="00E6395E" w:rsidRDefault="00015000" w:rsidP="004766AA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S6</w:t>
      </w:r>
      <w:r w:rsidR="004766AA" w:rsidRPr="00E6395E">
        <w:rPr>
          <w:rFonts w:cs="Arial"/>
          <w:b/>
          <w:sz w:val="20"/>
          <w:szCs w:val="20"/>
          <w:lang w:val="en-US"/>
        </w:rPr>
        <w:t>.</w:t>
      </w:r>
      <w:r w:rsidR="004766AA" w:rsidRPr="00E6395E">
        <w:rPr>
          <w:rFonts w:cs="Arial"/>
          <w:sz w:val="20"/>
          <w:szCs w:val="20"/>
          <w:lang w:val="en-US"/>
        </w:rPr>
        <w:t xml:space="preserve"> </w:t>
      </w:r>
      <w:r w:rsidR="00D27D83" w:rsidRPr="00E6395E">
        <w:rPr>
          <w:rFonts w:cs="Arial"/>
          <w:sz w:val="20"/>
          <w:szCs w:val="20"/>
          <w:lang w:val="en-US"/>
        </w:rPr>
        <w:t>Peak and</w:t>
      </w:r>
      <w:r w:rsidR="002F3B72">
        <w:rPr>
          <w:rFonts w:cs="Arial"/>
          <w:sz w:val="20"/>
          <w:szCs w:val="20"/>
          <w:lang w:val="en-US"/>
        </w:rPr>
        <w:t xml:space="preserve"> endogenous thrombin potential</w:t>
      </w:r>
      <w:r w:rsidR="00D27D83" w:rsidRPr="00E6395E">
        <w:rPr>
          <w:rFonts w:cs="Arial"/>
          <w:sz w:val="20"/>
          <w:szCs w:val="20"/>
          <w:lang w:val="en-US"/>
        </w:rPr>
        <w:t xml:space="preserve"> </w:t>
      </w:r>
      <w:r w:rsidR="002F3B72">
        <w:rPr>
          <w:rFonts w:cs="Arial"/>
          <w:sz w:val="20"/>
          <w:szCs w:val="20"/>
          <w:lang w:val="en-US"/>
        </w:rPr>
        <w:t>(</w:t>
      </w:r>
      <w:r w:rsidR="00D27D83" w:rsidRPr="00E6395E">
        <w:rPr>
          <w:rFonts w:cs="Arial"/>
          <w:sz w:val="20"/>
          <w:szCs w:val="20"/>
          <w:lang w:val="en-US"/>
        </w:rPr>
        <w:t>ETP</w:t>
      </w:r>
      <w:r w:rsidR="002F3B72">
        <w:rPr>
          <w:rFonts w:cs="Arial"/>
          <w:sz w:val="20"/>
          <w:szCs w:val="20"/>
          <w:lang w:val="en-US"/>
        </w:rPr>
        <w:t>)</w:t>
      </w:r>
      <w:r w:rsidR="004766AA" w:rsidRPr="00E6395E">
        <w:rPr>
          <w:rFonts w:cs="Arial"/>
          <w:sz w:val="20"/>
          <w:szCs w:val="20"/>
          <w:lang w:val="en-US"/>
        </w:rPr>
        <w:t xml:space="preserve"> in patients under anticoagulation and not under anticoagulation after index venous thromboemboli</w:t>
      </w:r>
      <w:r w:rsidR="00F011C6">
        <w:rPr>
          <w:rFonts w:cs="Arial"/>
          <w:sz w:val="20"/>
          <w:szCs w:val="20"/>
          <w:lang w:val="en-US"/>
        </w:rPr>
        <w:t>s</w:t>
      </w:r>
      <w:r w:rsidR="004766AA" w:rsidRPr="00E6395E">
        <w:rPr>
          <w:rFonts w:cs="Arial"/>
          <w:sz w:val="20"/>
          <w:szCs w:val="20"/>
          <w:lang w:val="en-US"/>
        </w:rPr>
        <w:t xml:space="preserve">m using 1 </w:t>
      </w:r>
      <w:proofErr w:type="spellStart"/>
      <w:r w:rsidR="004766AA" w:rsidRPr="00E6395E">
        <w:rPr>
          <w:rFonts w:cs="Arial"/>
          <w:sz w:val="20"/>
          <w:szCs w:val="20"/>
          <w:lang w:val="en-US"/>
        </w:rPr>
        <w:t>pM</w:t>
      </w:r>
      <w:proofErr w:type="spellEnd"/>
      <w:r w:rsidR="004766AA" w:rsidRPr="00E6395E">
        <w:rPr>
          <w:rFonts w:cs="Arial"/>
          <w:sz w:val="20"/>
          <w:szCs w:val="20"/>
          <w:lang w:val="en-US"/>
        </w:rPr>
        <w:t xml:space="preserve"> tissue factor with </w:t>
      </w:r>
      <w:proofErr w:type="spellStart"/>
      <w:r w:rsidR="004766AA" w:rsidRPr="00E6395E">
        <w:rPr>
          <w:rFonts w:cs="Arial"/>
          <w:sz w:val="20"/>
          <w:szCs w:val="20"/>
          <w:lang w:val="en-US"/>
        </w:rPr>
        <w:t>thro</w:t>
      </w:r>
      <w:r w:rsidR="00193607" w:rsidRPr="00E6395E">
        <w:rPr>
          <w:rFonts w:cs="Arial"/>
          <w:sz w:val="20"/>
          <w:szCs w:val="20"/>
          <w:lang w:val="en-US"/>
        </w:rPr>
        <w:t>mbomodulin</w:t>
      </w:r>
      <w:proofErr w:type="spellEnd"/>
      <w:r w:rsidR="00193607" w:rsidRPr="00E6395E">
        <w:rPr>
          <w:rFonts w:cs="Arial"/>
          <w:sz w:val="20"/>
          <w:szCs w:val="20"/>
          <w:lang w:val="en-US"/>
        </w:rPr>
        <w:t xml:space="preserve"> (TM) (A);</w:t>
      </w:r>
      <w:r w:rsidR="00D27D83" w:rsidRPr="00E6395E">
        <w:rPr>
          <w:rFonts w:cs="Arial"/>
          <w:sz w:val="20"/>
          <w:szCs w:val="20"/>
          <w:lang w:val="en-US"/>
        </w:rPr>
        <w:t xml:space="preserve"> </w:t>
      </w:r>
      <w:r w:rsidR="004766AA" w:rsidRPr="00E6395E">
        <w:rPr>
          <w:rFonts w:cs="Arial"/>
          <w:sz w:val="20"/>
          <w:szCs w:val="20"/>
          <w:lang w:val="en-US"/>
        </w:rPr>
        <w:t xml:space="preserve">ratio (B) and normalized ratio (C) for </w:t>
      </w:r>
      <w:r w:rsidR="00193607" w:rsidRPr="00E6395E">
        <w:rPr>
          <w:rFonts w:cs="Arial"/>
          <w:sz w:val="20"/>
          <w:szCs w:val="20"/>
          <w:lang w:val="en-US"/>
        </w:rPr>
        <w:t xml:space="preserve">peak and </w:t>
      </w:r>
      <w:r w:rsidR="002F3B72">
        <w:rPr>
          <w:rFonts w:cs="Arial"/>
          <w:sz w:val="20"/>
          <w:szCs w:val="20"/>
          <w:lang w:val="en-US"/>
        </w:rPr>
        <w:t>ETP</w:t>
      </w:r>
      <w:r w:rsidR="004766AA" w:rsidRPr="00E6395E">
        <w:rPr>
          <w:rFonts w:cs="Arial"/>
          <w:sz w:val="20"/>
          <w:szCs w:val="20"/>
          <w:lang w:val="en-US"/>
        </w:rPr>
        <w:t xml:space="preserve"> with and without TM. </w:t>
      </w:r>
      <w:r w:rsidR="00193607" w:rsidRPr="00E6395E">
        <w:rPr>
          <w:rFonts w:cs="Arial"/>
          <w:sz w:val="20"/>
          <w:szCs w:val="20"/>
          <w:lang w:val="en-US"/>
        </w:rPr>
        <w:t xml:space="preserve">The grey boxes indicate patients who had a major bleeding event and the white boxes, those without major bleeding up to 24 months following the index VTE. Box-plots of thrombin generation parameters </w:t>
      </w:r>
      <w:proofErr w:type="gramStart"/>
      <w:r w:rsidR="00193607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193607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="004766AA"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="004766AA"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="004766AA" w:rsidRPr="00E6395E">
        <w:rPr>
          <w:rFonts w:cs="Arial"/>
          <w:sz w:val="20"/>
          <w:szCs w:val="20"/>
          <w:lang w:val="en-US"/>
        </w:rPr>
        <w:t xml:space="preserve"> using the Mann</w:t>
      </w:r>
      <w:r w:rsidR="004766AA"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="004766AA"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="004766AA" w:rsidRPr="00E6395E">
        <w:rPr>
          <w:rFonts w:cs="Arial"/>
          <w:sz w:val="20"/>
          <w:szCs w:val="20"/>
          <w:lang w:val="en-US"/>
        </w:rPr>
        <w:t xml:space="preserve">test. </w:t>
      </w:r>
      <w:proofErr w:type="gramStart"/>
      <w:r w:rsidR="004766AA" w:rsidRPr="00E6395E">
        <w:rPr>
          <w:rFonts w:cs="Arial"/>
          <w:sz w:val="20"/>
          <w:szCs w:val="20"/>
          <w:lang w:val="en-US"/>
        </w:rPr>
        <w:t>ns</w:t>
      </w:r>
      <w:proofErr w:type="gramEnd"/>
      <w:r w:rsidR="004766AA" w:rsidRPr="00E6395E">
        <w:rPr>
          <w:rFonts w:cs="Arial"/>
          <w:sz w:val="20"/>
          <w:szCs w:val="20"/>
          <w:lang w:val="en-US"/>
        </w:rPr>
        <w:t xml:space="preserve">, </w:t>
      </w:r>
      <w:r w:rsidR="004F1AFA">
        <w:rPr>
          <w:rFonts w:cs="Arial"/>
          <w:sz w:val="20"/>
          <w:szCs w:val="20"/>
          <w:lang w:val="en-US"/>
        </w:rPr>
        <w:t xml:space="preserve">not significant; </w:t>
      </w:r>
      <w:r w:rsidR="004766AA" w:rsidRPr="00E6395E">
        <w:rPr>
          <w:rFonts w:cs="Arial"/>
          <w:sz w:val="20"/>
          <w:szCs w:val="20"/>
          <w:lang w:val="en-US"/>
        </w:rPr>
        <w:t>*P&lt;0.05</w:t>
      </w:r>
    </w:p>
    <w:p w14:paraId="01AE1B60" w14:textId="77777777" w:rsidR="00015000" w:rsidRPr="00E6395E" w:rsidRDefault="00015000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br w:type="page"/>
      </w:r>
    </w:p>
    <w:p w14:paraId="0F5CF457" w14:textId="52D82F08" w:rsidR="00015000" w:rsidRPr="00E6395E" w:rsidRDefault="004B237D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object w:dxaOrig="10937" w:dyaOrig="13783" w14:anchorId="701E3B5C">
          <v:shape id="_x0000_i1031" type="#_x0000_t75" style="width:422.8pt;height:530.8pt" o:ole="" filled="t">
            <v:imagedata r:id="rId17" o:title=""/>
          </v:shape>
          <o:OLEObject Type="Embed" ProgID="Prism9.Document" ShapeID="_x0000_i1031" DrawAspect="Content" ObjectID="_1751049006" r:id="rId18"/>
        </w:object>
      </w:r>
    </w:p>
    <w:p w14:paraId="7C166580" w14:textId="5E89676C" w:rsidR="00015000" w:rsidRPr="00E6395E" w:rsidRDefault="00015000" w:rsidP="00015000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S7.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</w:t>
      </w:r>
      <w:proofErr w:type="spellStart"/>
      <w:r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using 13.6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</w:t>
      </w:r>
      <w:r w:rsidR="00C13B74">
        <w:rPr>
          <w:rFonts w:cs="Arial"/>
          <w:sz w:val="20"/>
          <w:szCs w:val="20"/>
          <w:lang w:val="en-US"/>
        </w:rPr>
        <w:t>ue factor without activated protein C</w:t>
      </w:r>
      <w:r w:rsidRPr="00E6395E">
        <w:rPr>
          <w:rFonts w:cs="Arial"/>
          <w:sz w:val="20"/>
          <w:szCs w:val="20"/>
          <w:lang w:val="en-US"/>
        </w:rPr>
        <w:t xml:space="preserve"> (</w:t>
      </w:r>
      <w:r w:rsidR="00C13B74">
        <w:rPr>
          <w:rFonts w:cs="Arial"/>
          <w:sz w:val="20"/>
          <w:szCs w:val="20"/>
          <w:lang w:val="en-US"/>
        </w:rPr>
        <w:t>APC</w:t>
      </w:r>
      <w:r w:rsidRPr="00E6395E">
        <w:rPr>
          <w:rFonts w:cs="Arial"/>
          <w:sz w:val="20"/>
          <w:szCs w:val="20"/>
          <w:lang w:val="en-US"/>
        </w:rPr>
        <w:t xml:space="preserve">). </w:t>
      </w:r>
      <w:r w:rsidR="000B6E02" w:rsidRPr="00E6395E">
        <w:rPr>
          <w:rFonts w:cs="Arial"/>
          <w:sz w:val="20"/>
          <w:szCs w:val="20"/>
          <w:lang w:val="en-US"/>
        </w:rPr>
        <w:t>The g</w:t>
      </w:r>
      <w:r w:rsidRPr="00E6395E">
        <w:rPr>
          <w:rFonts w:cs="Arial"/>
          <w:sz w:val="20"/>
          <w:szCs w:val="20"/>
          <w:lang w:val="en-US"/>
        </w:rPr>
        <w:t>rey box</w:t>
      </w:r>
      <w:r w:rsidR="000B6E02" w:rsidRPr="00E6395E">
        <w:rPr>
          <w:rFonts w:cs="Arial"/>
          <w:sz w:val="20"/>
          <w:szCs w:val="20"/>
          <w:lang w:val="en-US"/>
        </w:rPr>
        <w:t>es indicate</w:t>
      </w:r>
      <w:r w:rsidRPr="00E6395E">
        <w:rPr>
          <w:rFonts w:cs="Arial"/>
          <w:sz w:val="20"/>
          <w:szCs w:val="20"/>
          <w:lang w:val="en-US"/>
        </w:rPr>
        <w:t xml:space="preserve"> patients who had a major bleeding event </w:t>
      </w:r>
      <w:r w:rsidR="000B6E02" w:rsidRPr="00E6395E">
        <w:rPr>
          <w:rFonts w:cs="Arial"/>
          <w:sz w:val="20"/>
          <w:szCs w:val="20"/>
          <w:lang w:val="en-US"/>
        </w:rPr>
        <w:t>and the white boxes, those without major bleeding up to 24 months following the index VTE</w:t>
      </w:r>
      <w:r w:rsidRPr="00E6395E">
        <w:rPr>
          <w:rFonts w:cs="Arial"/>
          <w:sz w:val="20"/>
          <w:szCs w:val="20"/>
          <w:lang w:val="en-US"/>
        </w:rPr>
        <w:t xml:space="preserve">. </w:t>
      </w:r>
      <w:r w:rsidR="000B6E02" w:rsidRPr="00E6395E">
        <w:rPr>
          <w:rFonts w:cs="Arial"/>
          <w:sz w:val="20"/>
          <w:szCs w:val="20"/>
          <w:lang w:val="en-US"/>
        </w:rPr>
        <w:t xml:space="preserve">Box-plots of thrombin generation parameters </w:t>
      </w:r>
      <w:proofErr w:type="gramStart"/>
      <w:r w:rsidR="000B6E02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0B6E02" w:rsidRPr="00E6395E">
        <w:rPr>
          <w:rFonts w:cs="Arial"/>
          <w:sz w:val="20"/>
          <w:szCs w:val="20"/>
          <w:lang w:val="en-US"/>
        </w:rPr>
        <w:t xml:space="preserve"> as median with </w:t>
      </w:r>
      <w:r w:rsidRPr="00E6395E">
        <w:rPr>
          <w:rFonts w:cs="Arial"/>
          <w:sz w:val="20"/>
          <w:szCs w:val="20"/>
          <w:lang w:val="en-US"/>
        </w:rPr>
        <w:t xml:space="preserve">interquartile range (5-95%) are indicated. Groups </w:t>
      </w:r>
      <w:proofErr w:type="gramStart"/>
      <w:r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using the Mann</w:t>
      </w:r>
      <w:r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Pr="00E6395E">
        <w:rPr>
          <w:rFonts w:cs="Arial"/>
          <w:sz w:val="20"/>
          <w:szCs w:val="20"/>
          <w:lang w:val="en-US"/>
        </w:rPr>
        <w:t>test.</w:t>
      </w:r>
      <w:r w:rsidR="002F3B72">
        <w:rPr>
          <w:rFonts w:cs="Arial"/>
          <w:sz w:val="20"/>
          <w:szCs w:val="20"/>
          <w:lang w:val="en-US"/>
        </w:rPr>
        <w:t xml:space="preserve"> ETP, endogenous thrombin potential,</w:t>
      </w:r>
      <w:r w:rsidRPr="00E6395E">
        <w:rPr>
          <w:rFonts w:cs="Arial"/>
          <w:sz w:val="20"/>
          <w:szCs w:val="20"/>
          <w:lang w:val="en-US"/>
        </w:rPr>
        <w:t xml:space="preserve"> ns, not significant</w:t>
      </w:r>
    </w:p>
    <w:p w14:paraId="0240E3AD" w14:textId="382031E1" w:rsidR="000B74A4" w:rsidRDefault="000B74A4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br w:type="page"/>
      </w:r>
    </w:p>
    <w:p w14:paraId="0E6B2736" w14:textId="34A7A3BF" w:rsidR="004766AA" w:rsidRPr="00E6395E" w:rsidRDefault="004B237D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object w:dxaOrig="11074" w:dyaOrig="14671" w14:anchorId="240A27DA">
          <v:shape id="_x0000_i1032" type="#_x0000_t75" style="width:448.7pt;height:593.55pt" o:ole="" filled="t">
            <v:imagedata r:id="rId19" o:title=""/>
          </v:shape>
          <o:OLEObject Type="Embed" ProgID="Prism9.Document" ShapeID="_x0000_i1032" DrawAspect="Content" ObjectID="_1751049007" r:id="rId20"/>
        </w:object>
      </w:r>
    </w:p>
    <w:p w14:paraId="3FCC0169" w14:textId="4B87E46A" w:rsidR="00FE3688" w:rsidRPr="00E6395E" w:rsidRDefault="004766AA" w:rsidP="004766AA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S8.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</w:t>
      </w:r>
      <w:proofErr w:type="spellStart"/>
      <w:r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using 13.6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tissue factor with </w:t>
      </w:r>
      <w:r w:rsidR="00516A56">
        <w:rPr>
          <w:rFonts w:cs="Arial"/>
          <w:sz w:val="20"/>
          <w:szCs w:val="20"/>
          <w:lang w:val="en-US"/>
        </w:rPr>
        <w:t xml:space="preserve">activated protein C (APC) </w:t>
      </w:r>
      <w:r w:rsidRPr="00E6395E">
        <w:rPr>
          <w:rFonts w:cs="Arial"/>
          <w:sz w:val="20"/>
          <w:szCs w:val="20"/>
          <w:lang w:val="en-US"/>
        </w:rPr>
        <w:t>(A), calculated ratio</w:t>
      </w:r>
      <w:r w:rsidR="0094388C">
        <w:rPr>
          <w:rFonts w:cs="Arial"/>
          <w:sz w:val="20"/>
          <w:szCs w:val="20"/>
          <w:lang w:val="en-US"/>
        </w:rPr>
        <w:t xml:space="preserve"> for peak and endogenous thrombin potential (ETP) </w:t>
      </w:r>
      <w:r w:rsidRPr="00E6395E">
        <w:rPr>
          <w:rFonts w:cs="Arial"/>
          <w:sz w:val="20"/>
          <w:szCs w:val="20"/>
          <w:lang w:val="en-US"/>
        </w:rPr>
        <w:t xml:space="preserve">(B) and normalized ratio (C) for </w:t>
      </w:r>
      <w:r w:rsidR="002F3B72">
        <w:rPr>
          <w:rFonts w:cs="Arial"/>
          <w:sz w:val="20"/>
          <w:szCs w:val="20"/>
          <w:lang w:val="en-US"/>
        </w:rPr>
        <w:t>ETP</w:t>
      </w:r>
      <w:r w:rsidRPr="00E6395E">
        <w:rPr>
          <w:rFonts w:cs="Arial"/>
          <w:sz w:val="20"/>
          <w:szCs w:val="20"/>
          <w:lang w:val="en-US"/>
        </w:rPr>
        <w:t xml:space="preserve"> with and without </w:t>
      </w:r>
      <w:r w:rsidR="0094388C">
        <w:rPr>
          <w:rFonts w:cs="Arial"/>
          <w:sz w:val="20"/>
          <w:szCs w:val="20"/>
          <w:lang w:val="en-US"/>
        </w:rPr>
        <w:t>APC</w:t>
      </w:r>
      <w:r w:rsidRPr="00E6395E">
        <w:rPr>
          <w:rFonts w:cs="Arial"/>
          <w:sz w:val="20"/>
          <w:szCs w:val="20"/>
          <w:lang w:val="en-US"/>
        </w:rPr>
        <w:t xml:space="preserve">. </w:t>
      </w:r>
      <w:r w:rsidR="00FE3688" w:rsidRPr="00E6395E">
        <w:rPr>
          <w:rFonts w:cs="Arial"/>
          <w:sz w:val="20"/>
          <w:szCs w:val="20"/>
          <w:lang w:val="en-US"/>
        </w:rPr>
        <w:t xml:space="preserve">The grey boxes indicate patients who had a major bleeding event and the white boxes, those without major bleeding up to 24 months following the index VTE. Box-plots of thrombin generation parameters </w:t>
      </w:r>
      <w:proofErr w:type="gramStart"/>
      <w:r w:rsidR="00FE3688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FE3688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using the Mann</w:t>
      </w:r>
      <w:r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Pr="00E6395E">
        <w:rPr>
          <w:rFonts w:cs="Arial"/>
          <w:sz w:val="20"/>
          <w:szCs w:val="20"/>
          <w:lang w:val="en-US"/>
        </w:rPr>
        <w:t xml:space="preserve">test. </w:t>
      </w:r>
      <w:proofErr w:type="gramStart"/>
      <w:r w:rsidRPr="00E6395E">
        <w:rPr>
          <w:rFonts w:cs="Arial"/>
          <w:sz w:val="20"/>
          <w:szCs w:val="20"/>
          <w:lang w:val="en-US"/>
        </w:rPr>
        <w:t>ns</w:t>
      </w:r>
      <w:proofErr w:type="gramEnd"/>
      <w:r w:rsidRPr="00E6395E">
        <w:rPr>
          <w:rFonts w:cs="Arial"/>
          <w:sz w:val="20"/>
          <w:szCs w:val="20"/>
          <w:lang w:val="en-US"/>
        </w:rPr>
        <w:t>, not significant</w:t>
      </w:r>
    </w:p>
    <w:p w14:paraId="105EEBDE" w14:textId="3832998D" w:rsidR="004766AA" w:rsidRPr="00E6395E" w:rsidRDefault="008133A4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</w:rPr>
        <w:object w:dxaOrig="11311" w:dyaOrig="15048" w14:anchorId="6B80686A">
          <v:shape id="_x0000_i1033" type="#_x0000_t75" style="width:453.05pt;height:602.8pt" o:ole="" filled="t">
            <v:imagedata r:id="rId21" o:title=""/>
          </v:shape>
          <o:OLEObject Type="Embed" ProgID="Prism9.Document" ShapeID="_x0000_i1033" DrawAspect="Content" ObjectID="_1751049008" r:id="rId22"/>
        </w:object>
      </w:r>
    </w:p>
    <w:p w14:paraId="13A81520" w14:textId="023786A9" w:rsidR="004766AA" w:rsidRPr="00E6395E" w:rsidRDefault="004766AA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S9.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</w:t>
      </w:r>
      <w:proofErr w:type="spellStart"/>
      <w:r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using 1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tissue factor without </w:t>
      </w:r>
      <w:proofErr w:type="spellStart"/>
      <w:r w:rsidRPr="00E6395E">
        <w:rPr>
          <w:rFonts w:cs="Arial"/>
          <w:sz w:val="20"/>
          <w:szCs w:val="20"/>
          <w:lang w:val="en-US"/>
        </w:rPr>
        <w:t>thrombomodulin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(TM). </w:t>
      </w:r>
      <w:r w:rsidR="00E6395E" w:rsidRPr="00E6395E">
        <w:rPr>
          <w:rFonts w:cs="Arial"/>
          <w:sz w:val="20"/>
          <w:szCs w:val="20"/>
          <w:lang w:val="en-US"/>
        </w:rPr>
        <w:t xml:space="preserve">The grey boxes indicate patients who died and the white boxes, those who did not up to 24 months following the index VTE. Box-plots of thrombin generation parameters </w:t>
      </w:r>
      <w:proofErr w:type="gramStart"/>
      <w:r w:rsidR="00E6395E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E6395E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using the Mann</w:t>
      </w:r>
      <w:r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Pr="00E6395E">
        <w:rPr>
          <w:rFonts w:cs="Arial"/>
          <w:sz w:val="20"/>
          <w:szCs w:val="20"/>
          <w:lang w:val="en-US"/>
        </w:rPr>
        <w:t xml:space="preserve">test. </w:t>
      </w:r>
      <w:r w:rsidR="00E6395E" w:rsidRPr="00E6395E">
        <w:rPr>
          <w:rFonts w:cs="Arial"/>
          <w:sz w:val="20"/>
          <w:szCs w:val="20"/>
          <w:lang w:val="en-US"/>
        </w:rPr>
        <w:t xml:space="preserve">ETP, endogenous thrombin potential; </w:t>
      </w:r>
      <w:r w:rsidRPr="00E6395E">
        <w:rPr>
          <w:rFonts w:cs="Arial"/>
          <w:sz w:val="20"/>
          <w:szCs w:val="20"/>
          <w:lang w:val="en-US"/>
        </w:rPr>
        <w:t xml:space="preserve">ns, </w:t>
      </w:r>
      <w:r w:rsidR="00E6395E" w:rsidRPr="00E6395E">
        <w:rPr>
          <w:rFonts w:cs="Arial"/>
          <w:sz w:val="20"/>
          <w:szCs w:val="20"/>
          <w:lang w:val="en-US"/>
        </w:rPr>
        <w:t>not significant</w:t>
      </w:r>
      <w:proofErr w:type="gramStart"/>
      <w:r w:rsidR="00E6395E" w:rsidRPr="00E6395E">
        <w:rPr>
          <w:rFonts w:cs="Arial"/>
          <w:sz w:val="20"/>
          <w:szCs w:val="20"/>
          <w:lang w:val="en-US"/>
        </w:rPr>
        <w:t xml:space="preserve">; </w:t>
      </w:r>
      <w:r w:rsidRPr="00E6395E">
        <w:rPr>
          <w:rFonts w:cs="Arial"/>
          <w:sz w:val="20"/>
          <w:szCs w:val="20"/>
          <w:lang w:val="en-US"/>
        </w:rPr>
        <w:t xml:space="preserve"> *</w:t>
      </w:r>
      <w:proofErr w:type="gramEnd"/>
      <w:r w:rsidRPr="00E6395E">
        <w:rPr>
          <w:rFonts w:cs="Arial"/>
          <w:sz w:val="20"/>
          <w:szCs w:val="20"/>
          <w:lang w:val="en-US"/>
        </w:rPr>
        <w:t>*P&lt;0.01, *P&lt;0.05</w:t>
      </w:r>
    </w:p>
    <w:p w14:paraId="323F1743" w14:textId="6D3088F4" w:rsidR="004766AA" w:rsidRPr="00E6395E" w:rsidRDefault="008133A4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object w:dxaOrig="11177" w:dyaOrig="14357" w14:anchorId="4BB4ABD3">
          <v:shape id="_x0000_i1034" type="#_x0000_t75" style="width:445.6pt;height:574.25pt" o:ole="" filled="t">
            <v:imagedata r:id="rId23" o:title=""/>
          </v:shape>
          <o:OLEObject Type="Embed" ProgID="Prism9.Document" ShapeID="_x0000_i1034" DrawAspect="Content" ObjectID="_1751049009" r:id="rId24"/>
        </w:object>
      </w:r>
    </w:p>
    <w:p w14:paraId="396C2661" w14:textId="0FABDE90" w:rsidR="000B74A4" w:rsidRDefault="00015000" w:rsidP="004766AA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S10</w:t>
      </w:r>
      <w:r w:rsidR="004766AA" w:rsidRPr="00E6395E">
        <w:rPr>
          <w:rFonts w:cs="Arial"/>
          <w:b/>
          <w:sz w:val="20"/>
          <w:szCs w:val="20"/>
          <w:lang w:val="en-US"/>
        </w:rPr>
        <w:t>.</w:t>
      </w:r>
      <w:r w:rsidR="00E6395E" w:rsidRPr="00E6395E">
        <w:rPr>
          <w:rFonts w:cs="Arial"/>
          <w:sz w:val="20"/>
          <w:szCs w:val="20"/>
          <w:lang w:val="en-US"/>
        </w:rPr>
        <w:t xml:space="preserve"> Peak and ETP</w:t>
      </w:r>
      <w:r w:rsidR="004766AA" w:rsidRPr="00E6395E">
        <w:rPr>
          <w:rFonts w:cs="Arial"/>
          <w:sz w:val="20"/>
          <w:szCs w:val="20"/>
          <w:lang w:val="en-US"/>
        </w:rPr>
        <w:t xml:space="preserve"> in patients under anticoagulation and not under anticoagulation after index venous </w:t>
      </w:r>
      <w:proofErr w:type="spellStart"/>
      <w:r w:rsidR="004766AA" w:rsidRPr="00E6395E">
        <w:rPr>
          <w:rFonts w:cs="Arial"/>
          <w:sz w:val="20"/>
          <w:szCs w:val="20"/>
          <w:lang w:val="en-US"/>
        </w:rPr>
        <w:t>thromboembolim</w:t>
      </w:r>
      <w:proofErr w:type="spellEnd"/>
      <w:r w:rsidR="004766AA" w:rsidRPr="00E6395E">
        <w:rPr>
          <w:rFonts w:cs="Arial"/>
          <w:sz w:val="20"/>
          <w:szCs w:val="20"/>
          <w:lang w:val="en-US"/>
        </w:rPr>
        <w:t xml:space="preserve"> using 1 </w:t>
      </w:r>
      <w:proofErr w:type="spellStart"/>
      <w:r w:rsidR="004766AA" w:rsidRPr="00E6395E">
        <w:rPr>
          <w:rFonts w:cs="Arial"/>
          <w:sz w:val="20"/>
          <w:szCs w:val="20"/>
          <w:lang w:val="en-US"/>
        </w:rPr>
        <w:t>pM</w:t>
      </w:r>
      <w:proofErr w:type="spellEnd"/>
      <w:r w:rsidR="004766AA" w:rsidRPr="00E6395E">
        <w:rPr>
          <w:rFonts w:cs="Arial"/>
          <w:sz w:val="20"/>
          <w:szCs w:val="20"/>
          <w:lang w:val="en-US"/>
        </w:rPr>
        <w:t xml:space="preserve"> tissue factor with </w:t>
      </w:r>
      <w:proofErr w:type="spellStart"/>
      <w:r w:rsidR="004766AA" w:rsidRPr="00E6395E">
        <w:rPr>
          <w:rFonts w:cs="Arial"/>
          <w:sz w:val="20"/>
          <w:szCs w:val="20"/>
          <w:lang w:val="en-US"/>
        </w:rPr>
        <w:t>thrombomodulin</w:t>
      </w:r>
      <w:proofErr w:type="spellEnd"/>
      <w:r w:rsidR="004766AA" w:rsidRPr="00E6395E">
        <w:rPr>
          <w:rFonts w:cs="Arial"/>
          <w:sz w:val="20"/>
          <w:szCs w:val="20"/>
          <w:lang w:val="en-US"/>
        </w:rPr>
        <w:t xml:space="preserve"> (TM) (A), calculated ratio (B) and normalized ratio (C) for </w:t>
      </w:r>
      <w:r w:rsidR="00E6395E" w:rsidRPr="00E6395E">
        <w:rPr>
          <w:rFonts w:cs="Arial"/>
          <w:sz w:val="20"/>
          <w:szCs w:val="20"/>
          <w:lang w:val="en-US"/>
        </w:rPr>
        <w:t xml:space="preserve">peak and </w:t>
      </w:r>
      <w:r w:rsidR="004766AA" w:rsidRPr="00E6395E">
        <w:rPr>
          <w:rFonts w:cs="Arial"/>
          <w:sz w:val="20"/>
          <w:szCs w:val="20"/>
          <w:lang w:val="en-US"/>
        </w:rPr>
        <w:t xml:space="preserve">endogenous thrombin potential (ETP) with and without TM. </w:t>
      </w:r>
      <w:r w:rsidR="00E6395E" w:rsidRPr="00E6395E">
        <w:rPr>
          <w:rFonts w:cs="Arial"/>
          <w:sz w:val="20"/>
          <w:szCs w:val="20"/>
          <w:lang w:val="en-US"/>
        </w:rPr>
        <w:t xml:space="preserve">The grey boxes indicate patients who died and the white boxes, those who did not up to 24 months following the index VTE. Box-plots of thrombin generation parameters </w:t>
      </w:r>
      <w:proofErr w:type="gramStart"/>
      <w:r w:rsidR="00E6395E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E6395E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="004766AA"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="004766AA"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="004766AA" w:rsidRPr="00E6395E">
        <w:rPr>
          <w:rFonts w:cs="Arial"/>
          <w:sz w:val="20"/>
          <w:szCs w:val="20"/>
          <w:lang w:val="en-US"/>
        </w:rPr>
        <w:t xml:space="preserve"> using the Mann</w:t>
      </w:r>
      <w:r w:rsidR="004766AA"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="004766AA"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="004766AA" w:rsidRPr="00E6395E">
        <w:rPr>
          <w:rFonts w:cs="Arial"/>
          <w:sz w:val="20"/>
          <w:szCs w:val="20"/>
          <w:lang w:val="en-US"/>
        </w:rPr>
        <w:t xml:space="preserve">test. </w:t>
      </w:r>
      <w:proofErr w:type="gramStart"/>
      <w:r w:rsidR="004766AA" w:rsidRPr="00E6395E">
        <w:rPr>
          <w:rFonts w:cs="Arial"/>
          <w:sz w:val="20"/>
          <w:szCs w:val="20"/>
          <w:lang w:val="en-US"/>
        </w:rPr>
        <w:t>ns</w:t>
      </w:r>
      <w:proofErr w:type="gramEnd"/>
      <w:r w:rsidR="004766AA" w:rsidRPr="00E6395E">
        <w:rPr>
          <w:rFonts w:cs="Arial"/>
          <w:sz w:val="20"/>
          <w:szCs w:val="20"/>
          <w:lang w:val="en-US"/>
        </w:rPr>
        <w:t>, not significant</w:t>
      </w:r>
    </w:p>
    <w:p w14:paraId="32951D01" w14:textId="77777777" w:rsidR="000B74A4" w:rsidRDefault="000B74A4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br w:type="page"/>
      </w:r>
    </w:p>
    <w:p w14:paraId="05092432" w14:textId="5638E91F" w:rsidR="004766AA" w:rsidRPr="00E6395E" w:rsidRDefault="008133A4" w:rsidP="004766AA">
      <w:pPr>
        <w:rPr>
          <w:rFonts w:cs="Arial"/>
          <w:sz w:val="20"/>
          <w:szCs w:val="20"/>
        </w:rPr>
      </w:pPr>
      <w:r w:rsidRPr="00E6395E">
        <w:rPr>
          <w:rFonts w:cs="Arial"/>
          <w:sz w:val="20"/>
          <w:szCs w:val="20"/>
        </w:rPr>
        <w:object w:dxaOrig="10937" w:dyaOrig="13788" w14:anchorId="583A78CB">
          <v:shape id="_x0000_i1035" type="#_x0000_t75" style="width:452.65pt;height:570.75pt" o:ole="" filled="t">
            <v:imagedata r:id="rId25" o:title=""/>
          </v:shape>
          <o:OLEObject Type="Embed" ProgID="Prism9.Document" ShapeID="_x0000_i1035" DrawAspect="Content" ObjectID="_1751049010" r:id="rId26"/>
        </w:object>
      </w:r>
    </w:p>
    <w:p w14:paraId="4ABE342E" w14:textId="4C803DC0" w:rsidR="00015000" w:rsidRPr="00E6395E" w:rsidRDefault="00015000" w:rsidP="00015000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b/>
          <w:sz w:val="20"/>
          <w:szCs w:val="20"/>
          <w:lang w:val="en-US"/>
        </w:rPr>
        <w:t>Figure S11.</w:t>
      </w:r>
      <w:r w:rsidRPr="00E6395E">
        <w:rPr>
          <w:rFonts w:cs="Arial"/>
          <w:sz w:val="20"/>
          <w:szCs w:val="20"/>
          <w:lang w:val="en-US"/>
        </w:rPr>
        <w:t xml:space="preserve"> Thrombin generation parameters in patients under anticoagulation and not under anticoagulation after index venous thromboemboli</w:t>
      </w:r>
      <w:r w:rsidR="00F011C6">
        <w:rPr>
          <w:rFonts w:cs="Arial"/>
          <w:sz w:val="20"/>
          <w:szCs w:val="20"/>
          <w:lang w:val="en-US"/>
        </w:rPr>
        <w:t>s</w:t>
      </w:r>
      <w:r w:rsidRPr="00E6395E">
        <w:rPr>
          <w:rFonts w:cs="Arial"/>
          <w:sz w:val="20"/>
          <w:szCs w:val="20"/>
          <w:lang w:val="en-US"/>
        </w:rPr>
        <w:t xml:space="preserve">m using 13.6 </w:t>
      </w:r>
      <w:proofErr w:type="spellStart"/>
      <w:r w:rsidRPr="00E6395E">
        <w:rPr>
          <w:rFonts w:cs="Arial"/>
          <w:sz w:val="20"/>
          <w:szCs w:val="20"/>
          <w:lang w:val="en-US"/>
        </w:rPr>
        <w:t>pM</w:t>
      </w:r>
      <w:proofErr w:type="spellEnd"/>
      <w:r w:rsidRPr="00E6395E">
        <w:rPr>
          <w:rFonts w:cs="Arial"/>
          <w:sz w:val="20"/>
          <w:szCs w:val="20"/>
          <w:lang w:val="en-US"/>
        </w:rPr>
        <w:t xml:space="preserve"> tissue factor without </w:t>
      </w:r>
      <w:r w:rsidR="006A2DFC">
        <w:rPr>
          <w:rFonts w:cs="Arial"/>
          <w:sz w:val="20"/>
          <w:szCs w:val="20"/>
          <w:lang w:val="en-US"/>
        </w:rPr>
        <w:t xml:space="preserve">activated protein </w:t>
      </w:r>
      <w:proofErr w:type="gramStart"/>
      <w:r w:rsidR="006A2DFC">
        <w:rPr>
          <w:rFonts w:cs="Arial"/>
          <w:sz w:val="20"/>
          <w:szCs w:val="20"/>
          <w:lang w:val="en-US"/>
        </w:rPr>
        <w:t xml:space="preserve">C </w:t>
      </w:r>
      <w:r w:rsidRPr="00E6395E">
        <w:rPr>
          <w:rFonts w:cs="Arial"/>
          <w:sz w:val="20"/>
          <w:szCs w:val="20"/>
          <w:lang w:val="en-US"/>
        </w:rPr>
        <w:t>.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</w:t>
      </w:r>
      <w:r w:rsidR="00E6395E" w:rsidRPr="00E6395E">
        <w:rPr>
          <w:rFonts w:cs="Arial"/>
          <w:sz w:val="20"/>
          <w:szCs w:val="20"/>
          <w:lang w:val="en-US"/>
        </w:rPr>
        <w:t xml:space="preserve">The grey boxes indicate patients who died and the white boxes, those who did not up to 24 months following the index VTE. Box-plots of thrombin generation parameters </w:t>
      </w:r>
      <w:proofErr w:type="gramStart"/>
      <w:r w:rsidR="00E6395E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E6395E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Pr="00E6395E">
        <w:rPr>
          <w:rFonts w:cs="Arial"/>
          <w:sz w:val="20"/>
          <w:szCs w:val="20"/>
          <w:lang w:val="en-US"/>
        </w:rPr>
        <w:t xml:space="preserve"> using the Mann</w:t>
      </w:r>
      <w:r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Pr="00E6395E">
        <w:rPr>
          <w:rFonts w:cs="Arial"/>
          <w:sz w:val="20"/>
          <w:szCs w:val="20"/>
          <w:lang w:val="en-US"/>
        </w:rPr>
        <w:t>test.</w:t>
      </w:r>
      <w:r w:rsidR="00C47DF2">
        <w:rPr>
          <w:rFonts w:cs="Arial"/>
          <w:sz w:val="20"/>
          <w:szCs w:val="20"/>
          <w:lang w:val="en-US"/>
        </w:rPr>
        <w:t xml:space="preserve"> </w:t>
      </w:r>
      <w:r w:rsidR="00E6395E" w:rsidRPr="00E6395E">
        <w:rPr>
          <w:rFonts w:cs="Arial"/>
          <w:sz w:val="20"/>
          <w:szCs w:val="20"/>
          <w:lang w:val="en-US"/>
        </w:rPr>
        <w:t>ETP, endogenous thrombin potential;</w:t>
      </w:r>
      <w:r w:rsidRPr="00E6395E">
        <w:rPr>
          <w:rFonts w:cs="Arial"/>
          <w:sz w:val="20"/>
          <w:szCs w:val="20"/>
          <w:lang w:val="en-US"/>
        </w:rPr>
        <w:t xml:space="preserve"> ns, n</w:t>
      </w:r>
      <w:r w:rsidR="00E6395E" w:rsidRPr="00E6395E">
        <w:rPr>
          <w:rFonts w:cs="Arial"/>
          <w:sz w:val="20"/>
          <w:szCs w:val="20"/>
          <w:lang w:val="en-US"/>
        </w:rPr>
        <w:t>ot significant; **P&lt;0.01;</w:t>
      </w:r>
      <w:r w:rsidRPr="00E6395E">
        <w:rPr>
          <w:rFonts w:cs="Arial"/>
          <w:sz w:val="20"/>
          <w:szCs w:val="20"/>
          <w:lang w:val="en-US"/>
        </w:rPr>
        <w:t xml:space="preserve"> *P&lt;0.05</w:t>
      </w:r>
    </w:p>
    <w:p w14:paraId="7DE4B461" w14:textId="77777777" w:rsidR="00015000" w:rsidRPr="00E6395E" w:rsidRDefault="00015000" w:rsidP="004766AA">
      <w:pPr>
        <w:rPr>
          <w:rFonts w:cs="Arial"/>
          <w:sz w:val="20"/>
          <w:szCs w:val="20"/>
          <w:lang w:val="en-US"/>
        </w:rPr>
      </w:pPr>
    </w:p>
    <w:p w14:paraId="49E8EE1D" w14:textId="39A457F3" w:rsidR="004766AA" w:rsidRPr="00E6395E" w:rsidRDefault="008133A4">
      <w:pPr>
        <w:rPr>
          <w:rFonts w:cs="Arial"/>
          <w:sz w:val="20"/>
          <w:szCs w:val="20"/>
          <w:lang w:val="en-US"/>
        </w:rPr>
      </w:pPr>
      <w:r w:rsidRPr="00E6395E">
        <w:rPr>
          <w:rFonts w:cs="Arial"/>
          <w:sz w:val="20"/>
          <w:szCs w:val="20"/>
          <w:lang w:val="en-US"/>
        </w:rPr>
        <w:object w:dxaOrig="11086" w:dyaOrig="14539" w14:anchorId="7DCCECC6">
          <v:shape id="_x0000_i1036" type="#_x0000_t75" style="width:436.85pt;height:574.25pt" o:ole="" filled="t">
            <v:imagedata r:id="rId27" o:title=""/>
          </v:shape>
          <o:OLEObject Type="Embed" ProgID="Prism9.Document" ShapeID="_x0000_i1036" DrawAspect="Content" ObjectID="_1751049011" r:id="rId28"/>
        </w:object>
      </w:r>
    </w:p>
    <w:p w14:paraId="0803B890" w14:textId="447520B6" w:rsidR="004766AA" w:rsidRPr="00E6395E" w:rsidRDefault="004766AA">
      <w:pPr>
        <w:rPr>
          <w:rFonts w:cs="Arial"/>
          <w:sz w:val="20"/>
          <w:szCs w:val="20"/>
          <w:lang w:val="en-US"/>
        </w:rPr>
      </w:pPr>
      <w:bookmarkStart w:id="0" w:name="_GoBack"/>
      <w:r w:rsidRPr="00E6395E">
        <w:rPr>
          <w:rFonts w:cs="Arial"/>
          <w:b/>
          <w:sz w:val="20"/>
          <w:szCs w:val="20"/>
          <w:lang w:val="en-US"/>
        </w:rPr>
        <w:t xml:space="preserve">Figure S12. </w:t>
      </w:r>
      <w:r w:rsidR="00E6395E" w:rsidRPr="00E6395E">
        <w:rPr>
          <w:rFonts w:cs="Arial"/>
          <w:sz w:val="20"/>
          <w:szCs w:val="20"/>
          <w:lang w:val="en-US"/>
        </w:rPr>
        <w:t>Peak and endogenous thrombin potential (ETP)</w:t>
      </w:r>
      <w:r w:rsidR="00A80EFE" w:rsidRPr="00E6395E">
        <w:rPr>
          <w:rFonts w:cs="Arial"/>
          <w:sz w:val="20"/>
          <w:szCs w:val="20"/>
          <w:lang w:val="en-US"/>
        </w:rPr>
        <w:t xml:space="preserve"> in patients under anticoagulation and not under anticoagulation after index venous thromboemboli</w:t>
      </w:r>
      <w:r w:rsidR="004F49F1">
        <w:rPr>
          <w:rFonts w:cs="Arial"/>
          <w:sz w:val="20"/>
          <w:szCs w:val="20"/>
          <w:lang w:val="en-US"/>
        </w:rPr>
        <w:t>s</w:t>
      </w:r>
      <w:r w:rsidR="00A80EFE" w:rsidRPr="00E6395E">
        <w:rPr>
          <w:rFonts w:cs="Arial"/>
          <w:sz w:val="20"/>
          <w:szCs w:val="20"/>
          <w:lang w:val="en-US"/>
        </w:rPr>
        <w:t xml:space="preserve">m using 13.6 </w:t>
      </w:r>
      <w:proofErr w:type="spellStart"/>
      <w:r w:rsidR="00A80EFE" w:rsidRPr="00E6395E">
        <w:rPr>
          <w:rFonts w:cs="Arial"/>
          <w:sz w:val="20"/>
          <w:szCs w:val="20"/>
          <w:lang w:val="en-US"/>
        </w:rPr>
        <w:t>pM</w:t>
      </w:r>
      <w:proofErr w:type="spellEnd"/>
      <w:r w:rsidR="00A80EFE" w:rsidRPr="00E6395E">
        <w:rPr>
          <w:rFonts w:cs="Arial"/>
          <w:sz w:val="20"/>
          <w:szCs w:val="20"/>
          <w:lang w:val="en-US"/>
        </w:rPr>
        <w:t xml:space="preserve"> tissue factor with </w:t>
      </w:r>
      <w:r w:rsidR="0094388C">
        <w:rPr>
          <w:rFonts w:cs="Arial"/>
          <w:sz w:val="20"/>
          <w:szCs w:val="20"/>
          <w:lang w:val="en-US"/>
        </w:rPr>
        <w:t>activated protein C (APC)</w:t>
      </w:r>
      <w:r w:rsidR="00A80EFE" w:rsidRPr="00E6395E">
        <w:rPr>
          <w:rFonts w:cs="Arial"/>
          <w:sz w:val="20"/>
          <w:szCs w:val="20"/>
          <w:lang w:val="en-US"/>
        </w:rPr>
        <w:t xml:space="preserve"> </w:t>
      </w:r>
      <w:bookmarkEnd w:id="0"/>
      <w:r w:rsidR="00A80EFE" w:rsidRPr="00E6395E">
        <w:rPr>
          <w:rFonts w:cs="Arial"/>
          <w:sz w:val="20"/>
          <w:szCs w:val="20"/>
          <w:lang w:val="en-US"/>
        </w:rPr>
        <w:t>(A), calculated ratio</w:t>
      </w:r>
      <w:r w:rsidR="0094388C">
        <w:rPr>
          <w:rFonts w:cs="Arial"/>
          <w:sz w:val="20"/>
          <w:szCs w:val="20"/>
          <w:lang w:val="en-US"/>
        </w:rPr>
        <w:t xml:space="preserve"> for endogenous thrombin potential (ETP) and peak</w:t>
      </w:r>
      <w:r w:rsidR="00A80EFE" w:rsidRPr="00E6395E">
        <w:rPr>
          <w:rFonts w:cs="Arial"/>
          <w:sz w:val="20"/>
          <w:szCs w:val="20"/>
          <w:lang w:val="en-US"/>
        </w:rPr>
        <w:t xml:space="preserve"> (B) and normalized ratio (C) for</w:t>
      </w:r>
      <w:r w:rsidR="0094388C">
        <w:rPr>
          <w:rFonts w:cs="Arial"/>
          <w:sz w:val="20"/>
          <w:szCs w:val="20"/>
          <w:lang w:val="en-US"/>
        </w:rPr>
        <w:t xml:space="preserve"> </w:t>
      </w:r>
      <w:r w:rsidR="00EF5CD7">
        <w:rPr>
          <w:rFonts w:cs="Arial"/>
          <w:sz w:val="20"/>
          <w:szCs w:val="20"/>
          <w:lang w:val="en-US"/>
        </w:rPr>
        <w:t xml:space="preserve">peak and </w:t>
      </w:r>
      <w:r w:rsidR="0094388C">
        <w:rPr>
          <w:rFonts w:cs="Arial"/>
          <w:sz w:val="20"/>
          <w:szCs w:val="20"/>
          <w:lang w:val="en-US"/>
        </w:rPr>
        <w:t>ETP</w:t>
      </w:r>
      <w:r w:rsidR="00EF5CD7">
        <w:rPr>
          <w:rFonts w:cs="Arial"/>
          <w:sz w:val="20"/>
          <w:szCs w:val="20"/>
          <w:lang w:val="en-US"/>
        </w:rPr>
        <w:t xml:space="preserve"> </w:t>
      </w:r>
      <w:r w:rsidR="00A80EFE" w:rsidRPr="00E6395E">
        <w:rPr>
          <w:rFonts w:cs="Arial"/>
          <w:sz w:val="20"/>
          <w:szCs w:val="20"/>
          <w:lang w:val="en-US"/>
        </w:rPr>
        <w:t xml:space="preserve">with and without </w:t>
      </w:r>
      <w:r w:rsidR="0094388C">
        <w:rPr>
          <w:rFonts w:cs="Arial"/>
          <w:sz w:val="20"/>
          <w:szCs w:val="20"/>
          <w:lang w:val="en-US"/>
        </w:rPr>
        <w:t>APC.</w:t>
      </w:r>
      <w:r w:rsidR="00A80EFE" w:rsidRPr="00E6395E">
        <w:rPr>
          <w:rFonts w:cs="Arial"/>
          <w:sz w:val="20"/>
          <w:szCs w:val="20"/>
          <w:lang w:val="en-US"/>
        </w:rPr>
        <w:t xml:space="preserve"> </w:t>
      </w:r>
      <w:r w:rsidR="00E6395E" w:rsidRPr="00E6395E">
        <w:rPr>
          <w:rFonts w:cs="Arial"/>
          <w:sz w:val="20"/>
          <w:szCs w:val="20"/>
          <w:lang w:val="en-US"/>
        </w:rPr>
        <w:t xml:space="preserve">The grey boxes indicate patients who died and the white boxes, those who did not up to 24 months following the index VTE. Box-plots of thrombin generation parameters </w:t>
      </w:r>
      <w:proofErr w:type="gramStart"/>
      <w:r w:rsidR="00E6395E" w:rsidRPr="00E6395E">
        <w:rPr>
          <w:rFonts w:cs="Arial"/>
          <w:sz w:val="20"/>
          <w:szCs w:val="20"/>
          <w:lang w:val="en-US"/>
        </w:rPr>
        <w:t>are presented</w:t>
      </w:r>
      <w:proofErr w:type="gramEnd"/>
      <w:r w:rsidR="00E6395E" w:rsidRPr="00E6395E">
        <w:rPr>
          <w:rFonts w:cs="Arial"/>
          <w:sz w:val="20"/>
          <w:szCs w:val="20"/>
          <w:lang w:val="en-US"/>
        </w:rPr>
        <w:t xml:space="preserve"> as median with interquartile range (5-95%) are indicated. </w:t>
      </w:r>
      <w:r w:rsidR="00A80EFE" w:rsidRPr="00E6395E">
        <w:rPr>
          <w:rFonts w:cs="Arial"/>
          <w:sz w:val="20"/>
          <w:szCs w:val="20"/>
          <w:lang w:val="en-US"/>
        </w:rPr>
        <w:t xml:space="preserve">Groups </w:t>
      </w:r>
      <w:proofErr w:type="gramStart"/>
      <w:r w:rsidR="00A80EFE" w:rsidRPr="00E6395E">
        <w:rPr>
          <w:rFonts w:cs="Arial"/>
          <w:sz w:val="20"/>
          <w:szCs w:val="20"/>
          <w:lang w:val="en-US"/>
        </w:rPr>
        <w:t>were compared</w:t>
      </w:r>
      <w:proofErr w:type="gramEnd"/>
      <w:r w:rsidR="00A80EFE" w:rsidRPr="00E6395E">
        <w:rPr>
          <w:rFonts w:cs="Arial"/>
          <w:sz w:val="20"/>
          <w:szCs w:val="20"/>
          <w:lang w:val="en-US"/>
        </w:rPr>
        <w:t xml:space="preserve"> using the Mann</w:t>
      </w:r>
      <w:r w:rsidR="00A80EFE" w:rsidRPr="00E6395E">
        <w:rPr>
          <w:rFonts w:ascii="Cambria Math" w:hAnsi="Cambria Math" w:cs="Cambria Math"/>
          <w:sz w:val="20"/>
          <w:szCs w:val="20"/>
          <w:lang w:val="en-US"/>
        </w:rPr>
        <w:t>‐</w:t>
      </w:r>
      <w:r w:rsidR="00A80EFE" w:rsidRPr="00E6395E">
        <w:rPr>
          <w:rFonts w:cs="Arial"/>
          <w:sz w:val="20"/>
          <w:szCs w:val="20"/>
          <w:lang w:val="en-US"/>
        </w:rPr>
        <w:t>Whitney U</w:t>
      </w:r>
      <w:r w:rsidR="00C47DF2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r w:rsidR="00AB0DAA">
        <w:rPr>
          <w:rFonts w:cs="Arial"/>
          <w:sz w:val="20"/>
          <w:szCs w:val="20"/>
          <w:lang w:val="en-US"/>
        </w:rPr>
        <w:t xml:space="preserve">test. </w:t>
      </w:r>
      <w:proofErr w:type="gramStart"/>
      <w:r w:rsidR="00AB0DAA">
        <w:rPr>
          <w:rFonts w:cs="Arial"/>
          <w:sz w:val="20"/>
          <w:szCs w:val="20"/>
          <w:lang w:val="en-US"/>
        </w:rPr>
        <w:t>ns</w:t>
      </w:r>
      <w:proofErr w:type="gramEnd"/>
      <w:r w:rsidR="00AB0DAA">
        <w:rPr>
          <w:rFonts w:cs="Arial"/>
          <w:sz w:val="20"/>
          <w:szCs w:val="20"/>
          <w:lang w:val="en-US"/>
        </w:rPr>
        <w:t xml:space="preserve">, not significant; </w:t>
      </w:r>
      <w:r w:rsidR="00A80EFE" w:rsidRPr="00E6395E">
        <w:rPr>
          <w:rFonts w:cs="Arial"/>
          <w:sz w:val="20"/>
          <w:szCs w:val="20"/>
          <w:lang w:val="en-US"/>
        </w:rPr>
        <w:t>*P&lt;0.05</w:t>
      </w:r>
    </w:p>
    <w:sectPr w:rsidR="004766AA" w:rsidRPr="00E6395E" w:rsidSect="00BF67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sel Logo 08">
    <w:panose1 w:val="050001010101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1E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74AD5"/>
    <w:multiLevelType w:val="hybridMultilevel"/>
    <w:tmpl w:val="B69AD36A"/>
    <w:lvl w:ilvl="0" w:tplc="7FD469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Insel Logo 08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0B8F"/>
    <w:multiLevelType w:val="hybridMultilevel"/>
    <w:tmpl w:val="3992F2C4"/>
    <w:lvl w:ilvl="0" w:tplc="0C2C52D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Insel Logo 08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714E"/>
    <w:multiLevelType w:val="hybridMultilevel"/>
    <w:tmpl w:val="A89A9C66"/>
    <w:lvl w:ilvl="0" w:tplc="A654844A"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4" w15:restartNumberingAfterBreak="0">
    <w:nsid w:val="071D2454"/>
    <w:multiLevelType w:val="hybridMultilevel"/>
    <w:tmpl w:val="285CC6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0076"/>
    <w:multiLevelType w:val="hybridMultilevel"/>
    <w:tmpl w:val="C4F0D1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6C9"/>
    <w:multiLevelType w:val="hybridMultilevel"/>
    <w:tmpl w:val="13E23E4E"/>
    <w:lvl w:ilvl="0" w:tplc="CDD2A6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7294"/>
    <w:multiLevelType w:val="hybridMultilevel"/>
    <w:tmpl w:val="E1AC1ECA"/>
    <w:lvl w:ilvl="0" w:tplc="91A84EA0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B6A00"/>
    <w:multiLevelType w:val="hybridMultilevel"/>
    <w:tmpl w:val="637043BC"/>
    <w:lvl w:ilvl="0" w:tplc="82F21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6F9A"/>
    <w:multiLevelType w:val="hybridMultilevel"/>
    <w:tmpl w:val="EAFC79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44ED1"/>
    <w:multiLevelType w:val="multilevel"/>
    <w:tmpl w:val="FA3ED3DC"/>
    <w:lvl w:ilvl="0">
      <w:start w:val="1"/>
      <w:numFmt w:val="decimal"/>
      <w:pStyle w:val="Heading1"/>
      <w:lvlText w:val="%1."/>
      <w:lvlJc w:val="left"/>
      <w:pPr>
        <w:tabs>
          <w:tab w:val="num" w:pos="1418"/>
        </w:tabs>
        <w:ind w:left="567" w:firstLine="0"/>
      </w:pPr>
      <w:rPr>
        <w:rFonts w:hint="default"/>
        <w:lang w:val="en-U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0" w:firstLine="0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D314DC9"/>
    <w:multiLevelType w:val="multilevel"/>
    <w:tmpl w:val="9A7C2A3A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DF938D1"/>
    <w:multiLevelType w:val="hybridMultilevel"/>
    <w:tmpl w:val="F5A6A4F0"/>
    <w:lvl w:ilvl="0" w:tplc="B92E94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84C"/>
    <w:multiLevelType w:val="hybridMultilevel"/>
    <w:tmpl w:val="5A388284"/>
    <w:lvl w:ilvl="0" w:tplc="4868344A"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4" w15:restartNumberingAfterBreak="0">
    <w:nsid w:val="578C6993"/>
    <w:multiLevelType w:val="hybridMultilevel"/>
    <w:tmpl w:val="DB8E89FE"/>
    <w:lvl w:ilvl="0" w:tplc="51627A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01637"/>
    <w:multiLevelType w:val="hybridMultilevel"/>
    <w:tmpl w:val="EC32BF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4212"/>
    <w:multiLevelType w:val="hybridMultilevel"/>
    <w:tmpl w:val="6F7A3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5"/>
  </w:num>
  <w:num w:numId="10">
    <w:abstractNumId w:val="5"/>
  </w:num>
  <w:num w:numId="11">
    <w:abstractNumId w:val="6"/>
  </w:num>
  <w:num w:numId="12">
    <w:abstractNumId w:val="8"/>
  </w:num>
  <w:num w:numId="13">
    <w:abstractNumId w:val="16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A"/>
    <w:rsid w:val="00015000"/>
    <w:rsid w:val="00095BC3"/>
    <w:rsid w:val="000A5EC8"/>
    <w:rsid w:val="000B049E"/>
    <w:rsid w:val="000B6E02"/>
    <w:rsid w:val="000B74A4"/>
    <w:rsid w:val="000E76D4"/>
    <w:rsid w:val="0011778A"/>
    <w:rsid w:val="00156C17"/>
    <w:rsid w:val="00163573"/>
    <w:rsid w:val="00193607"/>
    <w:rsid w:val="001B46D0"/>
    <w:rsid w:val="001E1270"/>
    <w:rsid w:val="001E2883"/>
    <w:rsid w:val="001F0ED2"/>
    <w:rsid w:val="001F585C"/>
    <w:rsid w:val="001F7EE0"/>
    <w:rsid w:val="002A33D7"/>
    <w:rsid w:val="002F3B72"/>
    <w:rsid w:val="00310661"/>
    <w:rsid w:val="00357AF4"/>
    <w:rsid w:val="003A1D71"/>
    <w:rsid w:val="00400B13"/>
    <w:rsid w:val="00415E20"/>
    <w:rsid w:val="00425A58"/>
    <w:rsid w:val="004462E3"/>
    <w:rsid w:val="00457172"/>
    <w:rsid w:val="00457427"/>
    <w:rsid w:val="004766AA"/>
    <w:rsid w:val="004B237D"/>
    <w:rsid w:val="004E505A"/>
    <w:rsid w:val="004F1AFA"/>
    <w:rsid w:val="004F49F1"/>
    <w:rsid w:val="0050767B"/>
    <w:rsid w:val="00511636"/>
    <w:rsid w:val="00516A56"/>
    <w:rsid w:val="00527E3C"/>
    <w:rsid w:val="00532FC4"/>
    <w:rsid w:val="0058064D"/>
    <w:rsid w:val="005C28EE"/>
    <w:rsid w:val="00637F9A"/>
    <w:rsid w:val="006624B8"/>
    <w:rsid w:val="00671B4B"/>
    <w:rsid w:val="006859A5"/>
    <w:rsid w:val="0069418A"/>
    <w:rsid w:val="006A2DFC"/>
    <w:rsid w:val="006A379B"/>
    <w:rsid w:val="006F06A0"/>
    <w:rsid w:val="006F3E32"/>
    <w:rsid w:val="007125C8"/>
    <w:rsid w:val="00716489"/>
    <w:rsid w:val="00723AEF"/>
    <w:rsid w:val="007278A4"/>
    <w:rsid w:val="007A3BF4"/>
    <w:rsid w:val="007B5F9E"/>
    <w:rsid w:val="007C3EF7"/>
    <w:rsid w:val="007E040C"/>
    <w:rsid w:val="008133A4"/>
    <w:rsid w:val="00902FCA"/>
    <w:rsid w:val="00903979"/>
    <w:rsid w:val="0094388C"/>
    <w:rsid w:val="00952B6D"/>
    <w:rsid w:val="009A1E4D"/>
    <w:rsid w:val="009C3FF5"/>
    <w:rsid w:val="009E28C9"/>
    <w:rsid w:val="00A764B3"/>
    <w:rsid w:val="00A80EFE"/>
    <w:rsid w:val="00AA3533"/>
    <w:rsid w:val="00AB0DAA"/>
    <w:rsid w:val="00AD2EBE"/>
    <w:rsid w:val="00B07ECF"/>
    <w:rsid w:val="00B25F05"/>
    <w:rsid w:val="00B37A11"/>
    <w:rsid w:val="00B76496"/>
    <w:rsid w:val="00B7748D"/>
    <w:rsid w:val="00B8742E"/>
    <w:rsid w:val="00BD2015"/>
    <w:rsid w:val="00BF67FA"/>
    <w:rsid w:val="00C13B74"/>
    <w:rsid w:val="00C453B4"/>
    <w:rsid w:val="00C47DF2"/>
    <w:rsid w:val="00CC094C"/>
    <w:rsid w:val="00CF4346"/>
    <w:rsid w:val="00D27D83"/>
    <w:rsid w:val="00D755B9"/>
    <w:rsid w:val="00D910AC"/>
    <w:rsid w:val="00DB312C"/>
    <w:rsid w:val="00DC16BC"/>
    <w:rsid w:val="00E20EB7"/>
    <w:rsid w:val="00E3562C"/>
    <w:rsid w:val="00E531FC"/>
    <w:rsid w:val="00E6395E"/>
    <w:rsid w:val="00E708B9"/>
    <w:rsid w:val="00E80A4A"/>
    <w:rsid w:val="00E85467"/>
    <w:rsid w:val="00EE7773"/>
    <w:rsid w:val="00EF5CD7"/>
    <w:rsid w:val="00F00B13"/>
    <w:rsid w:val="00F011C6"/>
    <w:rsid w:val="00F10C12"/>
    <w:rsid w:val="00F201E8"/>
    <w:rsid w:val="00F22124"/>
    <w:rsid w:val="00F655BF"/>
    <w:rsid w:val="00F84BD2"/>
    <w:rsid w:val="00F8743A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7D4E10A0"/>
  <w15:chartTrackingRefBased/>
  <w15:docId w15:val="{6A8FF703-C88B-40E4-AFDE-CD906303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94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23AEF"/>
    <w:pPr>
      <w:keepNext/>
      <w:numPr>
        <w:numId w:val="2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8"/>
      <w:szCs w:val="32"/>
      <w:lang w:eastAsia="de-CH"/>
    </w:rPr>
  </w:style>
  <w:style w:type="paragraph" w:styleId="Heading2">
    <w:name w:val="heading 2"/>
    <w:basedOn w:val="Normal"/>
    <w:next w:val="Normal"/>
    <w:link w:val="Heading2Char"/>
    <w:rsid w:val="00723AE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 w:cs="Arial"/>
      <w:b/>
      <w:bCs/>
      <w:i/>
      <w:iCs/>
      <w:szCs w:val="28"/>
      <w:lang w:eastAsia="de-CH"/>
    </w:rPr>
  </w:style>
  <w:style w:type="paragraph" w:styleId="Heading3">
    <w:name w:val="heading 3"/>
    <w:basedOn w:val="Normal"/>
    <w:next w:val="Normal"/>
    <w:link w:val="Heading3Char"/>
    <w:qFormat/>
    <w:rsid w:val="00723AEF"/>
    <w:pPr>
      <w:keepNext/>
      <w:spacing w:before="240" w:after="60" w:line="240" w:lineRule="auto"/>
      <w:outlineLvl w:val="2"/>
    </w:pPr>
    <w:rPr>
      <w:rFonts w:eastAsia="Times New Roman" w:cs="Arial"/>
      <w:b/>
      <w:bCs/>
      <w:szCs w:val="26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AEF"/>
    <w:rPr>
      <w:rFonts w:ascii="Arial" w:eastAsia="Times New Roman" w:hAnsi="Arial" w:cs="Arial"/>
      <w:b/>
      <w:bCs/>
      <w:kern w:val="32"/>
      <w:sz w:val="28"/>
      <w:szCs w:val="32"/>
      <w:lang w:eastAsia="de-CH"/>
    </w:rPr>
  </w:style>
  <w:style w:type="character" w:customStyle="1" w:styleId="Heading2Char">
    <w:name w:val="Heading 2 Char"/>
    <w:basedOn w:val="DefaultParagraphFont"/>
    <w:link w:val="Heading2"/>
    <w:rsid w:val="00723AEF"/>
    <w:rPr>
      <w:rFonts w:ascii="Arial" w:eastAsia="Times New Roman" w:hAnsi="Arial" w:cs="Arial"/>
      <w:b/>
      <w:bCs/>
      <w:i/>
      <w:iCs/>
      <w:szCs w:val="28"/>
      <w:lang w:eastAsia="de-CH"/>
    </w:rPr>
  </w:style>
  <w:style w:type="character" w:customStyle="1" w:styleId="Heading3Char">
    <w:name w:val="Heading 3 Char"/>
    <w:basedOn w:val="DefaultParagraphFont"/>
    <w:link w:val="Heading3"/>
    <w:rsid w:val="00723AEF"/>
    <w:rPr>
      <w:rFonts w:ascii="Arial" w:eastAsia="Times New Roman" w:hAnsi="Arial" w:cs="Arial"/>
      <w:b/>
      <w:bCs/>
      <w:szCs w:val="26"/>
      <w:lang w:eastAsia="de-CH"/>
    </w:rPr>
  </w:style>
  <w:style w:type="paragraph" w:styleId="Header">
    <w:name w:val="header"/>
    <w:basedOn w:val="Normal"/>
    <w:link w:val="HeaderChar"/>
    <w:rsid w:val="00723AE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de-CH"/>
    </w:rPr>
  </w:style>
  <w:style w:type="character" w:customStyle="1" w:styleId="HeaderChar">
    <w:name w:val="Header Char"/>
    <w:basedOn w:val="DefaultParagraphFont"/>
    <w:link w:val="Header"/>
    <w:rsid w:val="00723AEF"/>
    <w:rPr>
      <w:rFonts w:ascii="Arial" w:eastAsia="Times New Roman" w:hAnsi="Arial" w:cs="Times New Roman"/>
      <w:szCs w:val="24"/>
      <w:lang w:eastAsia="de-CH"/>
    </w:rPr>
  </w:style>
  <w:style w:type="paragraph" w:styleId="Footer">
    <w:name w:val="footer"/>
    <w:basedOn w:val="Normal"/>
    <w:link w:val="FooterChar"/>
    <w:rsid w:val="00723AE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de-CH"/>
    </w:rPr>
  </w:style>
  <w:style w:type="character" w:customStyle="1" w:styleId="FooterChar">
    <w:name w:val="Footer Char"/>
    <w:basedOn w:val="DefaultParagraphFont"/>
    <w:link w:val="Footer"/>
    <w:rsid w:val="00723AEF"/>
    <w:rPr>
      <w:rFonts w:ascii="Arial" w:eastAsia="Times New Roman" w:hAnsi="Arial" w:cs="Times New Roman"/>
      <w:szCs w:val="24"/>
      <w:lang w:eastAsia="de-CH"/>
    </w:rPr>
  </w:style>
  <w:style w:type="character" w:styleId="PageNumber">
    <w:name w:val="page number"/>
    <w:basedOn w:val="DefaultParagraphFont"/>
    <w:rsid w:val="00723AEF"/>
  </w:style>
  <w:style w:type="character" w:customStyle="1" w:styleId="BalloonTextChar">
    <w:name w:val="Balloon Text Char"/>
    <w:basedOn w:val="DefaultParagraphFont"/>
    <w:link w:val="BalloonText"/>
    <w:semiHidden/>
    <w:rsid w:val="00723AEF"/>
    <w:rPr>
      <w:rFonts w:ascii="Tahoma" w:eastAsia="Times New Roman" w:hAnsi="Tahoma" w:cs="Tahoma"/>
      <w:sz w:val="16"/>
      <w:szCs w:val="16"/>
      <w:lang w:eastAsia="de-CH"/>
    </w:rPr>
  </w:style>
  <w:style w:type="paragraph" w:styleId="BalloonText">
    <w:name w:val="Balloon Text"/>
    <w:basedOn w:val="Normal"/>
    <w:link w:val="BalloonTextChar"/>
    <w:semiHidden/>
    <w:rsid w:val="00723AEF"/>
    <w:pPr>
      <w:spacing w:after="0" w:line="240" w:lineRule="auto"/>
    </w:pPr>
    <w:rPr>
      <w:rFonts w:ascii="Tahoma" w:eastAsia="Times New Roman" w:hAnsi="Tahoma" w:cs="Tahoma"/>
      <w:sz w:val="16"/>
      <w:szCs w:val="16"/>
      <w:lang w:eastAsia="de-CH"/>
    </w:rPr>
  </w:style>
  <w:style w:type="paragraph" w:styleId="PlainText">
    <w:name w:val="Plain Text"/>
    <w:basedOn w:val="Normal"/>
    <w:link w:val="PlainTextChar"/>
    <w:rsid w:val="00723A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PlainTextChar">
    <w:name w:val="Plain Text Char"/>
    <w:basedOn w:val="DefaultParagraphFont"/>
    <w:link w:val="PlainText"/>
    <w:rsid w:val="00723AEF"/>
    <w:rPr>
      <w:rFonts w:ascii="Courier New" w:eastAsia="Times New Roman" w:hAnsi="Courier New" w:cs="Courier New"/>
      <w:sz w:val="20"/>
      <w:szCs w:val="20"/>
      <w:lang w:eastAsia="de-CH"/>
    </w:rPr>
  </w:style>
  <w:style w:type="paragraph" w:customStyle="1" w:styleId="Tabellentext">
    <w:name w:val="Tabellentext"/>
    <w:basedOn w:val="Normal"/>
    <w:rsid w:val="00723AEF"/>
    <w:pPr>
      <w:spacing w:after="0" w:line="240" w:lineRule="auto"/>
    </w:pPr>
    <w:rPr>
      <w:rFonts w:eastAsia="MS Mincho" w:cs="Times New Roman"/>
      <w:sz w:val="20"/>
      <w:szCs w:val="24"/>
      <w:lang w:eastAsia="ja-JP"/>
    </w:rPr>
  </w:style>
  <w:style w:type="paragraph" w:customStyle="1" w:styleId="Tabellenspaltenberschrift">
    <w:name w:val="Tabellenspaltenüberschrift"/>
    <w:basedOn w:val="Tabellentext"/>
    <w:next w:val="Tabellentext"/>
    <w:rsid w:val="00723AEF"/>
    <w:pPr>
      <w:jc w:val="center"/>
    </w:pPr>
    <w:rPr>
      <w:b/>
    </w:rPr>
  </w:style>
  <w:style w:type="paragraph" w:customStyle="1" w:styleId="TabellentextEingezogen">
    <w:name w:val="TabellentextEingezogen"/>
    <w:basedOn w:val="Tabellentext"/>
    <w:rsid w:val="00723AEF"/>
    <w:pPr>
      <w:ind w:left="284"/>
    </w:pPr>
  </w:style>
  <w:style w:type="paragraph" w:customStyle="1" w:styleId="TabellentextEingezogen2">
    <w:name w:val="TabellentextEingezogen2"/>
    <w:basedOn w:val="TabellentextEingezogen"/>
    <w:rsid w:val="00723AEF"/>
    <w:pPr>
      <w:ind w:left="567"/>
    </w:pPr>
  </w:style>
  <w:style w:type="paragraph" w:customStyle="1" w:styleId="TabellentextZentriert">
    <w:name w:val="TabellentextZentriert"/>
    <w:basedOn w:val="Tabellentext"/>
    <w:rsid w:val="00723AEF"/>
    <w:pPr>
      <w:jc w:val="center"/>
    </w:pPr>
  </w:style>
  <w:style w:type="character" w:customStyle="1" w:styleId="citation">
    <w:name w:val="citation"/>
    <w:rsid w:val="00723AEF"/>
  </w:style>
  <w:style w:type="character" w:customStyle="1" w:styleId="ref-journal1">
    <w:name w:val="ref-journal1"/>
    <w:rsid w:val="00723AEF"/>
    <w:rPr>
      <w:i/>
      <w:iCs/>
    </w:rPr>
  </w:style>
  <w:style w:type="character" w:customStyle="1" w:styleId="ref-vol">
    <w:name w:val="ref-vol"/>
    <w:rsid w:val="00723AEF"/>
  </w:style>
  <w:style w:type="character" w:styleId="CommentReference">
    <w:name w:val="annotation reference"/>
    <w:uiPriority w:val="99"/>
    <w:rsid w:val="0072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3AEF"/>
    <w:pPr>
      <w:spacing w:after="0" w:line="240" w:lineRule="auto"/>
    </w:pPr>
    <w:rPr>
      <w:rFonts w:eastAsia="Times New Roman" w:cs="Times New Roman"/>
      <w:sz w:val="20"/>
      <w:szCs w:val="20"/>
      <w:lang w:eastAsia="de-C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AEF"/>
    <w:rPr>
      <w:rFonts w:ascii="Arial" w:eastAsia="Times New Roman" w:hAnsi="Arial" w:cs="Times New Roman"/>
      <w:sz w:val="20"/>
      <w:szCs w:val="20"/>
      <w:lang w:eastAsia="de-CH"/>
    </w:rPr>
  </w:style>
  <w:style w:type="paragraph" w:styleId="CommentSubject">
    <w:name w:val="annotation subject"/>
    <w:basedOn w:val="CommentText"/>
    <w:next w:val="CommentText"/>
    <w:link w:val="CommentSubjectChar"/>
    <w:rsid w:val="0072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3AEF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NormalWeb">
    <w:name w:val="Normal (Web)"/>
    <w:basedOn w:val="Normal"/>
    <w:uiPriority w:val="99"/>
    <w:unhideWhenUsed/>
    <w:rsid w:val="00723A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CH"/>
    </w:rPr>
  </w:style>
  <w:style w:type="paragraph" w:customStyle="1" w:styleId="Table11p">
    <w:name w:val="Table 11p"/>
    <w:basedOn w:val="Normal"/>
    <w:qFormat/>
    <w:rsid w:val="00723AEF"/>
    <w:pPr>
      <w:spacing w:after="0" w:line="240" w:lineRule="auto"/>
      <w:jc w:val="center"/>
    </w:pPr>
    <w:rPr>
      <w:rFonts w:eastAsia="Times New Roman" w:cs="Times New Roman"/>
      <w:szCs w:val="24"/>
      <w:lang w:eastAsia="de-CH"/>
    </w:rPr>
  </w:style>
  <w:style w:type="paragraph" w:customStyle="1" w:styleId="Table10p">
    <w:name w:val="Table 10p"/>
    <w:basedOn w:val="Normal"/>
    <w:qFormat/>
    <w:rsid w:val="00723AEF"/>
    <w:pPr>
      <w:spacing w:after="0" w:line="240" w:lineRule="auto"/>
      <w:jc w:val="center"/>
    </w:pPr>
    <w:rPr>
      <w:rFonts w:eastAsia="Times New Roman" w:cs="Times New Roman"/>
      <w:sz w:val="20"/>
      <w:szCs w:val="20"/>
      <w:lang w:eastAsia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EF"/>
    <w:pPr>
      <w:spacing w:line="480" w:lineRule="auto"/>
    </w:pPr>
    <w:rPr>
      <w:rFonts w:eastAsia="Times New Roman" w:cs="Arial"/>
      <w:b/>
      <w:iCs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23AEF"/>
    <w:rPr>
      <w:rFonts w:ascii="Arial" w:eastAsia="Times New Roman" w:hAnsi="Arial" w:cs="Arial"/>
      <w:b/>
      <w:iCs/>
      <w:spacing w:val="1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3AE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de-CH"/>
    </w:rPr>
  </w:style>
  <w:style w:type="table" w:styleId="GridTable4-Accent6">
    <w:name w:val="Grid Table 4 Accent 6"/>
    <w:basedOn w:val="TableNormal"/>
    <w:uiPriority w:val="49"/>
    <w:rsid w:val="0072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723A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de-CH"/>
    </w:rPr>
  </w:style>
  <w:style w:type="character" w:styleId="Emphasis">
    <w:name w:val="Emphasis"/>
    <w:basedOn w:val="DefaultParagraphFont"/>
    <w:uiPriority w:val="20"/>
    <w:qFormat/>
    <w:rsid w:val="00723AEF"/>
    <w:rPr>
      <w:i/>
      <w:iCs/>
    </w:rPr>
  </w:style>
  <w:style w:type="paragraph" w:customStyle="1" w:styleId="msonormal0">
    <w:name w:val="msonormal"/>
    <w:basedOn w:val="Normal"/>
    <w:rsid w:val="007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1919</Words>
  <Characters>12095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Angelillo-Scherrer, Anne</dc:creator>
  <cp:keywords/>
  <dc:description/>
  <cp:lastModifiedBy>Angelillo-Scherrer, Anne</cp:lastModifiedBy>
  <cp:revision>2</cp:revision>
  <cp:lastPrinted>2022-01-27T17:05:00Z</cp:lastPrinted>
  <dcterms:created xsi:type="dcterms:W3CDTF">2023-07-16T19:43:00Z</dcterms:created>
  <dcterms:modified xsi:type="dcterms:W3CDTF">2023-07-16T19:43:00Z</dcterms:modified>
</cp:coreProperties>
</file>