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3A59" w14:textId="53F4D1D6" w:rsidR="00897616" w:rsidRPr="009020C6" w:rsidRDefault="009020C6">
      <w:pPr>
        <w:rPr>
          <w:rFonts w:ascii="Palatino Linotype" w:hAnsi="Palatino Linotype" w:cs="Times New Roman"/>
          <w:sz w:val="20"/>
          <w:szCs w:val="20"/>
          <w:lang w:val="en-US"/>
        </w:rPr>
      </w:pPr>
      <w:r w:rsidRPr="009020C6">
        <w:rPr>
          <w:rFonts w:ascii="Palatino Linotype" w:eastAsia="Calibri" w:hAnsi="Palatino Linotype" w:cs="Times New Roman"/>
          <w:b/>
          <w:color w:val="000000" w:themeColor="text1"/>
          <w:kern w:val="24"/>
          <w:sz w:val="20"/>
          <w:szCs w:val="20"/>
          <w:lang w:val="en-US" w:eastAsia="es-ES"/>
        </w:rPr>
        <w:t>Table S1</w:t>
      </w:r>
      <w:r w:rsidRPr="009020C6">
        <w:rPr>
          <w:rFonts w:ascii="Palatino Linotype" w:eastAsia="Calibri" w:hAnsi="Palatino Linotype" w:cs="Times New Roman"/>
          <w:color w:val="000000" w:themeColor="text1"/>
          <w:kern w:val="24"/>
          <w:sz w:val="20"/>
          <w:szCs w:val="20"/>
          <w:lang w:val="en-US" w:eastAsia="es-ES"/>
        </w:rPr>
        <w:t>.</w:t>
      </w:r>
      <w:r w:rsidRPr="009020C6">
        <w:rPr>
          <w:rFonts w:ascii="Palatino Linotype" w:eastAsiaTheme="minorEastAsia" w:hAnsi="Palatino Linotype" w:cs="Times New Roman"/>
          <w:color w:val="000000" w:themeColor="text1"/>
          <w:kern w:val="24"/>
          <w:sz w:val="20"/>
          <w:szCs w:val="20"/>
          <w:lang w:val="en-US" w:eastAsia="es-ES"/>
        </w:rPr>
        <w:t xml:space="preserve"> List of primers used in this study for qPCR analysis</w:t>
      </w:r>
    </w:p>
    <w:tbl>
      <w:tblPr>
        <w:tblW w:w="10465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47"/>
        <w:gridCol w:w="1496"/>
        <w:gridCol w:w="2090"/>
        <w:gridCol w:w="4038"/>
        <w:gridCol w:w="1494"/>
      </w:tblGrid>
      <w:tr w:rsidR="00557EBF" w:rsidRPr="009020C6" w14:paraId="3B4B24F9" w14:textId="77777777" w:rsidTr="009020C6">
        <w:trPr>
          <w:jc w:val="center"/>
        </w:trPr>
        <w:tc>
          <w:tcPr>
            <w:tcW w:w="1222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745FA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Gene symbol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48147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Accession</w:t>
            </w:r>
          </w:p>
          <w:p w14:paraId="13D06B92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number</w:t>
            </w:r>
          </w:p>
        </w:tc>
        <w:tc>
          <w:tcPr>
            <w:tcW w:w="1896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B6D4C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Gene</w:t>
            </w:r>
          </w:p>
          <w:p w14:paraId="5A5CCB5C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description</w:t>
            </w:r>
          </w:p>
        </w:tc>
        <w:tc>
          <w:tcPr>
            <w:tcW w:w="3663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25E97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Primer sequence (5´-3´)</w:t>
            </w:r>
          </w:p>
          <w:p w14:paraId="51239C59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Forward/Reverse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1E5D6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b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b/>
                <w:color w:val="000000" w:themeColor="text1"/>
                <w:kern w:val="24"/>
                <w:sz w:val="20"/>
                <w:szCs w:val="20"/>
                <w:lang w:val="en-US" w:eastAsia="es-ES"/>
              </w:rPr>
              <w:t>Amplicon length</w:t>
            </w:r>
          </w:p>
        </w:tc>
      </w:tr>
      <w:tr w:rsidR="00557EBF" w:rsidRPr="009020C6" w14:paraId="634CE7C1" w14:textId="77777777" w:rsidTr="009020C6">
        <w:trPr>
          <w:jc w:val="center"/>
        </w:trPr>
        <w:tc>
          <w:tcPr>
            <w:tcW w:w="12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D64351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>ACT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1529E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ID6828205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B4939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>Actin 2</w:t>
            </w:r>
          </w:p>
        </w:tc>
        <w:tc>
          <w:tcPr>
            <w:tcW w:w="366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4D0AB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GCCCCACGAGCTGTGTTC/</w:t>
            </w:r>
          </w:p>
          <w:p w14:paraId="59E61C77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TCTGGCCCATTCCAACCA</w:t>
            </w:r>
          </w:p>
        </w:tc>
        <w:tc>
          <w:tcPr>
            <w:tcW w:w="13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EF43E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73 nt</w:t>
            </w:r>
          </w:p>
        </w:tc>
      </w:tr>
      <w:tr w:rsidR="00557EBF" w:rsidRPr="009020C6" w14:paraId="1562D720" w14:textId="77777777" w:rsidTr="009020C6">
        <w:trPr>
          <w:jc w:val="center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3D36C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>SCL1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296D3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DQ683579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0E629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>Scarecrow-like 1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A6DA3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CGCCTCCTATTCTGGGTGAGTA/</w:t>
            </w:r>
          </w:p>
          <w:p w14:paraId="076CEFA5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GCCAACCCATCACCAAAATG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322FDB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118 nt</w:t>
            </w:r>
          </w:p>
        </w:tc>
      </w:tr>
      <w:tr w:rsidR="00557EBF" w:rsidRPr="009020C6" w14:paraId="5E56E2AB" w14:textId="77777777" w:rsidTr="009020C6">
        <w:trPr>
          <w:jc w:val="center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3B621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 xml:space="preserve">TUB </w:t>
            </w:r>
          </w:p>
          <w:p w14:paraId="39CEB8C0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27065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ID2842854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EB9F1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 xml:space="preserve">β-Tubulin 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6037ED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CTCGTGCTGTTCTCATGGATCT/</w:t>
            </w:r>
          </w:p>
          <w:p w14:paraId="214E7629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TGGCCGAAAACGAAGTTGTC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7CE6C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100 nt</w:t>
            </w:r>
          </w:p>
        </w:tc>
      </w:tr>
      <w:tr w:rsidR="00557EBF" w:rsidRPr="009020C6" w14:paraId="7B9E2D29" w14:textId="77777777" w:rsidTr="009020C6">
        <w:trPr>
          <w:jc w:val="center"/>
        </w:trPr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2A75E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>UBI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B948C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ID3924917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E78B4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i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i/>
                <w:color w:val="000000" w:themeColor="text1"/>
                <w:kern w:val="24"/>
                <w:sz w:val="20"/>
                <w:szCs w:val="20"/>
                <w:lang w:val="en-US" w:eastAsia="es-ES"/>
              </w:rPr>
              <w:t>Polyubiquitin 3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973ED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AGGAATCAACCCTTCACCTTGTC/</w:t>
            </w:r>
          </w:p>
          <w:p w14:paraId="04B0F92F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GAACTCTCCACCTCCAAAGTGATG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42863" w14:textId="77777777" w:rsidR="00557EBF" w:rsidRPr="009020C6" w:rsidRDefault="00557EBF" w:rsidP="009020C6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 w:cs="Arial"/>
                <w:sz w:val="20"/>
                <w:szCs w:val="20"/>
                <w:lang w:eastAsia="es-ES"/>
              </w:rPr>
            </w:pPr>
            <w:r w:rsidRPr="009020C6">
              <w:rPr>
                <w:rFonts w:ascii="Palatino Linotype" w:eastAsia="Times New Roman" w:hAnsi="Palatino Linotype" w:cs="Times New Roman"/>
                <w:color w:val="000000" w:themeColor="text1"/>
                <w:kern w:val="24"/>
                <w:sz w:val="20"/>
                <w:szCs w:val="20"/>
                <w:lang w:val="en-US" w:eastAsia="es-ES"/>
              </w:rPr>
              <w:t>100 nt</w:t>
            </w:r>
          </w:p>
        </w:tc>
      </w:tr>
    </w:tbl>
    <w:p w14:paraId="2F6D95A2" w14:textId="77777777" w:rsidR="00587CF7" w:rsidRPr="009020C6" w:rsidRDefault="00587CF7">
      <w:pPr>
        <w:rPr>
          <w:rFonts w:ascii="Palatino Linotype" w:hAnsi="Palatino Linotype"/>
          <w:sz w:val="20"/>
          <w:szCs w:val="20"/>
        </w:rPr>
      </w:pPr>
    </w:p>
    <w:p w14:paraId="1A123F99" w14:textId="77777777" w:rsidR="00557EBF" w:rsidRPr="009020C6" w:rsidRDefault="00F325C1" w:rsidP="009020C6">
      <w:pPr>
        <w:jc w:val="center"/>
        <w:rPr>
          <w:rFonts w:ascii="Palatino Linotype" w:hAnsi="Palatino Linotype"/>
          <w:sz w:val="20"/>
          <w:szCs w:val="20"/>
        </w:rPr>
      </w:pPr>
      <w:r w:rsidRPr="009020C6">
        <w:rPr>
          <w:rFonts w:ascii="Palatino Linotype" w:hAnsi="Palatino Linotype"/>
          <w:noProof/>
          <w:sz w:val="20"/>
          <w:szCs w:val="20"/>
          <w:lang w:eastAsia="es-ES"/>
        </w:rPr>
        <w:drawing>
          <wp:inline distT="0" distB="0" distL="0" distR="0" wp14:anchorId="0810DBB1" wp14:editId="09C8C45C">
            <wp:extent cx="3523615" cy="2664460"/>
            <wp:effectExtent l="0" t="0" r="635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E8418" w14:textId="5FCCCA8F" w:rsidR="00F325C1" w:rsidRPr="009020C6" w:rsidRDefault="00F325C1" w:rsidP="00F325C1">
      <w:pPr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9020C6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 w:rsidRPr="009020C6">
        <w:rPr>
          <w:rFonts w:ascii="Palatino Linotype" w:hAnsi="Palatino Linotype" w:cs="Times New Roman"/>
          <w:sz w:val="20"/>
          <w:szCs w:val="20"/>
          <w:lang w:val="en-US"/>
        </w:rPr>
        <w:t>. In vitro rooted leaves excised from microshoots established from chestnut b</w:t>
      </w:r>
      <w:r w:rsidR="00431A47" w:rsidRPr="009020C6">
        <w:rPr>
          <w:rFonts w:ascii="Palatino Linotype" w:hAnsi="Palatino Linotype" w:cs="Times New Roman"/>
          <w:sz w:val="20"/>
          <w:szCs w:val="20"/>
          <w:lang w:val="en-US"/>
        </w:rPr>
        <w:t>asal sprouts. Leaves were placed</w:t>
      </w:r>
      <w:r w:rsidRPr="009020C6">
        <w:rPr>
          <w:rFonts w:ascii="Palatino Linotype" w:hAnsi="Palatino Linotype" w:cs="Times New Roman"/>
          <w:sz w:val="20"/>
          <w:szCs w:val="20"/>
          <w:lang w:val="en-US"/>
        </w:rPr>
        <w:t xml:space="preserve"> abaxial side down on medium containing   </w:t>
      </w:r>
      <w:r w:rsidRPr="009020C6">
        <w:rPr>
          <w:rFonts w:ascii="Palatino Linotype" w:hAnsi="Palatino Linotype" w:cs="Times New Roman"/>
          <w:sz w:val="20"/>
          <w:szCs w:val="20"/>
          <w:lang w:val="en-GB"/>
        </w:rPr>
        <w:t>25 µM IBA for 5 days and then transferred to IBA-free medium.</w:t>
      </w:r>
    </w:p>
    <w:p w14:paraId="32BE750F" w14:textId="77777777" w:rsidR="00557EBF" w:rsidRPr="009020C6" w:rsidRDefault="00557EBF">
      <w:pPr>
        <w:rPr>
          <w:rFonts w:ascii="Palatino Linotype" w:hAnsi="Palatino Linotype"/>
          <w:sz w:val="20"/>
          <w:szCs w:val="20"/>
          <w:lang w:val="en-US"/>
        </w:rPr>
      </w:pPr>
    </w:p>
    <w:p w14:paraId="4F9D84A2" w14:textId="77777777" w:rsidR="00557EBF" w:rsidRPr="009020C6" w:rsidRDefault="00557EBF">
      <w:pPr>
        <w:rPr>
          <w:rFonts w:ascii="Palatino Linotype" w:hAnsi="Palatino Linotype"/>
          <w:sz w:val="20"/>
          <w:szCs w:val="20"/>
          <w:lang w:val="en-US"/>
        </w:rPr>
      </w:pPr>
    </w:p>
    <w:p w14:paraId="68F61FED" w14:textId="77777777" w:rsidR="001B3DF1" w:rsidRPr="009020C6" w:rsidRDefault="001B3DF1" w:rsidP="009020C6">
      <w:pPr>
        <w:jc w:val="center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9020C6">
        <w:rPr>
          <w:rFonts w:ascii="Palatino Linotype" w:hAnsi="Palatino Linotype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7621B398" wp14:editId="05F3B493">
            <wp:extent cx="4377055" cy="3005455"/>
            <wp:effectExtent l="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FE978" w14:textId="7073EF4F" w:rsidR="00587CF7" w:rsidRPr="009020C6" w:rsidRDefault="002A6859" w:rsidP="001C68C7">
      <w:pPr>
        <w:jc w:val="both"/>
        <w:rPr>
          <w:rFonts w:ascii="Palatino Linotype" w:eastAsia="PMingLiU" w:hAnsi="Palatino Linotype" w:cs="Times New Roman"/>
          <w:sz w:val="20"/>
          <w:szCs w:val="20"/>
          <w:lang w:val="en-US"/>
        </w:rPr>
      </w:pPr>
      <w:r w:rsidRPr="009020C6">
        <w:rPr>
          <w:rFonts w:ascii="Palatino Linotype" w:hAnsi="Palatino Linotype" w:cs="Times New Roman"/>
          <w:b/>
          <w:sz w:val="20"/>
          <w:szCs w:val="20"/>
          <w:lang w:val="en-US"/>
        </w:rPr>
        <w:t>Figure S2</w:t>
      </w:r>
      <w:r w:rsidRPr="009020C6">
        <w:rPr>
          <w:rFonts w:ascii="Palatino Linotype" w:hAnsi="Palatino Linotype" w:cs="Times New Roman"/>
          <w:sz w:val="20"/>
          <w:szCs w:val="20"/>
          <w:lang w:val="en-US"/>
        </w:rPr>
        <w:t xml:space="preserve">. </w:t>
      </w:r>
      <w:r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>Plant material excised from microshoots at the end of proliferation (a) and rooting phases (b).</w:t>
      </w:r>
      <w:r w:rsidR="001C68C7"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 ab: axillary buds; ar: apical 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section </w:t>
      </w:r>
      <w:r w:rsidR="001C68C7"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of the root; br: basal 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section </w:t>
      </w:r>
      <w:r w:rsidR="001C68C7"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of the root; i: internodes; l: leaf; mr: middle 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section </w:t>
      </w:r>
      <w:r w:rsidR="001C68C7"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of the root. </w:t>
      </w:r>
    </w:p>
    <w:p w14:paraId="3C6C9BB4" w14:textId="77777777" w:rsidR="00155F52" w:rsidRPr="009020C6" w:rsidRDefault="00155F52" w:rsidP="00A512F8">
      <w:pPr>
        <w:rPr>
          <w:rFonts w:ascii="Palatino Linotype" w:hAnsi="Palatino Linotype" w:cs="Times New Roman"/>
          <w:sz w:val="20"/>
          <w:szCs w:val="20"/>
          <w:lang w:val="en-US"/>
        </w:rPr>
      </w:pPr>
    </w:p>
    <w:p w14:paraId="2D9E0CA7" w14:textId="77777777" w:rsidR="00155F52" w:rsidRPr="009020C6" w:rsidRDefault="00155F52" w:rsidP="009020C6">
      <w:pPr>
        <w:jc w:val="center"/>
        <w:rPr>
          <w:rFonts w:ascii="Palatino Linotype" w:hAnsi="Palatino Linotype" w:cs="Times New Roman"/>
          <w:sz w:val="20"/>
          <w:szCs w:val="20"/>
          <w:lang w:val="en-US"/>
        </w:rPr>
      </w:pPr>
      <w:r w:rsidRPr="009020C6">
        <w:rPr>
          <w:rFonts w:ascii="Palatino Linotype" w:hAnsi="Palatino Linotype"/>
          <w:noProof/>
          <w:sz w:val="20"/>
          <w:szCs w:val="20"/>
          <w:lang w:eastAsia="es-ES"/>
        </w:rPr>
        <w:drawing>
          <wp:inline distT="0" distB="0" distL="0" distR="0" wp14:anchorId="716323AC" wp14:editId="035C6723">
            <wp:extent cx="4603806" cy="3143222"/>
            <wp:effectExtent l="0" t="0" r="6350" b="63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9D0AE8B-DE8F-4A06-8B3B-3055CFDFE9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358285A" w14:textId="2AB08C62" w:rsidR="002A6859" w:rsidRPr="009020C6" w:rsidRDefault="002A6859" w:rsidP="00F325C1">
      <w:pPr>
        <w:spacing w:before="100" w:beforeAutospacing="1" w:after="120" w:line="360" w:lineRule="auto"/>
        <w:jc w:val="both"/>
        <w:rPr>
          <w:rFonts w:ascii="Palatino Linotype" w:eastAsia="PMingLiU" w:hAnsi="Palatino Linotype" w:cs="Times New Roman"/>
          <w:sz w:val="20"/>
          <w:szCs w:val="20"/>
          <w:lang w:val="en-GB"/>
        </w:rPr>
      </w:pPr>
      <w:r w:rsidRPr="009020C6">
        <w:rPr>
          <w:rFonts w:ascii="Palatino Linotype" w:eastAsia="PMingLiU" w:hAnsi="Palatino Linotype" w:cs="Times New Roman"/>
          <w:b/>
          <w:sz w:val="20"/>
          <w:szCs w:val="20"/>
          <w:lang w:val="en-US"/>
        </w:rPr>
        <w:t>Figure S3</w:t>
      </w:r>
      <w:r w:rsidRPr="009020C6">
        <w:rPr>
          <w:rFonts w:ascii="Palatino Linotype" w:eastAsia="PMingLiU" w:hAnsi="Palatino Linotype" w:cs="Times New Roman"/>
          <w:sz w:val="20"/>
          <w:szCs w:val="20"/>
          <w:lang w:val="en-US"/>
        </w:rPr>
        <w:t xml:space="preserve">. Influence of the ontogenetic stage on the rooting response </w:t>
      </w:r>
      <w:r w:rsidR="00F325C1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 xml:space="preserve">of microshoots derived from basal shoots (BS 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micro</w:t>
      </w:r>
      <w:r w:rsidR="00F325C1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shoot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s</w:t>
      </w:r>
      <w:r w:rsidR="00F325C1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) and from crown branches (C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R</w:t>
      </w:r>
      <w:r w:rsidR="00F325C1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 xml:space="preserve"> 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Micro</w:t>
      </w:r>
      <w:r w:rsidR="00F325C1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shoot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s</w:t>
      </w:r>
      <w:r w:rsidR="00F325C1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) and of leaves excised from these microshoots</w:t>
      </w:r>
      <w:r w:rsidR="00155F52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 xml:space="preserve"> (BS leaves, CR Leaves)</w:t>
      </w:r>
      <w:r w:rsidR="00F325C1" w:rsidRPr="009020C6">
        <w:rPr>
          <w:rFonts w:ascii="Palatino Linotype" w:eastAsia="PMingLiU" w:hAnsi="Palatino Linotype" w:cs="Times New Roman"/>
          <w:sz w:val="20"/>
          <w:szCs w:val="20"/>
          <w:lang w:val="en-GB"/>
        </w:rPr>
        <w:t>.</w:t>
      </w:r>
    </w:p>
    <w:sectPr w:rsidR="002A6859" w:rsidRPr="009020C6" w:rsidSect="00196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EBF"/>
    <w:rsid w:val="0006758F"/>
    <w:rsid w:val="00086159"/>
    <w:rsid w:val="000E7024"/>
    <w:rsid w:val="00155F52"/>
    <w:rsid w:val="00193413"/>
    <w:rsid w:val="00196F9B"/>
    <w:rsid w:val="001B3DF1"/>
    <w:rsid w:val="001C68C7"/>
    <w:rsid w:val="001D0FC5"/>
    <w:rsid w:val="002809EA"/>
    <w:rsid w:val="002A6859"/>
    <w:rsid w:val="002F16DD"/>
    <w:rsid w:val="00431A47"/>
    <w:rsid w:val="00557EBF"/>
    <w:rsid w:val="00587CF7"/>
    <w:rsid w:val="00740F89"/>
    <w:rsid w:val="00897616"/>
    <w:rsid w:val="009020C6"/>
    <w:rsid w:val="00975B85"/>
    <w:rsid w:val="00A512F8"/>
    <w:rsid w:val="00B974A2"/>
    <w:rsid w:val="00BB6C9D"/>
    <w:rsid w:val="00BC365B"/>
    <w:rsid w:val="00C663A0"/>
    <w:rsid w:val="00D003EE"/>
    <w:rsid w:val="00D659A9"/>
    <w:rsid w:val="00E67163"/>
    <w:rsid w:val="00F325C1"/>
    <w:rsid w:val="00F8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0E5C2"/>
  <w15:docId w15:val="{6701E83D-359D-4C77-A671-C3549E237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7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BF"/>
    <w:rPr>
      <w:rFonts w:ascii="Tahoma" w:hAnsi="Tahoma" w:cs="Tahoma"/>
      <w:sz w:val="16"/>
      <w:szCs w:val="16"/>
    </w:rPr>
  </w:style>
  <w:style w:type="paragraph" w:customStyle="1" w:styleId="MDPI12title">
    <w:name w:val="MDPI_1.2_title"/>
    <w:next w:val="Normal"/>
    <w:qFormat/>
    <w:rsid w:val="00975B85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155F5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styleId="Revision">
    <w:name w:val="Revision"/>
    <w:hidden/>
    <w:uiPriority w:val="99"/>
    <w:semiHidden/>
    <w:rsid w:val="00F838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7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sic.gal\Iiag\Homefolder\NievesVidal\de%20portatil%20despacho\Trabajos%20en%20evaluaci&#243;n\Hojas%20Elena%20Varas\Graficas_Varas%20et%20al%202023_NV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86313331523216"/>
          <c:y val="0.1018606357988637"/>
          <c:w val="0.8322376323649201"/>
          <c:h val="0.7716075665812574"/>
        </c:manualLayout>
      </c:layout>
      <c:scatterChart>
        <c:scatterStyle val="lineMarker"/>
        <c:varyColors val="0"/>
        <c:ser>
          <c:idx val="0"/>
          <c:order val="0"/>
          <c:tx>
            <c:strRef>
              <c:f>'Suppl Fig 3'!$D$3</c:f>
              <c:strCache>
                <c:ptCount val="1"/>
                <c:pt idx="0">
                  <c:v>BS Microshoots</c:v>
                </c:pt>
              </c:strCache>
            </c:strRef>
          </c:tx>
          <c:spPr>
            <a:ln w="25400" cap="rnd">
              <a:solidFill>
                <a:srgbClr val="008000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rgbClr val="00800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'Suppl Fig 3'!$C$4:$C$33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'Suppl Fig 3'!$D$4:$D$33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7.41</c:v>
                </c:pt>
                <c:pt idx="7">
                  <c:v>12.96</c:v>
                </c:pt>
                <c:pt idx="8">
                  <c:v>29.630000000000006</c:v>
                </c:pt>
                <c:pt idx="9">
                  <c:v>46.3</c:v>
                </c:pt>
                <c:pt idx="10">
                  <c:v>66.669999999999987</c:v>
                </c:pt>
                <c:pt idx="11">
                  <c:v>70.36999999999999</c:v>
                </c:pt>
                <c:pt idx="12">
                  <c:v>79.63</c:v>
                </c:pt>
                <c:pt idx="13">
                  <c:v>83.33</c:v>
                </c:pt>
                <c:pt idx="14">
                  <c:v>87.04</c:v>
                </c:pt>
                <c:pt idx="15">
                  <c:v>88.89</c:v>
                </c:pt>
                <c:pt idx="16">
                  <c:v>88.89</c:v>
                </c:pt>
                <c:pt idx="17">
                  <c:v>88.89</c:v>
                </c:pt>
                <c:pt idx="18">
                  <c:v>88.89</c:v>
                </c:pt>
                <c:pt idx="19">
                  <c:v>90.740000000000023</c:v>
                </c:pt>
                <c:pt idx="20">
                  <c:v>92.59</c:v>
                </c:pt>
                <c:pt idx="21">
                  <c:v>92.59</c:v>
                </c:pt>
                <c:pt idx="22">
                  <c:v>92.59</c:v>
                </c:pt>
                <c:pt idx="23">
                  <c:v>92.59</c:v>
                </c:pt>
                <c:pt idx="24">
                  <c:v>92.59</c:v>
                </c:pt>
                <c:pt idx="25">
                  <c:v>92.59</c:v>
                </c:pt>
                <c:pt idx="26">
                  <c:v>92.59</c:v>
                </c:pt>
                <c:pt idx="27">
                  <c:v>92.59</c:v>
                </c:pt>
                <c:pt idx="28">
                  <c:v>92.59</c:v>
                </c:pt>
                <c:pt idx="29">
                  <c:v>94.440000000000026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543-42E5-AD31-24CAA8C06B42}"/>
            </c:ext>
          </c:extLst>
        </c:ser>
        <c:ser>
          <c:idx val="1"/>
          <c:order val="1"/>
          <c:tx>
            <c:strRef>
              <c:f>'Suppl Fig 3'!$E$3</c:f>
              <c:strCache>
                <c:ptCount val="1"/>
                <c:pt idx="0">
                  <c:v>BS Leaves</c:v>
                </c:pt>
              </c:strCache>
            </c:strRef>
          </c:tx>
          <c:spPr>
            <a:ln w="25400" cap="rnd">
              <a:solidFill>
                <a:srgbClr val="008000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rgbClr val="008000"/>
                </a:solidFill>
              </a:ln>
              <a:effectLst/>
            </c:spPr>
          </c:marker>
          <c:xVal>
            <c:numRef>
              <c:f>'Suppl Fig 3'!$C$4:$C$33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'Suppl Fig 3'!$E$4:$E$33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24.07</c:v>
                </c:pt>
                <c:pt idx="8">
                  <c:v>61.11</c:v>
                </c:pt>
                <c:pt idx="9">
                  <c:v>83.33</c:v>
                </c:pt>
                <c:pt idx="10">
                  <c:v>94.440000000000026</c:v>
                </c:pt>
                <c:pt idx="11">
                  <c:v>94.440000000000026</c:v>
                </c:pt>
                <c:pt idx="12">
                  <c:v>96.3</c:v>
                </c:pt>
                <c:pt idx="13">
                  <c:v>96.3</c:v>
                </c:pt>
                <c:pt idx="14">
                  <c:v>96.3</c:v>
                </c:pt>
                <c:pt idx="15">
                  <c:v>96.3</c:v>
                </c:pt>
                <c:pt idx="16">
                  <c:v>96.3</c:v>
                </c:pt>
                <c:pt idx="17">
                  <c:v>96.3</c:v>
                </c:pt>
                <c:pt idx="18">
                  <c:v>96.3</c:v>
                </c:pt>
                <c:pt idx="19">
                  <c:v>96.3</c:v>
                </c:pt>
                <c:pt idx="20">
                  <c:v>96.3</c:v>
                </c:pt>
                <c:pt idx="21">
                  <c:v>96.3</c:v>
                </c:pt>
                <c:pt idx="22">
                  <c:v>96.3</c:v>
                </c:pt>
                <c:pt idx="23">
                  <c:v>96.3</c:v>
                </c:pt>
                <c:pt idx="24">
                  <c:v>96.3</c:v>
                </c:pt>
                <c:pt idx="25">
                  <c:v>96.3</c:v>
                </c:pt>
                <c:pt idx="26">
                  <c:v>96.3</c:v>
                </c:pt>
                <c:pt idx="27">
                  <c:v>96.3</c:v>
                </c:pt>
                <c:pt idx="28">
                  <c:v>96.3</c:v>
                </c:pt>
                <c:pt idx="29">
                  <c:v>96.3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543-42E5-AD31-24CAA8C06B42}"/>
            </c:ext>
          </c:extLst>
        </c:ser>
        <c:ser>
          <c:idx val="2"/>
          <c:order val="2"/>
          <c:tx>
            <c:strRef>
              <c:f>'Suppl Fig 3'!$F$3</c:f>
              <c:strCache>
                <c:ptCount val="1"/>
                <c:pt idx="0">
                  <c:v>CR Microshoots</c:v>
                </c:pt>
              </c:strCache>
            </c:strRef>
          </c:tx>
          <c:spPr>
            <a:ln w="25400" cap="rnd">
              <a:solidFill>
                <a:srgbClr val="C00000"/>
              </a:solidFill>
              <a:prstDash val="dash"/>
              <a:round/>
            </a:ln>
            <a:effectLst/>
          </c:spPr>
          <c:marker>
            <c:symbol val="x"/>
            <c:size val="5"/>
            <c:spPr>
              <a:solidFill>
                <a:srgbClr val="C00000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'Suppl Fig 3'!$C$4:$C$33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'Suppl Fig 3'!$F$4:$F$33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1.85</c:v>
                </c:pt>
                <c:pt idx="26">
                  <c:v>3.7</c:v>
                </c:pt>
                <c:pt idx="27">
                  <c:v>3.7</c:v>
                </c:pt>
                <c:pt idx="28">
                  <c:v>5.56</c:v>
                </c:pt>
                <c:pt idx="29">
                  <c:v>7.41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543-42E5-AD31-24CAA8C06B42}"/>
            </c:ext>
          </c:extLst>
        </c:ser>
        <c:ser>
          <c:idx val="3"/>
          <c:order val="3"/>
          <c:tx>
            <c:strRef>
              <c:f>'Suppl Fig 3'!$G$3</c:f>
              <c:strCache>
                <c:ptCount val="1"/>
                <c:pt idx="0">
                  <c:v>CR Leaves</c:v>
                </c:pt>
              </c:strCache>
            </c:strRef>
          </c:tx>
          <c:spPr>
            <a:ln w="25400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triang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xVal>
            <c:numRef>
              <c:f>'Suppl Fig 3'!$C$4:$C$33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'Suppl Fig 3'!$G$4:$G$33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1.85</c:v>
                </c:pt>
                <c:pt idx="29">
                  <c:v>1.85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543-42E5-AD31-24CAA8C06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236288"/>
        <c:axId val="120254848"/>
      </c:scatterChart>
      <c:valAx>
        <c:axId val="12023628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>
                    <a:solidFill>
                      <a:sysClr val="windowText" lastClr="000000"/>
                    </a:solidFill>
                  </a:rPr>
                  <a:t>Time (d)</a:t>
                </a:r>
              </a:p>
            </c:rich>
          </c:tx>
          <c:layout>
            <c:manualLayout>
              <c:xMode val="edge"/>
              <c:yMode val="edge"/>
              <c:x val="0.8510874830301387"/>
              <c:y val="0.9328237789229667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254848"/>
        <c:crosses val="autoZero"/>
        <c:crossBetween val="midCat"/>
      </c:valAx>
      <c:valAx>
        <c:axId val="120254848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ysClr val="windowText" lastClr="000000"/>
                    </a:solidFill>
                  </a:rPr>
                  <a:t>Rooting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236288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219766494705373"/>
          <c:y val="0.31925809842472092"/>
          <c:w val="0.36819831658973662"/>
          <c:h val="0.36242905987529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1032</Characters>
  <Application>Microsoft Office Word</Application>
  <DocSecurity>0</DocSecurity>
  <Lines>54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M.CONCEPCION SANCHEZ FERNANDEZ</dc:creator>
  <cp:lastModifiedBy>Varittha (Num-Tan) Sritalahareuthai</cp:lastModifiedBy>
  <cp:revision>4</cp:revision>
  <cp:lastPrinted>2016-02-29T15:22:00Z</cp:lastPrinted>
  <dcterms:created xsi:type="dcterms:W3CDTF">2023-06-19T11:13:00Z</dcterms:created>
  <dcterms:modified xsi:type="dcterms:W3CDTF">2023-06-20T01:13:00Z</dcterms:modified>
</cp:coreProperties>
</file>