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96388" w:rsidR="00A96388" w:rsidP="25FDB9F7" w:rsidRDefault="00A96388" w14:paraId="5E923152" w14:textId="3693A771">
      <w:pPr>
        <w:jc w:val="both"/>
        <w:rPr>
          <w:rFonts w:ascii="Arial" w:hAnsi="Arial" w:eastAsia="Arial" w:cs="Arial"/>
          <w:b/>
          <w:bCs/>
          <w:i/>
          <w:iCs/>
          <w:sz w:val="24"/>
          <w:szCs w:val="24"/>
        </w:rPr>
      </w:pPr>
      <w:r w:rsidRPr="25FDB9F7">
        <w:rPr>
          <w:rFonts w:ascii="Arial" w:hAnsi="Arial" w:eastAsia="Arial" w:cs="Arial"/>
          <w:b/>
          <w:bCs/>
          <w:i/>
          <w:iCs/>
          <w:sz w:val="24"/>
          <w:szCs w:val="24"/>
        </w:rPr>
        <w:t xml:space="preserve">A Semi – </w:t>
      </w:r>
      <w:proofErr w:type="gramStart"/>
      <w:r w:rsidRPr="25FDB9F7" w:rsidR="007019D2">
        <w:rPr>
          <w:rFonts w:ascii="Arial" w:hAnsi="Arial" w:eastAsia="Arial" w:cs="Arial"/>
          <w:b/>
          <w:bCs/>
          <w:i/>
          <w:iCs/>
          <w:sz w:val="24"/>
          <w:szCs w:val="24"/>
        </w:rPr>
        <w:t>Three Dimensional</w:t>
      </w:r>
      <w:proofErr w:type="gramEnd"/>
      <w:r w:rsidRPr="25FDB9F7">
        <w:rPr>
          <w:rFonts w:ascii="Arial" w:hAnsi="Arial" w:eastAsia="Arial" w:cs="Arial"/>
          <w:b/>
          <w:bCs/>
          <w:i/>
          <w:iCs/>
          <w:sz w:val="24"/>
          <w:szCs w:val="24"/>
        </w:rPr>
        <w:t xml:space="preserve"> (3D) </w:t>
      </w:r>
      <w:proofErr w:type="spellStart"/>
      <w:r w:rsidRPr="25FDB9F7">
        <w:rPr>
          <w:rFonts w:ascii="Arial" w:hAnsi="Arial" w:eastAsia="Arial" w:cs="Arial"/>
          <w:b/>
          <w:bCs/>
          <w:i/>
          <w:iCs/>
          <w:sz w:val="24"/>
          <w:szCs w:val="24"/>
        </w:rPr>
        <w:t>Bioprinted</w:t>
      </w:r>
      <w:proofErr w:type="spellEnd"/>
      <w:r w:rsidRPr="25FDB9F7">
        <w:rPr>
          <w:rFonts w:ascii="Arial" w:hAnsi="Arial" w:eastAsia="Arial" w:cs="Arial"/>
          <w:b/>
          <w:bCs/>
          <w:i/>
          <w:iCs/>
          <w:sz w:val="24"/>
          <w:szCs w:val="24"/>
        </w:rPr>
        <w:t xml:space="preserve"> Neurocardiac System for Tissue Engineering of a Cardiac Autonomic Nervous System (CANS) Model</w:t>
      </w:r>
    </w:p>
    <w:p w:rsidRPr="00130FC4" w:rsidR="00A96388" w:rsidP="25FDB9F7" w:rsidRDefault="00A96388" w14:paraId="297AF799" w14:textId="7BF7AB0D">
      <w:pPr>
        <w:jc w:val="both"/>
        <w:rPr>
          <w:rFonts w:ascii="Arial" w:hAnsi="Arial" w:eastAsia="Arial" w:cs="Arial"/>
          <w:sz w:val="24"/>
          <w:szCs w:val="24"/>
          <w:vertAlign w:val="superscript"/>
          <w:lang w:val="es-MX"/>
        </w:rPr>
      </w:pPr>
      <w:r w:rsidRPr="25FDB9F7">
        <w:rPr>
          <w:rFonts w:ascii="Arial" w:hAnsi="Arial" w:eastAsia="Arial" w:cs="Arial"/>
          <w:sz w:val="24"/>
          <w:szCs w:val="24"/>
          <w:lang w:val="es-MX"/>
        </w:rPr>
        <w:t>Ivana Hernandez</w:t>
      </w:r>
      <w:r w:rsidR="00E26803">
        <w:rPr>
          <w:rFonts w:ascii="Arial" w:hAnsi="Arial" w:eastAsia="Arial" w:cs="Arial"/>
          <w:sz w:val="24"/>
          <w:szCs w:val="24"/>
          <w:vertAlign w:val="superscript"/>
          <w:lang w:val="es-MX"/>
        </w:rPr>
        <w:t>1</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2</w:t>
      </w:r>
      <w:r w:rsidRPr="25FDB9F7">
        <w:rPr>
          <w:rFonts w:ascii="Arial" w:hAnsi="Arial" w:eastAsia="Arial" w:cs="Arial"/>
          <w:sz w:val="24"/>
          <w:szCs w:val="24"/>
          <w:lang w:val="es-MX"/>
        </w:rPr>
        <w:t xml:space="preserve">, Salma </w:t>
      </w:r>
      <w:r w:rsidR="00287B2A">
        <w:rPr>
          <w:rFonts w:ascii="Arial" w:hAnsi="Arial" w:eastAsia="Arial" w:cs="Arial"/>
          <w:sz w:val="24"/>
          <w:szCs w:val="24"/>
          <w:lang w:val="es-MX"/>
        </w:rPr>
        <w:t xml:space="preserve">P. </w:t>
      </w:r>
      <w:r w:rsidRPr="25FDB9F7">
        <w:rPr>
          <w:rFonts w:ascii="Arial" w:hAnsi="Arial" w:eastAsia="Arial" w:cs="Arial"/>
          <w:sz w:val="24"/>
          <w:szCs w:val="24"/>
          <w:lang w:val="es-MX"/>
        </w:rPr>
        <w:t>Ramirez</w:t>
      </w:r>
      <w:r w:rsidR="00E26803">
        <w:rPr>
          <w:rFonts w:ascii="Arial" w:hAnsi="Arial" w:eastAsia="Arial" w:cs="Arial"/>
          <w:sz w:val="24"/>
          <w:szCs w:val="24"/>
          <w:vertAlign w:val="superscript"/>
          <w:lang w:val="es-MX"/>
        </w:rPr>
        <w:t>1</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2</w:t>
      </w:r>
      <w:r w:rsidRPr="25FDB9F7">
        <w:rPr>
          <w:rFonts w:ascii="Arial" w:hAnsi="Arial" w:eastAsia="Arial" w:cs="Arial"/>
          <w:sz w:val="24"/>
          <w:szCs w:val="24"/>
          <w:lang w:val="es-MX"/>
        </w:rPr>
        <w:t xml:space="preserve">, Wendy </w:t>
      </w:r>
      <w:r w:rsidR="00287B2A">
        <w:rPr>
          <w:rFonts w:ascii="Arial" w:hAnsi="Arial" w:eastAsia="Arial" w:cs="Arial"/>
          <w:sz w:val="24"/>
          <w:szCs w:val="24"/>
          <w:lang w:val="es-MX"/>
        </w:rPr>
        <w:t xml:space="preserve">V. </w:t>
      </w:r>
      <w:r w:rsidRPr="25FDB9F7">
        <w:rPr>
          <w:rFonts w:ascii="Arial" w:hAnsi="Arial" w:eastAsia="Arial" w:cs="Arial"/>
          <w:sz w:val="24"/>
          <w:szCs w:val="24"/>
          <w:lang w:val="es-MX"/>
        </w:rPr>
        <w:t>Salazar</w:t>
      </w:r>
      <w:r w:rsidR="00E26803">
        <w:rPr>
          <w:rFonts w:ascii="Arial" w:hAnsi="Arial" w:eastAsia="Arial" w:cs="Arial"/>
          <w:sz w:val="24"/>
          <w:szCs w:val="24"/>
          <w:vertAlign w:val="superscript"/>
          <w:lang w:val="es-MX"/>
        </w:rPr>
        <w:t>1</w:t>
      </w:r>
      <w:r w:rsidRPr="25FDB9F7">
        <w:rPr>
          <w:rFonts w:ascii="Arial" w:hAnsi="Arial" w:eastAsia="Arial" w:cs="Arial"/>
          <w:sz w:val="24"/>
          <w:szCs w:val="24"/>
          <w:lang w:val="es-MX"/>
        </w:rPr>
        <w:t>, Sarahi Mendivil</w:t>
      </w:r>
      <w:r w:rsidR="00E26803">
        <w:rPr>
          <w:rFonts w:ascii="Arial" w:hAnsi="Arial" w:eastAsia="Arial" w:cs="Arial"/>
          <w:sz w:val="24"/>
          <w:szCs w:val="24"/>
          <w:vertAlign w:val="superscript"/>
          <w:lang w:val="es-MX"/>
        </w:rPr>
        <w:t>1</w:t>
      </w:r>
      <w:r w:rsidRPr="25FDB9F7">
        <w:rPr>
          <w:rFonts w:ascii="Arial" w:hAnsi="Arial" w:eastAsia="Arial" w:cs="Arial"/>
          <w:sz w:val="24"/>
          <w:szCs w:val="24"/>
          <w:lang w:val="es-MX"/>
        </w:rPr>
        <w:t>, Andrea Guevara</w:t>
      </w:r>
      <w:r w:rsidR="00E26803">
        <w:rPr>
          <w:rFonts w:ascii="Arial" w:hAnsi="Arial" w:eastAsia="Arial" w:cs="Arial"/>
          <w:sz w:val="24"/>
          <w:szCs w:val="24"/>
          <w:vertAlign w:val="superscript"/>
          <w:lang w:val="es-MX"/>
        </w:rPr>
        <w:t>1</w:t>
      </w:r>
      <w:r w:rsidRPr="25FDB9F7">
        <w:rPr>
          <w:rFonts w:ascii="Arial" w:hAnsi="Arial" w:eastAsia="Arial" w:cs="Arial"/>
          <w:sz w:val="24"/>
          <w:szCs w:val="24"/>
          <w:lang w:val="es-MX"/>
        </w:rPr>
        <w:t xml:space="preserve">, </w:t>
      </w:r>
      <w:proofErr w:type="spellStart"/>
      <w:r w:rsidRPr="25FDB9F7">
        <w:rPr>
          <w:rFonts w:ascii="Arial" w:hAnsi="Arial" w:eastAsia="Arial" w:cs="Arial"/>
          <w:sz w:val="24"/>
          <w:szCs w:val="24"/>
          <w:lang w:val="es-MX"/>
        </w:rPr>
        <w:t>Akshay</w:t>
      </w:r>
      <w:proofErr w:type="spellEnd"/>
      <w:r w:rsidRPr="25FDB9F7">
        <w:rPr>
          <w:rFonts w:ascii="Arial" w:hAnsi="Arial" w:eastAsia="Arial" w:cs="Arial"/>
          <w:sz w:val="24"/>
          <w:szCs w:val="24"/>
          <w:lang w:val="es-MX"/>
        </w:rPr>
        <w:t xml:space="preserve"> Patel</w:t>
      </w:r>
      <w:r w:rsidR="00E26803">
        <w:rPr>
          <w:rFonts w:ascii="Arial" w:hAnsi="Arial" w:eastAsia="Arial" w:cs="Arial"/>
          <w:sz w:val="24"/>
          <w:szCs w:val="24"/>
          <w:vertAlign w:val="superscript"/>
          <w:lang w:val="es-MX"/>
        </w:rPr>
        <w:t>1</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3</w:t>
      </w:r>
      <w:r w:rsidRPr="25FDB9F7">
        <w:rPr>
          <w:rFonts w:ascii="Arial" w:hAnsi="Arial" w:eastAsia="Arial" w:cs="Arial"/>
          <w:sz w:val="24"/>
          <w:szCs w:val="24"/>
          <w:lang w:val="es-MX"/>
        </w:rPr>
        <w:t xml:space="preserve">, </w:t>
      </w:r>
      <w:r w:rsidRPr="25FDB9F7" w:rsidR="6DFD4999">
        <w:rPr>
          <w:rFonts w:ascii="Arial" w:hAnsi="Arial" w:eastAsia="Arial" w:cs="Arial"/>
          <w:sz w:val="24"/>
          <w:szCs w:val="24"/>
          <w:lang w:val="es-MX"/>
        </w:rPr>
        <w:t>Zayra N. Dorado</w:t>
      </w:r>
      <w:r w:rsidR="00E26803">
        <w:rPr>
          <w:rFonts w:ascii="Arial" w:hAnsi="Arial" w:eastAsia="Arial" w:cs="Arial"/>
          <w:sz w:val="24"/>
          <w:szCs w:val="24"/>
          <w:vertAlign w:val="superscript"/>
          <w:lang w:val="es-MX"/>
        </w:rPr>
        <w:t>1</w:t>
      </w:r>
      <w:r w:rsidRPr="25FDB9F7" w:rsidR="6DFD4999">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2</w:t>
      </w:r>
      <w:r w:rsidRPr="25FDB9F7" w:rsidR="6DFD4999">
        <w:rPr>
          <w:rFonts w:ascii="Arial" w:hAnsi="Arial" w:eastAsia="Arial" w:cs="Arial"/>
          <w:sz w:val="24"/>
          <w:szCs w:val="24"/>
          <w:lang w:val="es-MX"/>
        </w:rPr>
        <w:t xml:space="preserve">, </w:t>
      </w:r>
      <w:r w:rsidRPr="25FDB9F7">
        <w:rPr>
          <w:rFonts w:ascii="Arial" w:hAnsi="Arial" w:eastAsia="Arial" w:cs="Arial"/>
          <w:sz w:val="24"/>
          <w:szCs w:val="24"/>
          <w:lang w:val="es-MX"/>
        </w:rPr>
        <w:t xml:space="preserve">Carla </w:t>
      </w:r>
      <w:r w:rsidR="00287B2A">
        <w:rPr>
          <w:rFonts w:ascii="Arial" w:hAnsi="Arial" w:eastAsia="Arial" w:cs="Arial"/>
          <w:sz w:val="24"/>
          <w:szCs w:val="24"/>
          <w:lang w:val="es-MX"/>
        </w:rPr>
        <w:t xml:space="preserve">D. </w:t>
      </w:r>
      <w:r w:rsidRPr="25FDB9F7">
        <w:rPr>
          <w:rFonts w:ascii="Arial" w:hAnsi="Arial" w:eastAsia="Arial" w:cs="Arial"/>
          <w:sz w:val="24"/>
          <w:szCs w:val="24"/>
          <w:lang w:val="es-MX"/>
        </w:rPr>
        <w:t>Loyola</w:t>
      </w:r>
      <w:r w:rsidR="00E26803">
        <w:rPr>
          <w:rFonts w:ascii="Arial" w:hAnsi="Arial" w:eastAsia="Arial" w:cs="Arial"/>
          <w:sz w:val="24"/>
          <w:szCs w:val="24"/>
          <w:vertAlign w:val="superscript"/>
          <w:lang w:val="es-MX"/>
        </w:rPr>
        <w:t>1</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2</w:t>
      </w:r>
      <w:r w:rsidRPr="25FDB9F7">
        <w:rPr>
          <w:rFonts w:ascii="Arial" w:hAnsi="Arial" w:eastAsia="Arial" w:cs="Arial"/>
          <w:sz w:val="24"/>
          <w:szCs w:val="24"/>
          <w:lang w:val="es-MX"/>
        </w:rPr>
        <w:t xml:space="preserve">, and </w:t>
      </w:r>
      <w:proofErr w:type="spellStart"/>
      <w:r w:rsidRPr="25FDB9F7">
        <w:rPr>
          <w:rFonts w:ascii="Arial" w:hAnsi="Arial" w:eastAsia="Arial" w:cs="Arial"/>
          <w:sz w:val="24"/>
          <w:szCs w:val="24"/>
          <w:lang w:val="es-MX"/>
        </w:rPr>
        <w:t>Binata</w:t>
      </w:r>
      <w:proofErr w:type="spellEnd"/>
      <w:r w:rsidRPr="25FDB9F7">
        <w:rPr>
          <w:rFonts w:ascii="Arial" w:hAnsi="Arial" w:eastAsia="Arial" w:cs="Arial"/>
          <w:sz w:val="24"/>
          <w:szCs w:val="24"/>
          <w:lang w:val="es-MX"/>
        </w:rPr>
        <w:t xml:space="preserve"> Joddar</w:t>
      </w:r>
      <w:r w:rsidR="00E26803">
        <w:rPr>
          <w:rFonts w:ascii="Arial" w:hAnsi="Arial" w:eastAsia="Arial" w:cs="Arial"/>
          <w:sz w:val="24"/>
          <w:szCs w:val="24"/>
          <w:vertAlign w:val="superscript"/>
          <w:lang w:val="es-MX"/>
        </w:rPr>
        <w:t>1</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2</w:t>
      </w:r>
      <w:r w:rsidRPr="25FDB9F7">
        <w:rPr>
          <w:rFonts w:ascii="Arial" w:hAnsi="Arial" w:eastAsia="Arial" w:cs="Arial"/>
          <w:sz w:val="24"/>
          <w:szCs w:val="24"/>
          <w:vertAlign w:val="superscript"/>
          <w:lang w:val="es-MX"/>
        </w:rPr>
        <w:t>,</w:t>
      </w:r>
      <w:r w:rsidR="00E26803">
        <w:rPr>
          <w:rFonts w:ascii="Arial" w:hAnsi="Arial" w:eastAsia="Arial" w:cs="Arial"/>
          <w:sz w:val="24"/>
          <w:szCs w:val="24"/>
          <w:vertAlign w:val="superscript"/>
          <w:lang w:val="es-MX"/>
        </w:rPr>
        <w:t>4</w:t>
      </w:r>
    </w:p>
    <w:p w:rsidRPr="00611769" w:rsidR="00A96388" w:rsidP="25FDB9F7" w:rsidRDefault="00E26803" w14:paraId="6D797621" w14:textId="1DB93566">
      <w:pPr>
        <w:jc w:val="both"/>
        <w:rPr>
          <w:rFonts w:ascii="Arial" w:hAnsi="Arial" w:eastAsia="Arial" w:cs="Arial"/>
          <w:sz w:val="24"/>
          <w:szCs w:val="24"/>
        </w:rPr>
      </w:pPr>
      <w:r w:rsidRPr="00E26803">
        <w:rPr>
          <w:rFonts w:ascii="Arial" w:hAnsi="Arial" w:eastAsia="Arial" w:cs="Arial"/>
          <w:sz w:val="24"/>
          <w:szCs w:val="24"/>
          <w:vertAlign w:val="superscript"/>
        </w:rPr>
        <w:t>1</w:t>
      </w:r>
      <w:r w:rsidRPr="25FDB9F7" w:rsidR="00A96388">
        <w:rPr>
          <w:rFonts w:ascii="Arial" w:hAnsi="Arial" w:eastAsia="Arial" w:cs="Arial"/>
          <w:sz w:val="24"/>
          <w:szCs w:val="24"/>
        </w:rPr>
        <w:t>Inspired Materials and Stem-Cell Based Tissue Engineering Laboratory (IMSTEL), The University of Texas at El Paso, El Paso, TX, 79968, USA</w:t>
      </w:r>
    </w:p>
    <w:p w:rsidRPr="00611769" w:rsidR="00A96388" w:rsidP="25FDB9F7" w:rsidRDefault="00E26803" w14:paraId="67B5D01D" w14:textId="3CA934C3">
      <w:pPr>
        <w:jc w:val="both"/>
        <w:rPr>
          <w:rFonts w:ascii="Arial" w:hAnsi="Arial" w:eastAsia="Arial" w:cs="Arial"/>
          <w:sz w:val="24"/>
          <w:szCs w:val="24"/>
        </w:rPr>
      </w:pPr>
      <w:r>
        <w:rPr>
          <w:rFonts w:ascii="Arial" w:hAnsi="Arial" w:eastAsia="Arial" w:cs="Arial"/>
          <w:sz w:val="24"/>
          <w:szCs w:val="24"/>
          <w:vertAlign w:val="superscript"/>
        </w:rPr>
        <w:t>2</w:t>
      </w:r>
      <w:r w:rsidRPr="25FDB9F7" w:rsidR="00A96388">
        <w:rPr>
          <w:rFonts w:ascii="Arial" w:hAnsi="Arial" w:eastAsia="Arial" w:cs="Arial"/>
          <w:sz w:val="24"/>
          <w:szCs w:val="24"/>
        </w:rPr>
        <w:t>Department of Metallurgical, Materials, and Biomedical Engineering, M201 Engineering, The University of Texas at El Paso, 500 W. University Avenue, El Paso, TX, 79968, USA</w:t>
      </w:r>
    </w:p>
    <w:p w:rsidRPr="00611769" w:rsidR="00A96388" w:rsidP="25FDB9F7" w:rsidRDefault="00E26803" w14:paraId="44FDD9C0" w14:textId="1241ECE7">
      <w:pPr>
        <w:jc w:val="both"/>
        <w:rPr>
          <w:rFonts w:ascii="Arial" w:hAnsi="Arial" w:eastAsia="Arial" w:cs="Arial"/>
          <w:sz w:val="24"/>
          <w:szCs w:val="24"/>
        </w:rPr>
      </w:pPr>
      <w:r>
        <w:rPr>
          <w:rFonts w:ascii="Arial" w:hAnsi="Arial" w:eastAsia="Arial" w:cs="Arial"/>
          <w:sz w:val="24"/>
          <w:szCs w:val="24"/>
          <w:vertAlign w:val="superscript"/>
        </w:rPr>
        <w:t>3</w:t>
      </w:r>
      <w:r w:rsidRPr="25FDB9F7" w:rsidR="00A96388">
        <w:rPr>
          <w:rFonts w:ascii="Arial" w:hAnsi="Arial" w:eastAsia="Arial" w:cs="Arial"/>
          <w:sz w:val="24"/>
          <w:szCs w:val="24"/>
        </w:rPr>
        <w:t>Department of Chemical Engineering, University of California, Santa Barbara, CA, 93106, USA</w:t>
      </w:r>
    </w:p>
    <w:p w:rsidRPr="005F752A" w:rsidR="00114C12" w:rsidP="25FDB9F7" w:rsidRDefault="00E26803" w14:paraId="770E95E9" w14:textId="14BE3F79">
      <w:pPr>
        <w:jc w:val="both"/>
        <w:rPr>
          <w:rFonts w:ascii="Arial" w:hAnsi="Arial" w:eastAsia="Arial" w:cs="Arial"/>
          <w:sz w:val="24"/>
          <w:szCs w:val="24"/>
        </w:rPr>
      </w:pPr>
      <w:r>
        <w:rPr>
          <w:rFonts w:ascii="Arial" w:hAnsi="Arial" w:eastAsia="Arial" w:cs="Arial"/>
          <w:sz w:val="24"/>
          <w:szCs w:val="24"/>
          <w:vertAlign w:val="superscript"/>
        </w:rPr>
        <w:t>4</w:t>
      </w:r>
      <w:r w:rsidRPr="25FDB9F7" w:rsidR="00A96388">
        <w:rPr>
          <w:rFonts w:ascii="Arial" w:hAnsi="Arial" w:eastAsia="Arial" w:cs="Arial"/>
          <w:sz w:val="24"/>
          <w:szCs w:val="24"/>
        </w:rPr>
        <w:t>Border Biomedical Research Center, The University of Texas at El Paso, 500 W. University Avenue, El Paso, TX, 79968, USA</w:t>
      </w:r>
    </w:p>
    <w:p w:rsidRPr="00AE2FEF" w:rsidR="00AE2FEF" w:rsidP="25FDB9F7" w:rsidRDefault="00AE2FEF" w14:paraId="15FB04A1" w14:textId="77777777">
      <w:pPr>
        <w:jc w:val="both"/>
        <w:rPr>
          <w:rFonts w:ascii="Arial" w:hAnsi="Arial" w:eastAsia="Arial" w:cs="Arial"/>
          <w:sz w:val="24"/>
          <w:szCs w:val="24"/>
        </w:rPr>
      </w:pPr>
    </w:p>
    <w:p w:rsidRPr="00AD0AD8" w:rsidR="4C4E884C" w:rsidP="25FDB9F7" w:rsidRDefault="4C4E884C" w14:paraId="64BFF09C" w14:textId="0D9C1C98">
      <w:pPr>
        <w:jc w:val="both"/>
        <w:rPr>
          <w:rFonts w:ascii="Arial" w:hAnsi="Arial" w:eastAsia="Arial" w:cs="Arial"/>
          <w:b/>
          <w:bCs/>
          <w:sz w:val="24"/>
          <w:szCs w:val="24"/>
          <w:u w:val="single"/>
          <w:lang w:val="en-GB"/>
        </w:rPr>
      </w:pPr>
      <w:r w:rsidRPr="00AD0AD8">
        <w:rPr>
          <w:rFonts w:ascii="Arial" w:hAnsi="Arial" w:eastAsia="Arial" w:cs="Arial"/>
          <w:b/>
          <w:bCs/>
          <w:sz w:val="24"/>
          <w:szCs w:val="24"/>
          <w:u w:val="single"/>
          <w:lang w:val="en-GB"/>
        </w:rPr>
        <w:t xml:space="preserve">Supplementary </w:t>
      </w:r>
      <w:r w:rsidRPr="00AD0AD8" w:rsidR="33F2EE7C">
        <w:rPr>
          <w:rFonts w:ascii="Arial" w:hAnsi="Arial" w:eastAsia="Arial" w:cs="Arial"/>
          <w:b/>
          <w:bCs/>
          <w:sz w:val="24"/>
          <w:szCs w:val="24"/>
          <w:u w:val="single"/>
          <w:lang w:val="en-GB"/>
        </w:rPr>
        <w:t>Materials and Methods</w:t>
      </w:r>
    </w:p>
    <w:p w:rsidR="43BCF729" w:rsidP="25FDB9F7" w:rsidRDefault="00A52536" w14:paraId="1F96B749" w14:textId="19458C56">
      <w:pPr>
        <w:jc w:val="both"/>
        <w:rPr>
          <w:rFonts w:ascii="Arial" w:hAnsi="Arial" w:eastAsia="Arial" w:cs="Arial"/>
          <w:b/>
          <w:bCs/>
          <w:sz w:val="24"/>
          <w:szCs w:val="24"/>
          <w:lang w:val="en-GB"/>
        </w:rPr>
      </w:pPr>
      <w:r w:rsidRPr="7FB7D6EC" w:rsidR="00A52536">
        <w:rPr>
          <w:rFonts w:ascii="Arial" w:hAnsi="Arial" w:eastAsia="Arial" w:cs="Arial"/>
          <w:b w:val="1"/>
          <w:bCs w:val="1"/>
          <w:sz w:val="24"/>
          <w:szCs w:val="24"/>
          <w:lang w:val="en-GB"/>
        </w:rPr>
        <w:t>S</w:t>
      </w:r>
      <w:r w:rsidRPr="7FB7D6EC" w:rsidR="00DF4273">
        <w:rPr>
          <w:rFonts w:ascii="Arial" w:hAnsi="Arial" w:eastAsia="Arial" w:cs="Arial"/>
          <w:b w:val="1"/>
          <w:bCs w:val="1"/>
          <w:sz w:val="24"/>
          <w:szCs w:val="24"/>
          <w:lang w:val="en-GB"/>
        </w:rPr>
        <w:t>2.1 Materials</w:t>
      </w:r>
      <w:r w:rsidRPr="7FB7D6EC" w:rsidR="43BCF729">
        <w:rPr>
          <w:rFonts w:ascii="Arial" w:hAnsi="Arial" w:eastAsia="Arial" w:cs="Arial"/>
          <w:b w:val="1"/>
          <w:bCs w:val="1"/>
          <w:sz w:val="24"/>
          <w:szCs w:val="24"/>
          <w:lang w:val="en-GB"/>
        </w:rPr>
        <w:t xml:space="preserve">     </w:t>
      </w:r>
    </w:p>
    <w:p w:rsidR="43BCF729" w:rsidP="25FDB9F7" w:rsidRDefault="43BCF729" w14:paraId="7B91FC94" w14:textId="6B712D0C">
      <w:pPr>
        <w:jc w:val="both"/>
        <w:rPr>
          <w:rFonts w:ascii="Arial" w:hAnsi="Arial" w:eastAsia="Arial" w:cs="Arial"/>
          <w:sz w:val="24"/>
          <w:szCs w:val="24"/>
          <w:lang w:val="en-GB"/>
        </w:rPr>
      </w:pPr>
      <w:r w:rsidRPr="25FDB9F7">
        <w:rPr>
          <w:rFonts w:ascii="Arial" w:hAnsi="Arial" w:eastAsia="Arial" w:cs="Arial"/>
          <w:sz w:val="24"/>
          <w:szCs w:val="24"/>
          <w:lang w:val="en-GB"/>
        </w:rPr>
        <w:t>The complete growth medium for the neuro</w:t>
      </w:r>
      <w:r w:rsidR="00CB35B3">
        <w:rPr>
          <w:rFonts w:ascii="Arial" w:hAnsi="Arial" w:eastAsia="Arial" w:cs="Arial"/>
          <w:sz w:val="24"/>
          <w:szCs w:val="24"/>
          <w:lang w:val="en-GB"/>
        </w:rPr>
        <w:t>-</w:t>
      </w:r>
      <w:r w:rsidRPr="25FDB9F7">
        <w:rPr>
          <w:rFonts w:ascii="Arial" w:hAnsi="Arial" w:eastAsia="Arial" w:cs="Arial"/>
          <w:sz w:val="24"/>
          <w:szCs w:val="24"/>
          <w:lang w:val="en-GB"/>
        </w:rPr>
        <w:t xml:space="preserve">cardiac structure consisted of the following components: DMEM (Gibco 11966-025, Billings, MT); L-Glutamine (SIGMA cat. No. G7513, St. Louis, MO); </w:t>
      </w:r>
      <w:proofErr w:type="spellStart"/>
      <w:r w:rsidRPr="25FDB9F7">
        <w:rPr>
          <w:rFonts w:ascii="Arial" w:hAnsi="Arial" w:eastAsia="Arial" w:cs="Arial"/>
          <w:sz w:val="24"/>
          <w:szCs w:val="24"/>
          <w:lang w:val="en-GB"/>
        </w:rPr>
        <w:t>Fetal</w:t>
      </w:r>
      <w:proofErr w:type="spellEnd"/>
      <w:r w:rsidRPr="25FDB9F7">
        <w:rPr>
          <w:rFonts w:ascii="Arial" w:hAnsi="Arial" w:eastAsia="Arial" w:cs="Arial"/>
          <w:sz w:val="24"/>
          <w:szCs w:val="24"/>
          <w:lang w:val="en-GB"/>
        </w:rPr>
        <w:t xml:space="preserve"> Bovine Serum (FBS) (Approved Source USDA heat </w:t>
      </w:r>
      <w:r w:rsidRPr="25FDB9F7">
        <w:rPr>
          <w:rFonts w:ascii="Arial" w:hAnsi="Arial" w:eastAsia="Arial" w:cs="Arial"/>
          <w:sz w:val="24"/>
          <w:szCs w:val="24"/>
          <w:lang w:val="en-GB"/>
        </w:rPr>
        <w:lastRenderedPageBreak/>
        <w:t>inactivated Corning cat. No. 35-011-CV, Corning, NY); Penicillin-Streptomycin Solution (100X) (</w:t>
      </w:r>
      <w:proofErr w:type="spellStart"/>
      <w:r w:rsidRPr="25FDB9F7">
        <w:rPr>
          <w:rFonts w:ascii="Arial" w:hAnsi="Arial" w:eastAsia="Arial" w:cs="Arial"/>
          <w:sz w:val="24"/>
          <w:szCs w:val="24"/>
          <w:lang w:val="en-GB"/>
        </w:rPr>
        <w:t>HyClone</w:t>
      </w:r>
      <w:proofErr w:type="spellEnd"/>
      <w:r w:rsidRPr="25FDB9F7">
        <w:rPr>
          <w:rFonts w:ascii="Arial" w:hAnsi="Arial" w:eastAsia="Arial" w:cs="Arial"/>
          <w:sz w:val="24"/>
          <w:szCs w:val="24"/>
          <w:lang w:val="en-GB"/>
        </w:rPr>
        <w:t xml:space="preserve"> cat. No. SV30010, Logan, Utah); Glucose (</w:t>
      </w:r>
      <w:proofErr w:type="spellStart"/>
      <w:r w:rsidRPr="25FDB9F7">
        <w:rPr>
          <w:rFonts w:ascii="Arial" w:hAnsi="Arial" w:eastAsia="Arial" w:cs="Arial"/>
          <w:sz w:val="24"/>
          <w:szCs w:val="24"/>
          <w:lang w:val="en-GB"/>
        </w:rPr>
        <w:t>Acros</w:t>
      </w:r>
      <w:proofErr w:type="spellEnd"/>
      <w:r w:rsidRPr="25FDB9F7">
        <w:rPr>
          <w:rFonts w:ascii="Arial" w:hAnsi="Arial" w:eastAsia="Arial" w:cs="Arial"/>
          <w:sz w:val="24"/>
          <w:szCs w:val="24"/>
          <w:lang w:val="en-GB"/>
        </w:rPr>
        <w:t xml:space="preserve"> Organics cat. No. 41095-5000, </w:t>
      </w:r>
      <w:proofErr w:type="spellStart"/>
      <w:r w:rsidRPr="25FDB9F7">
        <w:rPr>
          <w:rFonts w:ascii="Arial" w:hAnsi="Arial" w:eastAsia="Arial" w:cs="Arial"/>
          <w:sz w:val="24"/>
          <w:szCs w:val="24"/>
          <w:lang w:val="en-GB"/>
        </w:rPr>
        <w:t>Geel</w:t>
      </w:r>
      <w:proofErr w:type="spellEnd"/>
      <w:r w:rsidRPr="25FDB9F7">
        <w:rPr>
          <w:rFonts w:ascii="Arial" w:hAnsi="Arial" w:eastAsia="Arial" w:cs="Arial"/>
          <w:sz w:val="24"/>
          <w:szCs w:val="24"/>
          <w:lang w:val="en-GB"/>
        </w:rPr>
        <w:t>, BE); Nutrient Mixture F-12 Ham (SIGMA cat. No. N4888, St. Louis, MO); Minimum Essential Medium Eagle (EMEM) (SIGMA cat. No. M2279, St. Louis, MO); Non-Essential Amino Acids (NEAA) (Lonza cat. No. 13-114E, Basel, CH); Neurobasal® medium (Gibco cat. No.21103-049, Billings, MT); B27® Supplement Electro (50X)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cat. No A14097-01, Waltham, MA); </w:t>
      </w:r>
      <w:proofErr w:type="spellStart"/>
      <w:r w:rsidRPr="25FDB9F7">
        <w:rPr>
          <w:rFonts w:ascii="Arial" w:hAnsi="Arial" w:eastAsia="Arial" w:cs="Arial"/>
          <w:sz w:val="24"/>
          <w:szCs w:val="24"/>
          <w:lang w:val="en-GB"/>
        </w:rPr>
        <w:t>GlutaMAX</w:t>
      </w:r>
      <w:proofErr w:type="spellEnd"/>
      <w:r w:rsidRPr="25FDB9F7">
        <w:rPr>
          <w:rFonts w:ascii="Arial" w:hAnsi="Arial" w:eastAsia="Arial" w:cs="Arial"/>
          <w:sz w:val="24"/>
          <w:szCs w:val="24"/>
          <w:lang w:val="en-GB"/>
        </w:rPr>
        <w:t xml:space="preserve"> Supplement (100X) (Gibco cat. No. 35050-061, Billings, MT) and Trans Retinoic Acid (SIGMA R2625, St. Louis, MO).</w:t>
      </w:r>
    </w:p>
    <w:p w:rsidR="43BCF729" w:rsidP="25FDB9F7" w:rsidRDefault="43BCF729" w14:paraId="1EB1F00D" w14:textId="367C7363">
      <w:pPr>
        <w:jc w:val="both"/>
        <w:rPr>
          <w:rFonts w:ascii="Arial" w:hAnsi="Arial" w:eastAsia="Arial" w:cs="Arial"/>
          <w:sz w:val="24"/>
          <w:szCs w:val="24"/>
          <w:lang w:val="en-GB"/>
        </w:rPr>
      </w:pPr>
      <w:r w:rsidRPr="25FDB9F7">
        <w:rPr>
          <w:rFonts w:ascii="Arial" w:hAnsi="Arial" w:eastAsia="Arial" w:cs="Arial"/>
          <w:sz w:val="24"/>
          <w:szCs w:val="24"/>
          <w:lang w:val="en-GB"/>
        </w:rPr>
        <w:t xml:space="preserve">For detaching </w:t>
      </w:r>
      <w:r w:rsidR="00CB35B3">
        <w:rPr>
          <w:rFonts w:ascii="Arial" w:hAnsi="Arial" w:eastAsia="Arial" w:cs="Arial"/>
          <w:sz w:val="24"/>
          <w:szCs w:val="24"/>
          <w:lang w:val="en-GB"/>
        </w:rPr>
        <w:t xml:space="preserve">all </w:t>
      </w:r>
      <w:r w:rsidRPr="25FDB9F7">
        <w:rPr>
          <w:rFonts w:ascii="Arial" w:hAnsi="Arial" w:eastAsia="Arial" w:cs="Arial"/>
          <w:sz w:val="24"/>
          <w:szCs w:val="24"/>
          <w:lang w:val="en-GB"/>
        </w:rPr>
        <w:t>cells and subculturing, the following items were used: 0.25% Trypsin-EDTA (Gibco cat. No. 25200-056, Billings, MT); centrifuge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 culture flask T75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 Incubator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 micropipettes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 (1-10ul, 10-100ul, 100-1000ul); Countess III automated cell counter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w:t>
      </w:r>
    </w:p>
    <w:p w:rsidR="25FDB9F7" w:rsidP="25FDB9F7" w:rsidRDefault="43BCF729" w14:paraId="0C94538F" w14:textId="6ACE80A8">
      <w:pPr>
        <w:jc w:val="both"/>
        <w:rPr>
          <w:rFonts w:ascii="Arial" w:hAnsi="Arial" w:eastAsia="Arial" w:cs="Arial"/>
          <w:sz w:val="24"/>
          <w:szCs w:val="24"/>
          <w:lang w:val="en-GB"/>
        </w:rPr>
      </w:pPr>
      <w:r w:rsidRPr="25FDB9F7">
        <w:rPr>
          <w:rFonts w:ascii="Arial" w:hAnsi="Arial" w:eastAsia="Arial" w:cs="Arial"/>
          <w:sz w:val="24"/>
          <w:szCs w:val="24"/>
          <w:lang w:val="en-GB"/>
        </w:rPr>
        <w:t>For confocal microscopic imaging</w:t>
      </w:r>
      <w:r w:rsidR="00F903BD">
        <w:rPr>
          <w:rFonts w:ascii="Arial" w:hAnsi="Arial" w:eastAsia="Arial" w:cs="Arial"/>
          <w:sz w:val="24"/>
          <w:szCs w:val="24"/>
          <w:lang w:val="en-GB"/>
        </w:rPr>
        <w:t>,</w:t>
      </w:r>
      <w:r w:rsidRPr="25FDB9F7">
        <w:rPr>
          <w:rFonts w:ascii="Arial" w:hAnsi="Arial" w:eastAsia="Arial" w:cs="Arial"/>
          <w:sz w:val="24"/>
          <w:szCs w:val="24"/>
          <w:lang w:val="en-GB"/>
        </w:rPr>
        <w:t xml:space="preserve"> the samples required fixing, staining, and </w:t>
      </w:r>
      <w:r w:rsidRPr="25FDB9F7" w:rsidR="00F903BD">
        <w:rPr>
          <w:rFonts w:ascii="Arial" w:hAnsi="Arial" w:eastAsia="Arial" w:cs="Arial"/>
          <w:sz w:val="24"/>
          <w:szCs w:val="24"/>
          <w:lang w:val="en-GB"/>
        </w:rPr>
        <w:t>labelling</w:t>
      </w:r>
      <w:r w:rsidRPr="25FDB9F7">
        <w:rPr>
          <w:rFonts w:ascii="Arial" w:hAnsi="Arial" w:eastAsia="Arial" w:cs="Arial"/>
          <w:sz w:val="24"/>
          <w:szCs w:val="24"/>
          <w:lang w:val="en-GB"/>
        </w:rPr>
        <w:t xml:space="preserve"> with fluorescent dyes or antibodies to highlight specific structures or molecules of interest. For fixing of all cell-gel samples</w:t>
      </w:r>
      <w:r w:rsidR="00F903BD">
        <w:rPr>
          <w:rFonts w:ascii="Arial" w:hAnsi="Arial" w:eastAsia="Arial" w:cs="Arial"/>
          <w:sz w:val="24"/>
          <w:szCs w:val="24"/>
          <w:lang w:val="en-GB"/>
        </w:rPr>
        <w:t>,</w:t>
      </w:r>
      <w:r w:rsidRPr="25FDB9F7">
        <w:rPr>
          <w:rFonts w:ascii="Arial" w:hAnsi="Arial" w:eastAsia="Arial" w:cs="Arial"/>
          <w:sz w:val="24"/>
          <w:szCs w:val="24"/>
          <w:lang w:val="en-GB"/>
        </w:rPr>
        <w:t xml:space="preserve"> 4% paraformaldehyde in PBS (PFA) (</w:t>
      </w:r>
      <w:proofErr w:type="spellStart"/>
      <w:r w:rsidRPr="25FDB9F7">
        <w:rPr>
          <w:rFonts w:ascii="Arial" w:hAnsi="Arial" w:eastAsia="Arial" w:cs="Arial"/>
          <w:sz w:val="24"/>
          <w:szCs w:val="24"/>
          <w:lang w:val="en-GB"/>
        </w:rPr>
        <w:t>ThermoScientific</w:t>
      </w:r>
      <w:proofErr w:type="spellEnd"/>
      <w:r w:rsidRPr="25FDB9F7">
        <w:rPr>
          <w:rFonts w:ascii="Arial" w:hAnsi="Arial" w:eastAsia="Arial" w:cs="Arial"/>
          <w:sz w:val="24"/>
          <w:szCs w:val="24"/>
          <w:lang w:val="en-GB"/>
        </w:rPr>
        <w:t xml:space="preserve"> cat. No. J19943-K2, Waltham, MA) was used. For cell </w:t>
      </w:r>
      <w:r w:rsidRPr="25FDB9F7" w:rsidR="00885358">
        <w:rPr>
          <w:rFonts w:ascii="Arial" w:hAnsi="Arial" w:eastAsia="Arial" w:cs="Arial"/>
          <w:sz w:val="24"/>
          <w:szCs w:val="24"/>
          <w:lang w:val="en-GB"/>
        </w:rPr>
        <w:t>labelling</w:t>
      </w:r>
      <w:r w:rsidRPr="25FDB9F7">
        <w:rPr>
          <w:rFonts w:ascii="Arial" w:hAnsi="Arial" w:eastAsia="Arial" w:cs="Arial"/>
          <w:sz w:val="24"/>
          <w:szCs w:val="24"/>
          <w:lang w:val="en-GB"/>
        </w:rPr>
        <w:t xml:space="preserve"> and confocal microscopic imaging, the PKH67 Green [</w:t>
      </w:r>
      <w:r w:rsidR="00F86D43">
        <w:rPr>
          <w:rFonts w:ascii="Arial" w:hAnsi="Arial" w:eastAsia="Arial" w:cs="Arial"/>
          <w:sz w:val="24"/>
          <w:szCs w:val="24"/>
          <w:lang w:val="en-GB"/>
        </w:rPr>
        <w:t xml:space="preserve">8, </w:t>
      </w:r>
      <w:r w:rsidRPr="25FDB9F7">
        <w:rPr>
          <w:rFonts w:ascii="Arial" w:hAnsi="Arial" w:eastAsia="Arial" w:cs="Arial"/>
          <w:sz w:val="24"/>
          <w:szCs w:val="24"/>
          <w:lang w:val="en-GB"/>
        </w:rPr>
        <w:t>11] and PKH26 Red [8] Fluorescent Cell Linker Mini Kit were used in accordance with the manufacturer’s instructions (Sigma-Aldrich cat. No. MINI67-1KT – PKH26GL-1KT, St. Louis, MO). For immunofluorescence and imaging, the primary antibodies used for immunostaining included the myogenic determination factor 1 (MyoD1) (Abcam ab16148 Waltham, MA) targeted towards the AC16 cardiomyocytes, and the microtubule-associated protein 2 (MAP-2)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131500, Waltham, MA) for the differentiated SH5YSY cells. The secondary antibodies used included the Donkey Anti-Mouse IgG H&amp;L (Alexa Fluor® 647, a bright, far-red–fluorescent dye) (ab150107, 1:800, Abcam, Waltham, MA) to bind to MyoD1. The other secondary antibody included Goat Anti-Mouse IgG H&amp;L (Alexa Fluor® 488, a bright, green-fluorescent dye) </w:t>
      </w:r>
      <w:proofErr w:type="spellStart"/>
      <w:r w:rsidRPr="25FDB9F7">
        <w:rPr>
          <w:rFonts w:ascii="Arial" w:hAnsi="Arial" w:eastAsia="Arial" w:cs="Arial"/>
          <w:sz w:val="24"/>
          <w:szCs w:val="24"/>
          <w:lang w:val="en-GB"/>
        </w:rPr>
        <w:t>preadsorbed</w:t>
      </w:r>
      <w:proofErr w:type="spellEnd"/>
      <w:r w:rsidRPr="25FDB9F7">
        <w:rPr>
          <w:rFonts w:ascii="Arial" w:hAnsi="Arial" w:eastAsia="Arial" w:cs="Arial"/>
          <w:sz w:val="24"/>
          <w:szCs w:val="24"/>
          <w:lang w:val="en-GB"/>
        </w:rPr>
        <w:t xml:space="preserve"> (ab150117, 1:200, Abcam, Waltham, MA)</w:t>
      </w:r>
      <w:r w:rsidR="00E639ED">
        <w:rPr>
          <w:rFonts w:ascii="Arial" w:hAnsi="Arial" w:eastAsia="Arial" w:cs="Arial"/>
          <w:sz w:val="24"/>
          <w:szCs w:val="24"/>
          <w:lang w:val="en-GB"/>
        </w:rPr>
        <w:t xml:space="preserve"> </w:t>
      </w:r>
      <w:r w:rsidRPr="25FDB9F7" w:rsidR="00E639ED">
        <w:rPr>
          <w:rFonts w:ascii="Arial" w:hAnsi="Arial" w:eastAsia="Arial" w:cs="Arial"/>
          <w:sz w:val="24"/>
          <w:szCs w:val="24"/>
          <w:lang w:val="en-GB"/>
        </w:rPr>
        <w:t>to bind to M</w:t>
      </w:r>
      <w:r w:rsidR="00E639ED">
        <w:rPr>
          <w:rFonts w:ascii="Arial" w:hAnsi="Arial" w:eastAsia="Arial" w:cs="Arial"/>
          <w:sz w:val="24"/>
          <w:szCs w:val="24"/>
          <w:lang w:val="en-GB"/>
        </w:rPr>
        <w:t>AP-2</w:t>
      </w:r>
      <w:r w:rsidRPr="25FDB9F7">
        <w:rPr>
          <w:rFonts w:ascii="Arial" w:hAnsi="Arial" w:eastAsia="Arial" w:cs="Arial"/>
          <w:sz w:val="24"/>
          <w:szCs w:val="24"/>
          <w:lang w:val="en-GB"/>
        </w:rPr>
        <w:t xml:space="preserve">. </w:t>
      </w:r>
      <w:r w:rsidR="00E10CE4">
        <w:rPr>
          <w:rFonts w:ascii="Arial" w:hAnsi="Arial" w:eastAsia="Arial" w:cs="Arial"/>
          <w:sz w:val="24"/>
          <w:szCs w:val="24"/>
          <w:lang w:val="en-GB"/>
        </w:rPr>
        <w:t>Stained s</w:t>
      </w:r>
      <w:r w:rsidRPr="25FDB9F7">
        <w:rPr>
          <w:rFonts w:ascii="Arial" w:hAnsi="Arial" w:eastAsia="Arial" w:cs="Arial"/>
          <w:sz w:val="24"/>
          <w:szCs w:val="24"/>
          <w:lang w:val="en-GB"/>
        </w:rPr>
        <w:t>amples were mounted on microscopic glass slides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Waltham, MA) using DAPI </w:t>
      </w:r>
      <w:proofErr w:type="spellStart"/>
      <w:r w:rsidRPr="25FDB9F7">
        <w:rPr>
          <w:rFonts w:ascii="Arial" w:hAnsi="Arial" w:eastAsia="Arial" w:cs="Arial"/>
          <w:sz w:val="24"/>
          <w:szCs w:val="24"/>
          <w:lang w:val="en-GB"/>
        </w:rPr>
        <w:t>Fluoromount</w:t>
      </w:r>
      <w:proofErr w:type="spellEnd"/>
      <w:r w:rsidRPr="25FDB9F7">
        <w:rPr>
          <w:rFonts w:ascii="Arial" w:hAnsi="Arial" w:eastAsia="Arial" w:cs="Arial"/>
          <w:sz w:val="24"/>
          <w:szCs w:val="24"/>
          <w:lang w:val="en-GB"/>
        </w:rPr>
        <w:t>-G® (Southern Biotech, Birmingham, AL)</w:t>
      </w:r>
      <w:r w:rsidR="00E10CE4">
        <w:rPr>
          <w:rFonts w:ascii="Arial" w:hAnsi="Arial" w:eastAsia="Arial" w:cs="Arial"/>
          <w:sz w:val="24"/>
          <w:szCs w:val="24"/>
          <w:lang w:val="en-GB"/>
        </w:rPr>
        <w:t xml:space="preserve"> and dried prior to imaging</w:t>
      </w:r>
      <w:r w:rsidRPr="25FDB9F7">
        <w:rPr>
          <w:rFonts w:ascii="Arial" w:hAnsi="Arial" w:eastAsia="Arial" w:cs="Arial"/>
          <w:sz w:val="24"/>
          <w:szCs w:val="24"/>
          <w:lang w:val="en-GB"/>
        </w:rPr>
        <w:t xml:space="preserve">. To visualize the three-dimensional structure of the samples </w:t>
      </w:r>
      <w:r w:rsidR="00E10CE4">
        <w:rPr>
          <w:rFonts w:ascii="Arial" w:hAnsi="Arial" w:eastAsia="Arial" w:cs="Arial"/>
          <w:sz w:val="24"/>
          <w:szCs w:val="24"/>
          <w:lang w:val="en-GB"/>
        </w:rPr>
        <w:t xml:space="preserve">and cells within </w:t>
      </w:r>
      <w:r w:rsidRPr="25FDB9F7">
        <w:rPr>
          <w:rFonts w:ascii="Arial" w:hAnsi="Arial" w:eastAsia="Arial" w:cs="Arial"/>
          <w:sz w:val="24"/>
          <w:szCs w:val="24"/>
          <w:lang w:val="en-GB"/>
        </w:rPr>
        <w:t>using confocal microscopy, a Z-stack of images acquired from optical sections at different focal planes was acquired. These image slices were then reconstructed into a 3D image to generate a maximum intensity image using the software in the confocal fluorescent microscope (ZEISS LSM, Germany).</w:t>
      </w:r>
    </w:p>
    <w:p w:rsidR="43BCF729" w:rsidP="25FDB9F7" w:rsidRDefault="00A52536" w14:paraId="012BBAA4" w14:textId="094345C2">
      <w:pPr>
        <w:jc w:val="both"/>
        <w:rPr>
          <w:rFonts w:ascii="Arial" w:hAnsi="Arial" w:eastAsia="Arial" w:cs="Arial"/>
          <w:b/>
          <w:bCs/>
          <w:sz w:val="24"/>
          <w:szCs w:val="24"/>
          <w:lang w:val="en-GB"/>
        </w:rPr>
      </w:pPr>
      <w:r>
        <w:rPr>
          <w:rFonts w:ascii="Arial" w:hAnsi="Arial" w:eastAsia="Arial" w:cs="Arial"/>
          <w:b/>
          <w:bCs/>
          <w:sz w:val="24"/>
          <w:szCs w:val="24"/>
          <w:lang w:val="en-GB"/>
        </w:rPr>
        <w:t>S</w:t>
      </w:r>
      <w:r w:rsidRPr="25FDB9F7" w:rsidR="43BCF729">
        <w:rPr>
          <w:rFonts w:ascii="Arial" w:hAnsi="Arial" w:eastAsia="Arial" w:cs="Arial"/>
          <w:b/>
          <w:bCs/>
          <w:sz w:val="24"/>
          <w:szCs w:val="24"/>
          <w:lang w:val="en-GB"/>
        </w:rPr>
        <w:t>2.5 Material Characterization</w:t>
      </w:r>
    </w:p>
    <w:p w:rsidRPr="00AD5F25" w:rsidR="43BCF729" w:rsidP="25FDB9F7" w:rsidRDefault="00A52536" w14:paraId="51275000" w14:textId="3F33A23D">
      <w:pPr>
        <w:jc w:val="both"/>
        <w:rPr>
          <w:rFonts w:ascii="Arial" w:hAnsi="Arial" w:eastAsia="Arial" w:cs="Arial"/>
          <w:b/>
          <w:bCs/>
          <w:i/>
          <w:iCs/>
          <w:sz w:val="24"/>
          <w:szCs w:val="24"/>
          <w:lang w:val="en-GB"/>
        </w:rPr>
      </w:pPr>
      <w:r>
        <w:rPr>
          <w:rFonts w:ascii="Arial" w:hAnsi="Arial" w:eastAsia="Arial" w:cs="Arial"/>
          <w:b/>
          <w:bCs/>
          <w:i/>
          <w:iCs/>
          <w:sz w:val="24"/>
          <w:szCs w:val="24"/>
          <w:lang w:val="en-GB"/>
        </w:rPr>
        <w:t>S</w:t>
      </w:r>
      <w:r w:rsidRPr="00AD5F25" w:rsidR="43BCF729">
        <w:rPr>
          <w:rFonts w:ascii="Arial" w:hAnsi="Arial" w:eastAsia="Arial" w:cs="Arial"/>
          <w:b/>
          <w:bCs/>
          <w:i/>
          <w:iCs/>
          <w:sz w:val="24"/>
          <w:szCs w:val="24"/>
          <w:lang w:val="en-GB"/>
        </w:rPr>
        <w:t xml:space="preserve">2.5.1. Swelling Analysis </w:t>
      </w:r>
    </w:p>
    <w:p w:rsidR="43BCF729" w:rsidP="25FDB9F7" w:rsidRDefault="43BCF729" w14:paraId="261124EC" w14:textId="32A66280">
      <w:pPr>
        <w:jc w:val="both"/>
        <w:rPr>
          <w:rFonts w:ascii="Arial" w:hAnsi="Arial" w:eastAsia="Arial" w:cs="Arial"/>
          <w:sz w:val="24"/>
          <w:szCs w:val="24"/>
          <w:lang w:val="en-GB"/>
        </w:rPr>
      </w:pPr>
      <w:r w:rsidRPr="25FDB9F7">
        <w:rPr>
          <w:rFonts w:ascii="Arial" w:hAnsi="Arial" w:eastAsia="Arial" w:cs="Arial"/>
          <w:sz w:val="24"/>
          <w:szCs w:val="24"/>
          <w:lang w:val="en-GB"/>
        </w:rPr>
        <w:lastRenderedPageBreak/>
        <w:t xml:space="preserve">The hydration </w:t>
      </w:r>
      <w:r w:rsidRPr="25FDB9F7" w:rsidR="00610018">
        <w:rPr>
          <w:rFonts w:ascii="Arial" w:hAnsi="Arial" w:eastAsia="Arial" w:cs="Arial"/>
          <w:sz w:val="24"/>
          <w:szCs w:val="24"/>
          <w:lang w:val="en-GB"/>
        </w:rPr>
        <w:t>behaviour</w:t>
      </w:r>
      <w:r w:rsidRPr="25FDB9F7">
        <w:rPr>
          <w:rFonts w:ascii="Arial" w:hAnsi="Arial" w:eastAsia="Arial" w:cs="Arial"/>
          <w:sz w:val="24"/>
          <w:szCs w:val="24"/>
          <w:lang w:val="en-GB"/>
        </w:rPr>
        <w:t xml:space="preserve"> of acellular </w:t>
      </w:r>
      <w:proofErr w:type="spellStart"/>
      <w:r w:rsidRPr="25FDB9F7">
        <w:rPr>
          <w:rFonts w:ascii="Arial" w:hAnsi="Arial" w:eastAsia="Arial" w:cs="Arial"/>
          <w:sz w:val="24"/>
          <w:szCs w:val="24"/>
          <w:lang w:val="en-GB"/>
        </w:rPr>
        <w:t>bioprinted</w:t>
      </w:r>
      <w:proofErr w:type="spellEnd"/>
      <w:r w:rsidRPr="25FDB9F7">
        <w:rPr>
          <w:rFonts w:ascii="Arial" w:hAnsi="Arial" w:eastAsia="Arial" w:cs="Arial"/>
          <w:sz w:val="24"/>
          <w:szCs w:val="24"/>
          <w:lang w:val="en-GB"/>
        </w:rPr>
        <w:t xml:space="preserve"> scaffolds were assessed for a one-week </w:t>
      </w:r>
      <w:proofErr w:type="gramStart"/>
      <w:r w:rsidRPr="25FDB9F7">
        <w:rPr>
          <w:rFonts w:ascii="Arial" w:hAnsi="Arial" w:eastAsia="Arial" w:cs="Arial"/>
          <w:sz w:val="24"/>
          <w:szCs w:val="24"/>
          <w:lang w:val="en-GB"/>
        </w:rPr>
        <w:t>time period</w:t>
      </w:r>
      <w:proofErr w:type="gramEnd"/>
      <w:r w:rsidRPr="25FDB9F7">
        <w:rPr>
          <w:rFonts w:ascii="Arial" w:hAnsi="Arial" w:eastAsia="Arial" w:cs="Arial"/>
          <w:sz w:val="24"/>
          <w:szCs w:val="24"/>
          <w:lang w:val="en-GB"/>
        </w:rPr>
        <w:t xml:space="preserve">. </w:t>
      </w:r>
      <w:r w:rsidR="009A0BD1">
        <w:rPr>
          <w:rFonts w:ascii="Arial" w:hAnsi="Arial" w:eastAsia="Arial" w:cs="Arial"/>
          <w:sz w:val="24"/>
          <w:szCs w:val="24"/>
          <w:lang w:val="en-GB"/>
        </w:rPr>
        <w:t>The p</w:t>
      </w:r>
      <w:r w:rsidRPr="25FDB9F7">
        <w:rPr>
          <w:rFonts w:ascii="Arial" w:hAnsi="Arial" w:eastAsia="Arial" w:cs="Arial"/>
          <w:sz w:val="24"/>
          <w:szCs w:val="24"/>
          <w:lang w:val="en-GB"/>
        </w:rPr>
        <w:t xml:space="preserve">rinted acellular scaffolds were </w:t>
      </w:r>
      <w:proofErr w:type="gramStart"/>
      <w:r w:rsidRPr="25FDB9F7">
        <w:rPr>
          <w:rFonts w:ascii="Arial" w:hAnsi="Arial" w:eastAsia="Arial" w:cs="Arial"/>
          <w:sz w:val="24"/>
          <w:szCs w:val="24"/>
          <w:lang w:val="en-GB"/>
        </w:rPr>
        <w:t>air-dried</w:t>
      </w:r>
      <w:proofErr w:type="gramEnd"/>
      <w:r w:rsidRPr="25FDB9F7">
        <w:rPr>
          <w:rFonts w:ascii="Arial" w:hAnsi="Arial" w:eastAsia="Arial" w:cs="Arial"/>
          <w:sz w:val="24"/>
          <w:szCs w:val="24"/>
          <w:lang w:val="en-GB"/>
        </w:rPr>
        <w:t xml:space="preserve"> and the dry weights of each sample w</w:t>
      </w:r>
      <w:r w:rsidR="00CD61C4">
        <w:rPr>
          <w:rFonts w:ascii="Arial" w:hAnsi="Arial" w:eastAsia="Arial" w:cs="Arial"/>
          <w:sz w:val="24"/>
          <w:szCs w:val="24"/>
          <w:lang w:val="en-GB"/>
        </w:rPr>
        <w:t>as</w:t>
      </w:r>
      <w:r w:rsidRPr="25FDB9F7">
        <w:rPr>
          <w:rFonts w:ascii="Arial" w:hAnsi="Arial" w:eastAsia="Arial" w:cs="Arial"/>
          <w:sz w:val="24"/>
          <w:szCs w:val="24"/>
          <w:lang w:val="en-GB"/>
        </w:rPr>
        <w:t xml:space="preserve"> recorded. Each sample was then immersed in 1 mL of 1X PBS at pH 7.4, without calcium and magnesium ions. Weights of the swollen gels were monitored and recorded every 24 h. A swelling ratio was determined for each sample at each time point using previously reported metrics [8]. Briefly, the data collected was used to estimate the swelling ratio, by calculating the difference between the mass in the swollen state and the mass in the dried state (original weight) and normalizing this to the initial dry weight of each sample recorded. </w:t>
      </w:r>
    </w:p>
    <w:p w:rsidRPr="00AD5F25" w:rsidR="43BCF729" w:rsidP="25FDB9F7" w:rsidRDefault="00A52536" w14:paraId="29361C8F" w14:textId="2B6A8F86">
      <w:pPr>
        <w:jc w:val="both"/>
        <w:rPr>
          <w:rFonts w:ascii="Arial" w:hAnsi="Arial" w:eastAsia="Arial" w:cs="Arial"/>
          <w:b/>
          <w:bCs/>
          <w:i/>
          <w:iCs/>
          <w:sz w:val="24"/>
          <w:szCs w:val="24"/>
          <w:lang w:val="en-GB"/>
        </w:rPr>
      </w:pPr>
      <w:r w:rsidRPr="00AD5F25">
        <w:rPr>
          <w:rFonts w:ascii="Arial" w:hAnsi="Arial" w:eastAsia="Arial" w:cs="Arial"/>
          <w:b/>
          <w:bCs/>
          <w:i/>
          <w:iCs/>
          <w:sz w:val="24"/>
          <w:szCs w:val="24"/>
          <w:lang w:val="en-GB"/>
        </w:rPr>
        <w:t>S</w:t>
      </w:r>
      <w:r w:rsidRPr="00AD5F25" w:rsidR="43BCF729">
        <w:rPr>
          <w:rFonts w:ascii="Arial" w:hAnsi="Arial" w:eastAsia="Arial" w:cs="Arial"/>
          <w:b/>
          <w:bCs/>
          <w:i/>
          <w:iCs/>
          <w:sz w:val="24"/>
          <w:szCs w:val="24"/>
          <w:lang w:val="en-GB"/>
        </w:rPr>
        <w:t>2.5.2 Attenuated Total Reflectance Fourier Transform Infrared Spectroscopy (ATR-FTIR)</w:t>
      </w:r>
    </w:p>
    <w:p w:rsidR="43BCF729" w:rsidP="25FDB9F7" w:rsidRDefault="43BCF729" w14:paraId="102CF0DB" w14:textId="6A0C7A9D">
      <w:pPr>
        <w:jc w:val="both"/>
        <w:rPr>
          <w:rFonts w:ascii="Arial" w:hAnsi="Arial" w:eastAsia="Arial" w:cs="Arial"/>
          <w:sz w:val="24"/>
          <w:szCs w:val="24"/>
          <w:lang w:val="en-GB"/>
        </w:rPr>
      </w:pPr>
      <w:r w:rsidRPr="25FDB9F7">
        <w:rPr>
          <w:rFonts w:ascii="Arial" w:hAnsi="Arial" w:eastAsia="Arial" w:cs="Arial"/>
          <w:sz w:val="24"/>
          <w:szCs w:val="24"/>
          <w:lang w:val="en-GB"/>
        </w:rPr>
        <w:t>ATR-FTIR was used to study the chemical composition, molecular structure, and functional groups present in the non-crosslinked as well as in the cross-linked samples. Acellular scaffolds were used for ATR-FTIR absorbance studies, and measurements were carried out with the cardiac and neuronal scaffolds using a Nicolet FTIR spectrometer (</w:t>
      </w:r>
      <w:proofErr w:type="spellStart"/>
      <w:r w:rsidRPr="25FDB9F7">
        <w:rPr>
          <w:rFonts w:ascii="Arial" w:hAnsi="Arial" w:eastAsia="Arial" w:cs="Arial"/>
          <w:sz w:val="24"/>
          <w:szCs w:val="24"/>
          <w:lang w:val="en-GB"/>
        </w:rPr>
        <w:t>ThermoFisher</w:t>
      </w:r>
      <w:proofErr w:type="spellEnd"/>
      <w:r w:rsidRPr="25FDB9F7">
        <w:rPr>
          <w:rFonts w:ascii="Arial" w:hAnsi="Arial" w:eastAsia="Arial" w:cs="Arial"/>
          <w:sz w:val="24"/>
          <w:szCs w:val="24"/>
          <w:lang w:val="en-GB"/>
        </w:rPr>
        <w:t xml:space="preserve"> Scientific, Waltham, MA) equipped with a diamond ATR crystal. The spectrum of the samples was recorded from 400 to 4000 cm−1 and an average of 32 scans per sample were averaged to reduce spectral noise.</w:t>
      </w:r>
    </w:p>
    <w:p w:rsidRPr="00AD5F25" w:rsidR="43BCF729" w:rsidP="25FDB9F7" w:rsidRDefault="00A52536" w14:paraId="556DB061" w14:textId="3B127B62">
      <w:pPr>
        <w:jc w:val="both"/>
        <w:rPr>
          <w:rFonts w:ascii="Arial" w:hAnsi="Arial" w:eastAsia="Arial" w:cs="Arial"/>
          <w:b/>
          <w:bCs/>
          <w:i/>
          <w:iCs/>
          <w:sz w:val="24"/>
          <w:szCs w:val="24"/>
          <w:lang w:val="en-GB"/>
        </w:rPr>
      </w:pPr>
      <w:r>
        <w:rPr>
          <w:rFonts w:ascii="Arial" w:hAnsi="Arial" w:eastAsia="Arial" w:cs="Arial"/>
          <w:b/>
          <w:bCs/>
          <w:i/>
          <w:iCs/>
          <w:sz w:val="24"/>
          <w:szCs w:val="24"/>
          <w:lang w:val="en-GB"/>
        </w:rPr>
        <w:t>S</w:t>
      </w:r>
      <w:r w:rsidRPr="00AD5F25" w:rsidR="43BCF729">
        <w:rPr>
          <w:rFonts w:ascii="Arial" w:hAnsi="Arial" w:eastAsia="Arial" w:cs="Arial"/>
          <w:b/>
          <w:bCs/>
          <w:i/>
          <w:iCs/>
          <w:sz w:val="24"/>
          <w:szCs w:val="24"/>
          <w:lang w:val="en-GB"/>
        </w:rPr>
        <w:t>2.5.3 Scanning Electron Microscopy</w:t>
      </w:r>
      <w:r w:rsidR="0023005C">
        <w:rPr>
          <w:rFonts w:ascii="Arial" w:hAnsi="Arial" w:eastAsia="Arial" w:cs="Arial"/>
          <w:b/>
          <w:bCs/>
          <w:i/>
          <w:iCs/>
          <w:sz w:val="24"/>
          <w:szCs w:val="24"/>
          <w:lang w:val="en-GB"/>
        </w:rPr>
        <w:t xml:space="preserve"> (SEM)</w:t>
      </w:r>
    </w:p>
    <w:p w:rsidR="43BCF729" w:rsidP="25FDB9F7" w:rsidRDefault="43BCF729" w14:paraId="5799DB33" w14:textId="753F6770">
      <w:pPr>
        <w:jc w:val="both"/>
        <w:rPr>
          <w:rFonts w:ascii="Arial" w:hAnsi="Arial" w:eastAsia="Arial" w:cs="Arial"/>
          <w:sz w:val="24"/>
          <w:szCs w:val="24"/>
          <w:lang w:val="en-GB"/>
        </w:rPr>
      </w:pPr>
      <w:r w:rsidRPr="25FDB9F7">
        <w:rPr>
          <w:rFonts w:ascii="Arial" w:hAnsi="Arial" w:eastAsia="Arial" w:cs="Arial"/>
          <w:sz w:val="24"/>
          <w:szCs w:val="24"/>
          <w:lang w:val="en-GB"/>
        </w:rPr>
        <w:t xml:space="preserve">SEM micrographs were acquired from acellular scaffolds to demonstrate the sequence of the semi 3D printing process, adopted in this study. The cardiac scaffold was studied using SEM followed by imaging of the neuro-cardiac scaffold and visible differences were identified by </w:t>
      </w:r>
      <w:r w:rsidRPr="25FDB9F7" w:rsidR="00D0313C">
        <w:rPr>
          <w:rFonts w:ascii="Arial" w:hAnsi="Arial" w:eastAsia="Arial" w:cs="Arial"/>
          <w:sz w:val="24"/>
          <w:szCs w:val="24"/>
          <w:lang w:val="en-GB"/>
        </w:rPr>
        <w:t>analysing</w:t>
      </w:r>
      <w:r w:rsidRPr="25FDB9F7">
        <w:rPr>
          <w:rFonts w:ascii="Arial" w:hAnsi="Arial" w:eastAsia="Arial" w:cs="Arial"/>
          <w:sz w:val="24"/>
          <w:szCs w:val="24"/>
          <w:lang w:val="en-GB"/>
        </w:rPr>
        <w:t xml:space="preserve"> </w:t>
      </w:r>
      <w:proofErr w:type="spellStart"/>
      <w:r w:rsidRPr="25FDB9F7">
        <w:rPr>
          <w:rFonts w:ascii="Arial" w:hAnsi="Arial" w:eastAsia="Arial" w:cs="Arial"/>
          <w:sz w:val="24"/>
          <w:szCs w:val="24"/>
          <w:lang w:val="en-GB"/>
        </w:rPr>
        <w:t>en</w:t>
      </w:r>
      <w:proofErr w:type="spellEnd"/>
      <w:r w:rsidRPr="25FDB9F7">
        <w:rPr>
          <w:rFonts w:ascii="Arial" w:hAnsi="Arial" w:eastAsia="Arial" w:cs="Arial"/>
          <w:sz w:val="24"/>
          <w:szCs w:val="24"/>
          <w:lang w:val="en-GB"/>
        </w:rPr>
        <w:t xml:space="preserve">-face electron micrographs of lyophilized </w:t>
      </w:r>
      <w:r w:rsidR="00D0313C">
        <w:rPr>
          <w:rFonts w:ascii="Arial" w:hAnsi="Arial" w:eastAsia="Arial" w:cs="Arial"/>
          <w:sz w:val="24"/>
          <w:szCs w:val="24"/>
          <w:lang w:val="en-GB"/>
        </w:rPr>
        <w:t xml:space="preserve">acellular </w:t>
      </w:r>
      <w:r w:rsidRPr="25FDB9F7">
        <w:rPr>
          <w:rFonts w:ascii="Arial" w:hAnsi="Arial" w:eastAsia="Arial" w:cs="Arial"/>
          <w:sz w:val="24"/>
          <w:szCs w:val="24"/>
          <w:lang w:val="en-GB"/>
        </w:rPr>
        <w:t xml:space="preserve">samples. </w:t>
      </w:r>
    </w:p>
    <w:p w:rsidR="43BCF729" w:rsidP="25FDB9F7" w:rsidRDefault="43BCF729" w14:paraId="49251CF2" w14:textId="214E2BA8">
      <w:pPr>
        <w:jc w:val="both"/>
        <w:rPr>
          <w:rFonts w:ascii="Arial" w:hAnsi="Arial" w:eastAsia="Arial" w:cs="Arial"/>
          <w:sz w:val="24"/>
          <w:szCs w:val="24"/>
          <w:lang w:val="en-GB"/>
        </w:rPr>
      </w:pPr>
      <w:r w:rsidRPr="25FDB9F7">
        <w:rPr>
          <w:rFonts w:ascii="Arial" w:hAnsi="Arial" w:eastAsia="Arial" w:cs="Arial"/>
          <w:sz w:val="24"/>
          <w:szCs w:val="24"/>
          <w:lang w:val="en-GB"/>
        </w:rPr>
        <w:t xml:space="preserve">3D </w:t>
      </w:r>
      <w:proofErr w:type="spellStart"/>
      <w:r w:rsidRPr="25FDB9F7">
        <w:rPr>
          <w:rFonts w:ascii="Arial" w:hAnsi="Arial" w:eastAsia="Arial" w:cs="Arial"/>
          <w:sz w:val="24"/>
          <w:szCs w:val="24"/>
          <w:lang w:val="en-GB"/>
        </w:rPr>
        <w:t>bioprinted</w:t>
      </w:r>
      <w:proofErr w:type="spellEnd"/>
      <w:r w:rsidRPr="25FDB9F7">
        <w:rPr>
          <w:rFonts w:ascii="Arial" w:hAnsi="Arial" w:eastAsia="Arial" w:cs="Arial"/>
          <w:sz w:val="24"/>
          <w:szCs w:val="24"/>
          <w:lang w:val="en-GB"/>
        </w:rPr>
        <w:t xml:space="preserve"> scaffolds were deposited on plastic microscope slides (non-conductive) and freeze-dried or lyophilized before characterization. For freeze-drying</w:t>
      </w:r>
      <w:r w:rsidR="00706357">
        <w:rPr>
          <w:rFonts w:ascii="Arial" w:hAnsi="Arial" w:eastAsia="Arial" w:cs="Arial"/>
          <w:sz w:val="24"/>
          <w:szCs w:val="24"/>
          <w:lang w:val="en-GB"/>
        </w:rPr>
        <w:t xml:space="preserve">, </w:t>
      </w:r>
      <w:r w:rsidRPr="25FDB9F7">
        <w:rPr>
          <w:rFonts w:ascii="Arial" w:hAnsi="Arial" w:eastAsia="Arial" w:cs="Arial"/>
          <w:sz w:val="24"/>
          <w:szCs w:val="24"/>
          <w:lang w:val="en-GB"/>
        </w:rPr>
        <w:t>samples were placed in a petri dish in a -80</w:t>
      </w:r>
      <w:r w:rsidR="0013785D">
        <w:rPr>
          <w:rFonts w:ascii="Arial" w:hAnsi="Arial" w:eastAsia="Arial" w:cs="Arial"/>
          <w:sz w:val="24"/>
          <w:szCs w:val="24"/>
          <w:lang w:val="en-GB"/>
        </w:rPr>
        <w:t>°</w:t>
      </w:r>
      <w:r w:rsidRPr="25FDB9F7">
        <w:rPr>
          <w:rFonts w:ascii="Arial" w:hAnsi="Arial" w:eastAsia="Arial" w:cs="Arial"/>
          <w:sz w:val="24"/>
          <w:szCs w:val="24"/>
          <w:lang w:val="en-GB"/>
        </w:rPr>
        <w:t>C freezer overnight and lyophilized (</w:t>
      </w:r>
      <w:proofErr w:type="spellStart"/>
      <w:r w:rsidRPr="25FDB9F7">
        <w:rPr>
          <w:rFonts w:ascii="Arial" w:hAnsi="Arial" w:eastAsia="Arial" w:cs="Arial"/>
          <w:sz w:val="24"/>
          <w:szCs w:val="24"/>
          <w:lang w:val="en-GB"/>
        </w:rPr>
        <w:t>FreeZone</w:t>
      </w:r>
      <w:proofErr w:type="spellEnd"/>
      <w:r w:rsidRPr="25FDB9F7">
        <w:rPr>
          <w:rFonts w:ascii="Arial" w:hAnsi="Arial" w:eastAsia="Arial" w:cs="Arial"/>
          <w:sz w:val="24"/>
          <w:szCs w:val="24"/>
          <w:lang w:val="en-GB"/>
        </w:rPr>
        <w:t xml:space="preserve"> Triad, LABCONCO, Kansas City, MO) for 12 hours to preserve their 3D morphology. Prior to SEM imaging the lyophilized samples were sputter-coated with gold/palladium (2–3 min) in a sputter coater (</w:t>
      </w:r>
      <w:proofErr w:type="spellStart"/>
      <w:r w:rsidRPr="25FDB9F7">
        <w:rPr>
          <w:rFonts w:ascii="Arial" w:hAnsi="Arial" w:eastAsia="Arial" w:cs="Arial"/>
          <w:sz w:val="24"/>
          <w:szCs w:val="24"/>
          <w:lang w:val="en-GB"/>
        </w:rPr>
        <w:t>Gatan</w:t>
      </w:r>
      <w:proofErr w:type="spellEnd"/>
      <w:r w:rsidRPr="25FDB9F7">
        <w:rPr>
          <w:rFonts w:ascii="Arial" w:hAnsi="Arial" w:eastAsia="Arial" w:cs="Arial"/>
          <w:sz w:val="24"/>
          <w:szCs w:val="24"/>
          <w:lang w:val="en-GB"/>
        </w:rPr>
        <w:t xml:space="preserve"> Model 682 Precision etching coating system, Pleasanton, CA) and visualized using SEM (S-3500, Hitachi, Japan) at 15 kV voltage in a low vacuum setting (VP- 90Pa) at varying magnifications. Three different sample areas were targeted to obtain scaffold morphologies of the semi 3D </w:t>
      </w:r>
      <w:proofErr w:type="spellStart"/>
      <w:r w:rsidRPr="25FDB9F7">
        <w:rPr>
          <w:rFonts w:ascii="Arial" w:hAnsi="Arial" w:eastAsia="Arial" w:cs="Arial"/>
          <w:sz w:val="24"/>
          <w:szCs w:val="24"/>
          <w:lang w:val="en-GB"/>
        </w:rPr>
        <w:t>bioprinted</w:t>
      </w:r>
      <w:proofErr w:type="spellEnd"/>
      <w:r w:rsidRPr="25FDB9F7">
        <w:rPr>
          <w:rFonts w:ascii="Arial" w:hAnsi="Arial" w:eastAsia="Arial" w:cs="Arial"/>
          <w:sz w:val="24"/>
          <w:szCs w:val="24"/>
          <w:lang w:val="en-GB"/>
        </w:rPr>
        <w:t xml:space="preserve"> scaffolds. A total of at least n = 5 images per sample were assessed for samples evaluated. </w:t>
      </w:r>
    </w:p>
    <w:p w:rsidR="43BCF729" w:rsidP="25FDB9F7" w:rsidRDefault="00A52536" w14:paraId="7A79B63E" w14:textId="1A135BDE">
      <w:pPr>
        <w:jc w:val="both"/>
        <w:rPr>
          <w:rFonts w:ascii="Arial" w:hAnsi="Arial" w:eastAsia="Arial" w:cs="Arial"/>
          <w:b/>
          <w:bCs/>
          <w:sz w:val="24"/>
          <w:szCs w:val="24"/>
          <w:lang w:val="en-GB"/>
        </w:rPr>
      </w:pPr>
      <w:r>
        <w:rPr>
          <w:rFonts w:ascii="Arial" w:hAnsi="Arial" w:eastAsia="Arial" w:cs="Arial"/>
          <w:b/>
          <w:bCs/>
          <w:sz w:val="24"/>
          <w:szCs w:val="24"/>
          <w:lang w:val="en-GB"/>
        </w:rPr>
        <w:t>S</w:t>
      </w:r>
      <w:r w:rsidRPr="25FDB9F7" w:rsidR="43BCF729">
        <w:rPr>
          <w:rFonts w:ascii="Arial" w:hAnsi="Arial" w:eastAsia="Arial" w:cs="Arial"/>
          <w:b/>
          <w:bCs/>
          <w:sz w:val="24"/>
          <w:szCs w:val="24"/>
          <w:lang w:val="en-GB"/>
        </w:rPr>
        <w:t>2.6 Cell Culture and Passaging</w:t>
      </w:r>
    </w:p>
    <w:p w:rsidR="43BCF729" w:rsidP="25FDB9F7" w:rsidRDefault="43BCF729" w14:paraId="38212C0E" w14:textId="7F44062D">
      <w:pPr>
        <w:jc w:val="both"/>
        <w:rPr>
          <w:rFonts w:ascii="Arial" w:hAnsi="Arial" w:eastAsia="Arial" w:cs="Arial"/>
          <w:sz w:val="24"/>
          <w:szCs w:val="24"/>
          <w:lang w:val="en-GB"/>
        </w:rPr>
      </w:pPr>
      <w:r w:rsidRPr="25FDB9F7">
        <w:rPr>
          <w:rFonts w:ascii="Arial" w:hAnsi="Arial" w:eastAsia="Arial" w:cs="Arial"/>
          <w:sz w:val="24"/>
          <w:szCs w:val="24"/>
          <w:lang w:val="en-GB"/>
        </w:rPr>
        <w:t xml:space="preserve">AC16 human cardiomyocytes cell line (EMD </w:t>
      </w:r>
      <w:r w:rsidR="00BA4878">
        <w:rPr>
          <w:rFonts w:ascii="Arial" w:hAnsi="Arial" w:eastAsia="Arial" w:cs="Arial"/>
          <w:sz w:val="24"/>
          <w:szCs w:val="24"/>
          <w:lang w:val="en-GB"/>
        </w:rPr>
        <w:t>Millipore</w:t>
      </w:r>
      <w:r w:rsidR="00A603B8">
        <w:rPr>
          <w:rFonts w:ascii="Arial" w:hAnsi="Arial" w:eastAsia="Arial" w:cs="Arial"/>
          <w:sz w:val="24"/>
          <w:szCs w:val="24"/>
          <w:lang w:val="en-GB"/>
        </w:rPr>
        <w:t xml:space="preserve"> </w:t>
      </w:r>
      <w:r w:rsidRPr="25FDB9F7">
        <w:rPr>
          <w:rFonts w:ascii="Arial" w:hAnsi="Arial" w:eastAsia="Arial" w:cs="Arial"/>
          <w:sz w:val="24"/>
          <w:szCs w:val="24"/>
          <w:lang w:val="en-GB"/>
        </w:rPr>
        <w:t>cat. No. SCC109</w:t>
      </w:r>
      <w:r w:rsidR="00BA4878">
        <w:rPr>
          <w:rFonts w:ascii="Arial" w:hAnsi="Arial" w:eastAsia="Arial" w:cs="Arial"/>
          <w:sz w:val="24"/>
          <w:szCs w:val="24"/>
          <w:lang w:val="en-GB"/>
        </w:rPr>
        <w:t>, Burlington, MA</w:t>
      </w:r>
      <w:r w:rsidRPr="25FDB9F7">
        <w:rPr>
          <w:rFonts w:ascii="Arial" w:hAnsi="Arial" w:eastAsia="Arial" w:cs="Arial"/>
          <w:sz w:val="24"/>
          <w:szCs w:val="24"/>
          <w:lang w:val="en-GB"/>
        </w:rPr>
        <w:t>)</w:t>
      </w:r>
      <w:r w:rsidR="004E6A60">
        <w:rPr>
          <w:rFonts w:ascii="Arial" w:hAnsi="Arial" w:eastAsia="Arial" w:cs="Arial"/>
          <w:sz w:val="24"/>
          <w:szCs w:val="24"/>
          <w:lang w:val="en-GB"/>
        </w:rPr>
        <w:t>,</w:t>
      </w:r>
      <w:r w:rsidRPr="25FDB9F7">
        <w:rPr>
          <w:rFonts w:ascii="Arial" w:hAnsi="Arial" w:eastAsia="Arial" w:cs="Arial"/>
          <w:sz w:val="24"/>
          <w:szCs w:val="24"/>
          <w:lang w:val="en-GB"/>
        </w:rPr>
        <w:t xml:space="preserve"> </w:t>
      </w:r>
      <w:r w:rsidRPr="25FDB9F7" w:rsidR="00A878A3">
        <w:rPr>
          <w:rFonts w:ascii="Arial" w:hAnsi="Arial" w:eastAsia="Arial" w:cs="Arial"/>
          <w:sz w:val="24"/>
          <w:szCs w:val="24"/>
          <w:lang w:val="en-GB"/>
        </w:rPr>
        <w:t>derived from an adult human ventricular heart tissue</w:t>
      </w:r>
      <w:r w:rsidR="004E6A60">
        <w:rPr>
          <w:rFonts w:ascii="Arial" w:hAnsi="Arial" w:eastAsia="Arial" w:cs="Arial"/>
          <w:sz w:val="24"/>
          <w:szCs w:val="24"/>
          <w:lang w:val="en-GB"/>
        </w:rPr>
        <w:t>,</w:t>
      </w:r>
      <w:r w:rsidRPr="25FDB9F7" w:rsidR="00A878A3">
        <w:rPr>
          <w:rFonts w:ascii="Arial" w:hAnsi="Arial" w:eastAsia="Arial" w:cs="Arial"/>
          <w:sz w:val="24"/>
          <w:szCs w:val="24"/>
          <w:lang w:val="en-GB"/>
        </w:rPr>
        <w:t xml:space="preserve"> </w:t>
      </w:r>
      <w:r w:rsidRPr="25FDB9F7">
        <w:rPr>
          <w:rFonts w:ascii="Arial" w:hAnsi="Arial" w:eastAsia="Arial" w:cs="Arial"/>
          <w:sz w:val="24"/>
          <w:szCs w:val="24"/>
          <w:lang w:val="en-GB"/>
        </w:rPr>
        <w:t xml:space="preserve">was used in this </w:t>
      </w:r>
      <w:r w:rsidRPr="25FDB9F7" w:rsidR="004E6A60">
        <w:rPr>
          <w:rFonts w:ascii="Arial" w:hAnsi="Arial" w:eastAsia="Arial" w:cs="Arial"/>
          <w:sz w:val="24"/>
          <w:szCs w:val="24"/>
          <w:lang w:val="en-GB"/>
        </w:rPr>
        <w:t>study,</w:t>
      </w:r>
      <w:r w:rsidRPr="25FDB9F7">
        <w:rPr>
          <w:rFonts w:ascii="Arial" w:hAnsi="Arial" w:eastAsia="Arial" w:cs="Arial"/>
          <w:sz w:val="24"/>
          <w:szCs w:val="24"/>
          <w:lang w:val="en-GB"/>
        </w:rPr>
        <w:t xml:space="preserve"> and cultured based on vendor’s recommendations.</w:t>
      </w:r>
      <w:r w:rsidR="004E6A60">
        <w:rPr>
          <w:rFonts w:ascii="Arial" w:hAnsi="Arial" w:eastAsia="Arial" w:cs="Arial"/>
          <w:sz w:val="24"/>
          <w:szCs w:val="24"/>
          <w:lang w:val="en-GB"/>
        </w:rPr>
        <w:t xml:space="preserve"> </w:t>
      </w:r>
      <w:r w:rsidRPr="25FDB9F7">
        <w:rPr>
          <w:rFonts w:ascii="Arial" w:hAnsi="Arial" w:eastAsia="Arial" w:cs="Arial"/>
          <w:sz w:val="24"/>
          <w:szCs w:val="24"/>
          <w:lang w:val="en-GB"/>
        </w:rPr>
        <w:t xml:space="preserve">To culture these cells, normoglycemic (5mM glucose) DMEM complete growth </w:t>
      </w:r>
      <w:r w:rsidR="00185FDC">
        <w:rPr>
          <w:rFonts w:ascii="Arial" w:hAnsi="Arial" w:eastAsia="Arial" w:cs="Arial"/>
          <w:sz w:val="24"/>
          <w:szCs w:val="24"/>
          <w:lang w:val="en-GB"/>
        </w:rPr>
        <w:t xml:space="preserve">containing </w:t>
      </w:r>
      <w:r w:rsidRPr="25FDB9F7" w:rsidR="00663BEC">
        <w:rPr>
          <w:rFonts w:ascii="Arial" w:hAnsi="Arial" w:eastAsia="Arial" w:cs="Arial"/>
          <w:sz w:val="24"/>
          <w:szCs w:val="24"/>
        </w:rPr>
        <w:t>2mM L-Glutamine, 10% FBS, and 1X Penicillin-Streptomycin Solution</w:t>
      </w:r>
      <w:r w:rsidR="00185FDC">
        <w:rPr>
          <w:rFonts w:ascii="Arial" w:hAnsi="Arial" w:eastAsia="Arial" w:cs="Arial"/>
          <w:sz w:val="24"/>
          <w:szCs w:val="24"/>
        </w:rPr>
        <w:t xml:space="preserve"> was prepared and used. </w:t>
      </w:r>
    </w:p>
    <w:p w:rsidR="43BCF729" w:rsidP="25FDB9F7" w:rsidRDefault="43BCF729" w14:paraId="0789D33C" w14:textId="414313FD">
      <w:pPr>
        <w:jc w:val="both"/>
        <w:rPr>
          <w:rFonts w:ascii="Arial" w:hAnsi="Arial" w:eastAsia="Arial" w:cs="Arial"/>
          <w:sz w:val="24"/>
          <w:szCs w:val="24"/>
          <w:lang w:val="en-GB"/>
        </w:rPr>
      </w:pPr>
      <w:r w:rsidRPr="596296B8">
        <w:rPr>
          <w:rFonts w:ascii="Arial" w:hAnsi="Arial" w:eastAsia="Arial" w:cs="Arial"/>
          <w:sz w:val="24"/>
          <w:szCs w:val="24"/>
          <w:lang w:val="en-GB"/>
        </w:rPr>
        <w:lastRenderedPageBreak/>
        <w:t>The neuronal cells used in this study were sourced from the SH-SY5Y neuroblast derived from human neural tissues (SH-SY5Y neuroblastoma cell line ATCC cat. No. CRL-2266, city, state) [15]. Culture medium for these cells contained 1:1 ratio Ham’s F</w:t>
      </w:r>
      <w:proofErr w:type="gramStart"/>
      <w:r w:rsidRPr="596296B8">
        <w:rPr>
          <w:rFonts w:ascii="Arial" w:hAnsi="Arial" w:eastAsia="Arial" w:cs="Arial"/>
          <w:sz w:val="24"/>
          <w:szCs w:val="24"/>
          <w:lang w:val="en-GB"/>
        </w:rPr>
        <w:t>12:EMEM</w:t>
      </w:r>
      <w:proofErr w:type="gramEnd"/>
      <w:r w:rsidRPr="596296B8">
        <w:rPr>
          <w:rFonts w:ascii="Arial" w:hAnsi="Arial" w:eastAsia="Arial" w:cs="Arial"/>
          <w:sz w:val="24"/>
          <w:szCs w:val="24"/>
          <w:lang w:val="en-GB"/>
        </w:rPr>
        <w:t xml:space="preserve"> (EBSS), 2mM Glutamine, 1% Non-Essential Amino Acids (NEAA), 15% FBS, and 1% Penicillin/Streptomycin. For making the media, 250 mL of F12 was prepared using 250 mL of EMEM (EBSS), 5 mL of NEAA, 75.75 mL of FBS, 5.80 mL of Glutamine (0.2M), and 5.68 mL of Penicillin/Streptomycin. Cells were grown and passaged for experimental stabilization as per vendor’s recommendations and seeded in T75 flask at a seeding</w:t>
      </w:r>
      <w:r w:rsidR="00AD0AD8">
        <w:rPr>
          <w:rFonts w:ascii="Arial" w:hAnsi="Arial" w:eastAsia="Arial" w:cs="Arial"/>
          <w:sz w:val="24"/>
          <w:szCs w:val="24"/>
          <w:lang w:val="en-GB"/>
        </w:rPr>
        <w:t xml:space="preserve"> density of 1000 – 10,000 cells</w:t>
      </w:r>
      <w:r w:rsidRPr="596296B8">
        <w:rPr>
          <w:rFonts w:ascii="Arial" w:hAnsi="Arial" w:eastAsia="Arial" w:cs="Arial"/>
          <w:sz w:val="24"/>
          <w:szCs w:val="24"/>
          <w:lang w:val="en-GB"/>
        </w:rPr>
        <w:t>/cm</w:t>
      </w:r>
      <w:r w:rsidRPr="00AD5F25">
        <w:rPr>
          <w:rFonts w:ascii="Arial" w:hAnsi="Arial" w:eastAsia="Arial" w:cs="Arial"/>
          <w:sz w:val="24"/>
          <w:szCs w:val="24"/>
          <w:vertAlign w:val="superscript"/>
          <w:lang w:val="en-GB"/>
        </w:rPr>
        <w:t>2</w:t>
      </w:r>
      <w:r w:rsidRPr="596296B8">
        <w:rPr>
          <w:rFonts w:ascii="Arial" w:hAnsi="Arial" w:eastAsia="Arial" w:cs="Arial"/>
          <w:sz w:val="24"/>
          <w:szCs w:val="24"/>
          <w:lang w:val="en-GB"/>
        </w:rPr>
        <w:t xml:space="preserve">. Once the desired cell density was attained and confirmed via cell counting, neuronal differentiation was performed adopting guidance from published studies in literature [16]. The growth medium was replaced with Neurobasal medium containing B27 supplement and </w:t>
      </w:r>
      <w:proofErr w:type="spellStart"/>
      <w:r w:rsidRPr="596296B8">
        <w:rPr>
          <w:rFonts w:ascii="Arial" w:hAnsi="Arial" w:eastAsia="Arial" w:cs="Arial"/>
          <w:sz w:val="24"/>
          <w:szCs w:val="24"/>
          <w:lang w:val="en-GB"/>
        </w:rPr>
        <w:t>GlutaMAX</w:t>
      </w:r>
      <w:proofErr w:type="spellEnd"/>
      <w:r w:rsidRPr="596296B8">
        <w:rPr>
          <w:rFonts w:ascii="Arial" w:hAnsi="Arial" w:eastAsia="Arial" w:cs="Arial"/>
          <w:sz w:val="24"/>
          <w:szCs w:val="24"/>
          <w:lang w:val="en-GB"/>
        </w:rPr>
        <w:t xml:space="preserve">. In addition, 10 </w:t>
      </w:r>
      <w:proofErr w:type="spellStart"/>
      <w:r w:rsidRPr="596296B8">
        <w:rPr>
          <w:rFonts w:ascii="Arial" w:hAnsi="Arial" w:eastAsia="Arial" w:cs="Arial"/>
          <w:sz w:val="24"/>
          <w:szCs w:val="24"/>
          <w:lang w:val="en-GB"/>
        </w:rPr>
        <w:t>μM</w:t>
      </w:r>
      <w:proofErr w:type="spellEnd"/>
      <w:r w:rsidRPr="596296B8">
        <w:rPr>
          <w:rFonts w:ascii="Arial" w:hAnsi="Arial" w:eastAsia="Arial" w:cs="Arial"/>
          <w:sz w:val="24"/>
          <w:szCs w:val="24"/>
          <w:lang w:val="en-GB"/>
        </w:rPr>
        <w:t xml:space="preserve"> of all-trans-retinoic acid (ATRA) were added to the T75 culture flask to induce differentiation and neuronal phenotype. Cells were incubated for 3-5 days, refreshing the Neurobasal medium every 48 hours (about 2 days). Morphological changes monitoring the entire differentiation process (approximately 7 days) were performed using an EVOS compound microscope (</w:t>
      </w:r>
      <w:proofErr w:type="spellStart"/>
      <w:r w:rsidRPr="596296B8">
        <w:rPr>
          <w:rFonts w:ascii="Arial" w:hAnsi="Arial" w:eastAsia="Arial" w:cs="Arial"/>
          <w:sz w:val="24"/>
          <w:szCs w:val="24"/>
          <w:lang w:val="en-GB"/>
        </w:rPr>
        <w:t>ThermoFisher</w:t>
      </w:r>
      <w:proofErr w:type="spellEnd"/>
      <w:r w:rsidRPr="596296B8">
        <w:rPr>
          <w:rFonts w:ascii="Arial" w:hAnsi="Arial" w:eastAsia="Arial" w:cs="Arial"/>
          <w:sz w:val="24"/>
          <w:szCs w:val="24"/>
          <w:lang w:val="en-GB"/>
        </w:rPr>
        <w:t xml:space="preserve"> Scientific, Waltham, MA). </w:t>
      </w:r>
    </w:p>
    <w:p w:rsidRPr="00A96388" w:rsidR="00FB39E6" w:rsidP="25FDB9F7" w:rsidRDefault="00114C12" w14:paraId="5FA89A9A" w14:textId="6F5E1B4B">
      <w:pPr>
        <w:jc w:val="both"/>
        <w:rPr>
          <w:rFonts w:ascii="Arial" w:hAnsi="Arial" w:eastAsia="Arial" w:cs="Arial"/>
          <w:sz w:val="24"/>
          <w:szCs w:val="24"/>
        </w:rPr>
      </w:pPr>
      <w:r w:rsidRPr="25FDB9F7">
        <w:rPr>
          <w:rFonts w:ascii="Arial" w:hAnsi="Arial" w:eastAsia="Arial" w:cs="Arial"/>
          <w:sz w:val="24"/>
          <w:szCs w:val="24"/>
        </w:rPr>
        <w:t>The thawing process was performed as described</w:t>
      </w:r>
      <w:r w:rsidR="00AD0AD8">
        <w:rPr>
          <w:rFonts w:ascii="Arial" w:hAnsi="Arial" w:eastAsia="Arial" w:cs="Arial"/>
          <w:sz w:val="24"/>
          <w:szCs w:val="24"/>
        </w:rPr>
        <w:t xml:space="preserve"> herein</w:t>
      </w:r>
      <w:r w:rsidRPr="25FDB9F7">
        <w:rPr>
          <w:rFonts w:ascii="Arial" w:hAnsi="Arial" w:eastAsia="Arial" w:cs="Arial"/>
          <w:sz w:val="24"/>
          <w:szCs w:val="24"/>
        </w:rPr>
        <w:t xml:space="preserve">, the AC16 cell vial was removed from the freezer and incubated in a 37°C water bath until the cells were completely </w:t>
      </w:r>
      <w:r w:rsidRPr="25FDB9F7" w:rsidR="000954F1">
        <w:rPr>
          <w:rFonts w:ascii="Arial" w:hAnsi="Arial" w:eastAsia="Arial" w:cs="Arial"/>
          <w:sz w:val="24"/>
          <w:szCs w:val="24"/>
        </w:rPr>
        <w:t>thaw</w:t>
      </w:r>
      <w:r w:rsidR="00E470B1">
        <w:rPr>
          <w:rFonts w:ascii="Arial" w:hAnsi="Arial" w:eastAsia="Arial" w:cs="Arial"/>
          <w:sz w:val="24"/>
          <w:szCs w:val="24"/>
        </w:rPr>
        <w:t>ed</w:t>
      </w:r>
      <w:r w:rsidRPr="25FDB9F7">
        <w:rPr>
          <w:rFonts w:ascii="Arial" w:hAnsi="Arial" w:eastAsia="Arial" w:cs="Arial"/>
          <w:sz w:val="24"/>
          <w:szCs w:val="24"/>
        </w:rPr>
        <w:t xml:space="preserve">. The outside of the vial was disinfected with 70% ethanol and transferred to the laminar flow hood. The cells were carefully transferred to a sterile 15 mL conical tube using a 2 mL pipette. Using a 10 mL pipette, 9 mL of AC16 growth culture medium was slowly added dropwise to the 15 mL conical tube. The cell suspension was mixed slowly and centrifuged at 300xg for 3 minutes. After centrifugation, the supernatant was discarded, and cells were resuspended in 10-15 mL of AC16 Culture Medium. Then, the cell mixture was transferred to a T75 culture flask, and the cells were incubated at 37°C in a humidified incubator with 5%CO2. The medium was exchanged the next day with 10-15 mL of fresh AC16 Culture Medium. Every two to three days after, the medium was exchanged with fresh medium and the cells were checked under the microscope for confluency daily. Cells were grown and </w:t>
      </w:r>
      <w:r w:rsidRPr="25FDB9F7" w:rsidR="00A96388">
        <w:rPr>
          <w:rFonts w:ascii="Arial" w:hAnsi="Arial" w:eastAsia="Arial" w:cs="Arial"/>
          <w:sz w:val="24"/>
          <w:szCs w:val="24"/>
        </w:rPr>
        <w:t>passed</w:t>
      </w:r>
      <w:r w:rsidRPr="25FDB9F7">
        <w:rPr>
          <w:rFonts w:ascii="Arial" w:hAnsi="Arial" w:eastAsia="Arial" w:cs="Arial"/>
          <w:sz w:val="24"/>
          <w:szCs w:val="24"/>
        </w:rPr>
        <w:t xml:space="preserve"> for experimental stabilization as per vendor’s recommendations. When the cells reached 80-95% confluency, they were detached from the T75 tissue culture flask using trypsin-EDTA.</w:t>
      </w:r>
      <w:r w:rsidR="00AD0AD8">
        <w:rPr>
          <w:rFonts w:ascii="Arial" w:hAnsi="Arial" w:eastAsia="Arial" w:cs="Arial"/>
          <w:sz w:val="24"/>
          <w:szCs w:val="24"/>
        </w:rPr>
        <w:t xml:space="preserve"> </w:t>
      </w:r>
      <w:r w:rsidRPr="0F8EE944" w:rsidR="00070A3B">
        <w:rPr>
          <w:rFonts w:ascii="Arial" w:hAnsi="Arial" w:eastAsia="Arial" w:cs="Arial"/>
          <w:sz w:val="24"/>
          <w:szCs w:val="24"/>
        </w:rPr>
        <w:t xml:space="preserve">For passaging the cells, the growth medium was removed from the T75 tissue culture flask and 5 mL of trypsin-EDTA solution was added to the flask with cells and it was incubated at 37°C for 3 minutes. Then, the same volume of AC16 Culture Medium was added to the T75 flask to inactivate the trypsin-EDTA plate and the cells were detached followed by gently rotating of the flask to ensure a homogenous cell suspension. The detached cell suspension was transferred to a 15 mL conical tube and centrifuged at 300xg for 5 minutes to form a cell pellet. The supernatant was discarded and 2mL of AC16 Culture Medium were added to the conical tube. Using a pipette, the cells were resuspended thoroughly, and cells were automatically counted with Countess III to estimate cell density for further experiments. </w:t>
      </w:r>
    </w:p>
    <w:p w:rsidR="005F752A" w:rsidP="25FDB9F7" w:rsidRDefault="00FB39E6" w14:paraId="582952D8" w14:textId="30804D98">
      <w:pPr>
        <w:jc w:val="both"/>
        <w:rPr>
          <w:rFonts w:ascii="Arial" w:hAnsi="Arial" w:eastAsia="Arial" w:cs="Arial"/>
          <w:sz w:val="24"/>
          <w:szCs w:val="24"/>
        </w:rPr>
      </w:pPr>
      <w:r w:rsidRPr="25FDB9F7">
        <w:rPr>
          <w:rFonts w:ascii="Arial" w:hAnsi="Arial" w:eastAsia="Arial" w:cs="Arial"/>
          <w:sz w:val="24"/>
          <w:szCs w:val="24"/>
        </w:rPr>
        <w:lastRenderedPageBreak/>
        <w:t xml:space="preserve">For thawing and </w:t>
      </w:r>
      <w:proofErr w:type="gramStart"/>
      <w:r w:rsidRPr="25FDB9F7">
        <w:rPr>
          <w:rFonts w:ascii="Arial" w:hAnsi="Arial" w:eastAsia="Arial" w:cs="Arial"/>
          <w:sz w:val="24"/>
          <w:szCs w:val="24"/>
        </w:rPr>
        <w:t>passaging</w:t>
      </w:r>
      <w:proofErr w:type="gramEnd"/>
      <w:r w:rsidR="00AD0AD8">
        <w:rPr>
          <w:rFonts w:ascii="Arial" w:hAnsi="Arial" w:eastAsia="Arial" w:cs="Arial"/>
          <w:sz w:val="24"/>
          <w:szCs w:val="24"/>
        </w:rPr>
        <w:t xml:space="preserve"> of the neuronal cells</w:t>
      </w:r>
      <w:r w:rsidR="00C576A5">
        <w:rPr>
          <w:rFonts w:ascii="Arial" w:hAnsi="Arial" w:eastAsia="Arial" w:cs="Arial"/>
          <w:sz w:val="24"/>
          <w:szCs w:val="24"/>
        </w:rPr>
        <w:t>,</w:t>
      </w:r>
      <w:r w:rsidRPr="25FDB9F7">
        <w:rPr>
          <w:rFonts w:ascii="Arial" w:hAnsi="Arial" w:eastAsia="Arial" w:cs="Arial"/>
          <w:sz w:val="24"/>
          <w:szCs w:val="24"/>
        </w:rPr>
        <w:t xml:space="preserve"> a similar method reported for the cardiac cells was adopted. For further passaging and differentiation, the growth medium in the T75 culture flask was discarded and adherent cells were rinsed with pre-warmed and sterile 1x PBS. 5 mL of trypsin were added to adherent cells and incubated for 2 minutes or until cells visibly detached from culture flask. Trypsin was neutralized by adding 5 mL of EMEM/F12 medium containing 15% FBS. The cell suspension was transferred to a 15 mL conical tube and centrifuged at 1,500 rpm for 5 minutes at room temperature to pellet the cells. The supernatant was discarded, and the pellet was suspended in 2 mL of EMEM/F12 medium containing 15% FBS. The cell suspension was mixed by gently pipetting up and down. </w:t>
      </w:r>
    </w:p>
    <w:p w:rsidRPr="00AD0AD8" w:rsidR="006E2EBF" w:rsidP="25FDB9F7" w:rsidRDefault="00DF4273" w14:paraId="1FDBFE36" w14:textId="7BCA071F">
      <w:pPr>
        <w:jc w:val="both"/>
        <w:rPr>
          <w:rFonts w:ascii="Arial" w:hAnsi="Arial" w:eastAsia="Arial" w:cs="Arial"/>
          <w:b/>
          <w:bCs/>
          <w:sz w:val="24"/>
          <w:szCs w:val="24"/>
          <w:u w:val="single"/>
        </w:rPr>
      </w:pPr>
      <w:r w:rsidRPr="00AD0AD8">
        <w:rPr>
          <w:rFonts w:ascii="Arial" w:hAnsi="Arial" w:eastAsia="Arial" w:cs="Arial"/>
          <w:b/>
          <w:bCs/>
          <w:sz w:val="24"/>
          <w:szCs w:val="24"/>
          <w:u w:val="single"/>
        </w:rPr>
        <w:t xml:space="preserve">Supplementary </w:t>
      </w:r>
      <w:r w:rsidRPr="00AD0AD8" w:rsidR="006E2EBF">
        <w:rPr>
          <w:rFonts w:ascii="Arial" w:hAnsi="Arial" w:eastAsia="Arial" w:cs="Arial"/>
          <w:b/>
          <w:bCs/>
          <w:sz w:val="24"/>
          <w:szCs w:val="24"/>
          <w:u w:val="single"/>
        </w:rPr>
        <w:t>Immunostaining Results</w:t>
      </w:r>
    </w:p>
    <w:p w:rsidR="00183B2D" w:rsidP="25FDB9F7" w:rsidRDefault="00231E25" w14:paraId="4C1205A6" w14:textId="40390E92">
      <w:pPr>
        <w:jc w:val="both"/>
        <w:rPr>
          <w:rFonts w:ascii="Arial" w:hAnsi="Arial" w:eastAsia="Arial" w:cs="Arial"/>
          <w:b/>
          <w:bCs/>
          <w:sz w:val="24"/>
          <w:szCs w:val="24"/>
        </w:rPr>
      </w:pPr>
      <w:r>
        <w:rPr>
          <w:rFonts w:ascii="Arial" w:hAnsi="Arial" w:eastAsia="Arial" w:cs="Arial"/>
          <w:sz w:val="24"/>
          <w:szCs w:val="24"/>
        </w:rPr>
        <w:t xml:space="preserve">Shown in Supplementary Figure 1 are the </w:t>
      </w:r>
      <w:r w:rsidR="001F437F">
        <w:rPr>
          <w:rFonts w:ascii="Arial" w:hAnsi="Arial" w:eastAsia="Arial" w:cs="Arial"/>
          <w:sz w:val="24"/>
          <w:szCs w:val="24"/>
        </w:rPr>
        <w:t>i</w:t>
      </w:r>
      <w:r w:rsidRPr="00E157CC" w:rsidR="001F437F">
        <w:rPr>
          <w:rFonts w:ascii="Arial" w:hAnsi="Arial" w:eastAsia="Arial" w:cs="Arial"/>
          <w:sz w:val="24"/>
          <w:szCs w:val="24"/>
        </w:rPr>
        <w:t>mmunostaining results confirmed via confocal microscopic imaging from 3D Neuro-Cardiac cultures (A-D) showing AC16 cardiomyocytes (MYO D1+Alexa Fluor 647: Red) as shown in (C), and SHSY5Y neurons (MAP-2+Alexa Fluor 488: Green) as shown in (B). All cell nuclei are stained using DAPI (blue) as depicted in (A</w:t>
      </w:r>
      <w:proofErr w:type="gramStart"/>
      <w:r w:rsidRPr="00E157CC" w:rsidR="001F437F">
        <w:rPr>
          <w:rFonts w:ascii="Arial" w:hAnsi="Arial" w:eastAsia="Arial" w:cs="Arial"/>
          <w:sz w:val="24"/>
          <w:szCs w:val="24"/>
        </w:rPr>
        <w:t>)</w:t>
      </w:r>
      <w:proofErr w:type="gramEnd"/>
      <w:r w:rsidRPr="00E157CC" w:rsidR="001F437F">
        <w:rPr>
          <w:rFonts w:ascii="Arial" w:hAnsi="Arial" w:eastAsia="Arial" w:cs="Arial"/>
          <w:sz w:val="24"/>
          <w:szCs w:val="24"/>
        </w:rPr>
        <w:t xml:space="preserve"> and a merged result of both cell types is depicted in (D) and (E).</w:t>
      </w:r>
      <w:r w:rsidRPr="002C0AF1" w:rsidR="001F437F">
        <w:rPr>
          <w:rFonts w:ascii="Arial" w:hAnsi="Arial" w:eastAsia="Arial" w:cs="Arial"/>
          <w:b/>
          <w:bCs/>
          <w:sz w:val="24"/>
          <w:szCs w:val="24"/>
        </w:rPr>
        <w:t xml:space="preserve"> </w:t>
      </w:r>
      <w:r w:rsidR="001F437F">
        <w:rPr>
          <w:rFonts w:ascii="Arial" w:hAnsi="Arial" w:eastAsia="Arial" w:cs="Arial"/>
          <w:b/>
          <w:bCs/>
          <w:sz w:val="24"/>
          <w:szCs w:val="24"/>
        </w:rPr>
        <w:t xml:space="preserve"> </w:t>
      </w:r>
    </w:p>
    <w:p w:rsidR="00183B2D" w:rsidP="00C541D8" w:rsidRDefault="00C541D8" w14:paraId="286E9CAB" w14:textId="47C6EAAA">
      <w:pPr>
        <w:jc w:val="center"/>
        <w:rPr>
          <w:rFonts w:ascii="Arial" w:hAnsi="Arial" w:eastAsia="Arial" w:cs="Arial"/>
          <w:b/>
          <w:bCs/>
          <w:sz w:val="24"/>
          <w:szCs w:val="24"/>
        </w:rPr>
      </w:pPr>
      <w:r>
        <w:rPr>
          <w:rFonts w:ascii="Arial" w:hAnsi="Arial" w:eastAsia="Arial" w:cs="Arial"/>
          <w:b/>
          <w:bCs/>
          <w:noProof/>
          <w:sz w:val="24"/>
          <w:szCs w:val="24"/>
        </w:rPr>
        <w:drawing>
          <wp:inline distT="0" distB="0" distL="0" distR="0" wp14:anchorId="7E482B4F" wp14:editId="660926F3">
            <wp:extent cx="5888303" cy="3467686"/>
            <wp:effectExtent l="0" t="0" r="0" b="0"/>
            <wp:docPr id="1055188270" name="Picture 105518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056"/>
                    <a:stretch/>
                  </pic:blipFill>
                  <pic:spPr bwMode="auto">
                    <a:xfrm>
                      <a:off x="0" y="0"/>
                      <a:ext cx="5916276" cy="3484160"/>
                    </a:xfrm>
                    <a:prstGeom prst="rect">
                      <a:avLst/>
                    </a:prstGeom>
                    <a:noFill/>
                    <a:ln>
                      <a:noFill/>
                    </a:ln>
                    <a:extLst>
                      <a:ext uri="{53640926-AAD7-44D8-BBD7-CCE9431645EC}">
                        <a14:shadowObscured xmlns:a14="http://schemas.microsoft.com/office/drawing/2010/main"/>
                      </a:ext>
                    </a:extLst>
                  </pic:spPr>
                </pic:pic>
              </a:graphicData>
            </a:graphic>
          </wp:inline>
        </w:drawing>
      </w:r>
    </w:p>
    <w:p w:rsidR="00C541D8" w:rsidP="00AD0AD8" w:rsidRDefault="00C541D8" w14:paraId="29FB92FA" w14:textId="4440915C">
      <w:pPr>
        <w:jc w:val="both"/>
        <w:rPr>
          <w:rFonts w:ascii="Arial" w:hAnsi="Arial" w:eastAsia="Arial" w:cs="Arial"/>
          <w:b/>
          <w:bCs/>
          <w:sz w:val="24"/>
          <w:szCs w:val="24"/>
        </w:rPr>
      </w:pPr>
      <w:r>
        <w:rPr>
          <w:rFonts w:ascii="Arial" w:hAnsi="Arial" w:eastAsia="Arial" w:cs="Arial"/>
          <w:b/>
          <w:bCs/>
          <w:sz w:val="24"/>
          <w:szCs w:val="24"/>
        </w:rPr>
        <w:t xml:space="preserve">Supplementary Figure 1. </w:t>
      </w:r>
      <w:r w:rsidRPr="00AD5F25" w:rsidR="002C0AF1">
        <w:rPr>
          <w:rFonts w:ascii="Arial" w:hAnsi="Arial" w:eastAsia="Arial" w:cs="Arial"/>
          <w:sz w:val="24"/>
          <w:szCs w:val="24"/>
        </w:rPr>
        <w:t>Immunostaining results confirmed via confocal microscopic imaging from 3D Neuro-Cardiac cultures (A-D) showing AC16 cardiomyocytes (MYO D1+Alexa Fluor 647: Red) as shown in (C), and SHSY5Y neurons (MAP-2+Alexa Fluor 488: Green) as shown in (B). All cell nuclei are stained using DAPI (blue) as depicted in (A</w:t>
      </w:r>
      <w:proofErr w:type="gramStart"/>
      <w:r w:rsidRPr="00AD5F25" w:rsidR="002C0AF1">
        <w:rPr>
          <w:rFonts w:ascii="Arial" w:hAnsi="Arial" w:eastAsia="Arial" w:cs="Arial"/>
          <w:sz w:val="24"/>
          <w:szCs w:val="24"/>
        </w:rPr>
        <w:t>)</w:t>
      </w:r>
      <w:proofErr w:type="gramEnd"/>
      <w:r w:rsidRPr="00AD5F25" w:rsidR="002C0AF1">
        <w:rPr>
          <w:rFonts w:ascii="Arial" w:hAnsi="Arial" w:eastAsia="Arial" w:cs="Arial"/>
          <w:sz w:val="24"/>
          <w:szCs w:val="24"/>
        </w:rPr>
        <w:t xml:space="preserve"> and a merged result of both cell types is depicted in (D) and (E).</w:t>
      </w:r>
      <w:r w:rsidRPr="002C0AF1" w:rsidR="002C0AF1">
        <w:rPr>
          <w:rFonts w:ascii="Arial" w:hAnsi="Arial" w:eastAsia="Arial" w:cs="Arial"/>
          <w:b/>
          <w:bCs/>
          <w:sz w:val="24"/>
          <w:szCs w:val="24"/>
        </w:rPr>
        <w:t xml:space="preserve"> </w:t>
      </w:r>
      <w:r>
        <w:rPr>
          <w:rFonts w:ascii="Arial" w:hAnsi="Arial" w:eastAsia="Arial" w:cs="Arial"/>
          <w:b/>
          <w:bCs/>
          <w:sz w:val="24"/>
          <w:szCs w:val="24"/>
        </w:rPr>
        <w:t xml:space="preserve"> </w:t>
      </w:r>
    </w:p>
    <w:p w:rsidR="00E108FA" w:rsidP="25FDB9F7" w:rsidRDefault="00E108FA" w14:paraId="3FDEB666" w14:textId="77777777">
      <w:pPr>
        <w:jc w:val="both"/>
        <w:rPr>
          <w:rFonts w:ascii="Arial" w:hAnsi="Arial" w:eastAsia="Arial" w:cs="Arial"/>
          <w:b/>
          <w:bCs/>
          <w:sz w:val="24"/>
          <w:szCs w:val="24"/>
        </w:rPr>
      </w:pPr>
    </w:p>
    <w:p w:rsidRPr="00A96388" w:rsidR="007019D2" w:rsidP="25FDB9F7" w:rsidRDefault="1FD7FB02" w14:paraId="7B665AFF" w14:textId="7A785EF8">
      <w:pPr>
        <w:jc w:val="both"/>
        <w:rPr>
          <w:rFonts w:ascii="Arial" w:hAnsi="Arial" w:eastAsia="Arial" w:cs="Arial"/>
          <w:sz w:val="24"/>
          <w:szCs w:val="24"/>
        </w:rPr>
      </w:pPr>
      <w:r w:rsidRPr="79B77E29">
        <w:rPr>
          <w:rFonts w:ascii="Arial" w:hAnsi="Arial" w:eastAsia="Arial" w:cs="Arial"/>
          <w:sz w:val="24"/>
          <w:szCs w:val="24"/>
          <w:lang w:val="en-GB"/>
        </w:rPr>
        <w:lastRenderedPageBreak/>
        <w:t>Shown in</w:t>
      </w:r>
      <w:r w:rsidRPr="79B77E29" w:rsidR="00B243AA">
        <w:rPr>
          <w:rFonts w:ascii="Arial" w:hAnsi="Arial" w:eastAsia="Arial" w:cs="Arial"/>
          <w:sz w:val="24"/>
          <w:szCs w:val="24"/>
          <w:lang w:val="en-GB"/>
        </w:rPr>
        <w:t xml:space="preserve"> Supplementary Figure </w:t>
      </w:r>
      <w:r w:rsidRPr="79B77E29">
        <w:rPr>
          <w:rFonts w:ascii="Arial" w:hAnsi="Arial" w:eastAsia="Arial" w:cs="Arial"/>
          <w:sz w:val="24"/>
          <w:szCs w:val="24"/>
          <w:lang w:val="en-GB"/>
        </w:rPr>
        <w:t xml:space="preserve">2 are the immunostaining results from 2D cultures showing SHSY5Y neurons (A) with neurite projections identified with MAP2, and (B) showing clustering of neurons confirming their differentiation. Shown in (C) are cardiomyocytes cultured in 2D controls and identified with their MyoD1 expression. </w:t>
      </w:r>
    </w:p>
    <w:p w:rsidR="1A601CCF" w:rsidP="25FDB9F7" w:rsidRDefault="00DD512A" w14:paraId="107957C6" w14:textId="6B1106E7">
      <w:pPr>
        <w:jc w:val="center"/>
        <w:rPr>
          <w:rFonts w:ascii="Arial" w:hAnsi="Arial" w:eastAsia="Arial" w:cs="Arial"/>
          <w:sz w:val="24"/>
          <w:szCs w:val="24"/>
        </w:rPr>
      </w:pPr>
      <w:r>
        <w:rPr>
          <w:rFonts w:ascii="Arial" w:hAnsi="Arial" w:eastAsia="Calibri" w:cs="Arial"/>
          <w:noProof/>
        </w:rPr>
        <w:drawing>
          <wp:inline distT="0" distB="0" distL="0" distR="0" wp14:anchorId="2E5A1B25" wp14:editId="7EC644D0">
            <wp:extent cx="5815709" cy="4459459"/>
            <wp:effectExtent l="0" t="0" r="0" b="0"/>
            <wp:docPr id="2042722576" name="Picture 204272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597"/>
                    <a:stretch/>
                  </pic:blipFill>
                  <pic:spPr bwMode="auto">
                    <a:xfrm>
                      <a:off x="0" y="0"/>
                      <a:ext cx="5832948" cy="4472677"/>
                    </a:xfrm>
                    <a:prstGeom prst="rect">
                      <a:avLst/>
                    </a:prstGeom>
                    <a:noFill/>
                    <a:ln>
                      <a:noFill/>
                    </a:ln>
                    <a:extLst>
                      <a:ext uri="{53640926-AAD7-44D8-BBD7-CCE9431645EC}">
                        <a14:shadowObscured xmlns:a14="http://schemas.microsoft.com/office/drawing/2010/main"/>
                      </a:ext>
                    </a:extLst>
                  </pic:spPr>
                </pic:pic>
              </a:graphicData>
            </a:graphic>
          </wp:inline>
        </w:drawing>
      </w:r>
    </w:p>
    <w:p w:rsidRPr="004C3E63" w:rsidR="004C3E63" w:rsidP="00AD0AD8" w:rsidRDefault="004C3E63" w14:paraId="7B789229" w14:textId="7749CF50">
      <w:pPr>
        <w:jc w:val="both"/>
        <w:rPr>
          <w:rFonts w:ascii="Arial" w:hAnsi="Arial" w:eastAsia="Arial" w:cs="Arial"/>
          <w:sz w:val="24"/>
          <w:szCs w:val="24"/>
        </w:rPr>
      </w:pPr>
      <w:r w:rsidRPr="25FDB9F7">
        <w:rPr>
          <w:rFonts w:ascii="Arial" w:hAnsi="Arial" w:eastAsia="Arial" w:cs="Arial"/>
          <w:b/>
          <w:bCs/>
          <w:sz w:val="24"/>
          <w:szCs w:val="24"/>
        </w:rPr>
        <w:t xml:space="preserve">Supplementary Figure </w:t>
      </w:r>
      <w:r w:rsidRPr="57E73C40" w:rsidR="7F38F5F8">
        <w:rPr>
          <w:rFonts w:ascii="Arial" w:hAnsi="Arial" w:eastAsia="Arial" w:cs="Arial"/>
          <w:b/>
          <w:bCs/>
          <w:sz w:val="24"/>
          <w:szCs w:val="24"/>
        </w:rPr>
        <w:t>2</w:t>
      </w:r>
      <w:r w:rsidR="00DF4273">
        <w:rPr>
          <w:rFonts w:ascii="Arial" w:hAnsi="Arial" w:eastAsia="Arial" w:cs="Arial"/>
          <w:b/>
          <w:bCs/>
          <w:sz w:val="24"/>
          <w:szCs w:val="24"/>
        </w:rPr>
        <w:t xml:space="preserve">. </w:t>
      </w:r>
      <w:r w:rsidRPr="25FDB9F7">
        <w:rPr>
          <w:rFonts w:ascii="Arial" w:hAnsi="Arial" w:eastAsia="Arial" w:cs="Arial"/>
          <w:sz w:val="24"/>
          <w:szCs w:val="24"/>
        </w:rPr>
        <w:t>Immunostaining results from 2D cultures showing SHSY5Y neurons (A) with neurite projections, and (B) showing clustering of neurons confirming their differentiation. Shown in (C) are cardiomyocytes cultured in 2D controls.</w:t>
      </w:r>
    </w:p>
    <w:p w:rsidR="00AD5F25" w:rsidP="25FDB9F7" w:rsidRDefault="00AD5F25" w14:paraId="39A2345B" w14:textId="77777777">
      <w:pPr>
        <w:jc w:val="both"/>
        <w:rPr>
          <w:rFonts w:ascii="Arial" w:hAnsi="Arial" w:eastAsia="Arial" w:cs="Arial"/>
          <w:b/>
          <w:bCs/>
          <w:sz w:val="24"/>
          <w:szCs w:val="24"/>
        </w:rPr>
      </w:pPr>
    </w:p>
    <w:sectPr w:rsidR="00AD5F25">
      <w:headerReference w:type="default" r:id="rId1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035" w:rsidP="00A96388" w:rsidRDefault="005C2035" w14:paraId="040705AE" w14:textId="77777777">
      <w:pPr>
        <w:spacing w:after="0" w:line="240" w:lineRule="auto"/>
      </w:pPr>
      <w:r>
        <w:separator/>
      </w:r>
    </w:p>
  </w:endnote>
  <w:endnote w:type="continuationSeparator" w:id="0">
    <w:p w:rsidR="005C2035" w:rsidP="00A96388" w:rsidRDefault="005C2035" w14:paraId="4F58EFA4" w14:textId="77777777">
      <w:pPr>
        <w:spacing w:after="0" w:line="240" w:lineRule="auto"/>
      </w:pPr>
      <w:r>
        <w:continuationSeparator/>
      </w:r>
    </w:p>
  </w:endnote>
  <w:endnote w:type="continuationNotice" w:id="1">
    <w:p w:rsidR="005C2035" w:rsidRDefault="005C2035" w14:paraId="4BBCDF7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035" w:rsidP="00A96388" w:rsidRDefault="005C2035" w14:paraId="0B1A2D60" w14:textId="77777777">
      <w:pPr>
        <w:spacing w:after="0" w:line="240" w:lineRule="auto"/>
      </w:pPr>
      <w:r>
        <w:separator/>
      </w:r>
    </w:p>
  </w:footnote>
  <w:footnote w:type="continuationSeparator" w:id="0">
    <w:p w:rsidR="005C2035" w:rsidP="00A96388" w:rsidRDefault="005C2035" w14:paraId="19574636" w14:textId="77777777">
      <w:pPr>
        <w:spacing w:after="0" w:line="240" w:lineRule="auto"/>
      </w:pPr>
      <w:r>
        <w:continuationSeparator/>
      </w:r>
    </w:p>
  </w:footnote>
  <w:footnote w:type="continuationNotice" w:id="1">
    <w:p w:rsidR="005C2035" w:rsidRDefault="005C2035" w14:paraId="186C82F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96388" w:rsidR="00A96388" w:rsidRDefault="00A96388" w14:paraId="221163B6" w14:textId="65A3356F">
    <w:pPr>
      <w:pStyle w:val="Header"/>
      <w:rPr>
        <w:rFonts w:ascii="Arial" w:hAnsi="Arial" w:cs="Arial"/>
      </w:rPr>
    </w:pPr>
    <w:r w:rsidRPr="00A96388">
      <w:rPr>
        <w:rFonts w:ascii="Arial" w:hAnsi="Arial" w:cs="Arial"/>
      </w:rPr>
      <w:t>Supp</w:t>
    </w:r>
    <w:r w:rsidR="009B4154">
      <w:rPr>
        <w:rFonts w:ascii="Arial" w:hAnsi="Arial" w:cs="Arial"/>
      </w:rPr>
      <w:t>lementary</w:t>
    </w:r>
    <w:r w:rsidRPr="00A96388">
      <w:rPr>
        <w:rFonts w:ascii="Arial" w:hAnsi="Arial" w:cs="Arial"/>
      </w:rPr>
      <w:t xml:space="preserve">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AF2A0F"/>
    <w:multiLevelType w:val="hybridMultilevel"/>
    <w:tmpl w:val="2A14C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0824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C12"/>
    <w:rsid w:val="00007F8E"/>
    <w:rsid w:val="00070A3B"/>
    <w:rsid w:val="000739F8"/>
    <w:rsid w:val="000954F1"/>
    <w:rsid w:val="000A1CC3"/>
    <w:rsid w:val="000D1F0B"/>
    <w:rsid w:val="000D35BA"/>
    <w:rsid w:val="000E3229"/>
    <w:rsid w:val="000F0113"/>
    <w:rsid w:val="00114C12"/>
    <w:rsid w:val="00121029"/>
    <w:rsid w:val="0013785D"/>
    <w:rsid w:val="00172F44"/>
    <w:rsid w:val="00173146"/>
    <w:rsid w:val="00183B2D"/>
    <w:rsid w:val="00183F5E"/>
    <w:rsid w:val="00185FDC"/>
    <w:rsid w:val="001869A1"/>
    <w:rsid w:val="001915F1"/>
    <w:rsid w:val="001F360B"/>
    <w:rsid w:val="001F437F"/>
    <w:rsid w:val="00222909"/>
    <w:rsid w:val="0023005C"/>
    <w:rsid w:val="00231E25"/>
    <w:rsid w:val="00233921"/>
    <w:rsid w:val="0024048A"/>
    <w:rsid w:val="002767F6"/>
    <w:rsid w:val="00287B2A"/>
    <w:rsid w:val="002A147F"/>
    <w:rsid w:val="002B6160"/>
    <w:rsid w:val="002C0AF1"/>
    <w:rsid w:val="00331558"/>
    <w:rsid w:val="00333FAE"/>
    <w:rsid w:val="0036525F"/>
    <w:rsid w:val="00377227"/>
    <w:rsid w:val="003B1B46"/>
    <w:rsid w:val="003B1CCE"/>
    <w:rsid w:val="003B2862"/>
    <w:rsid w:val="003D3AB6"/>
    <w:rsid w:val="00461040"/>
    <w:rsid w:val="00490A62"/>
    <w:rsid w:val="004929A4"/>
    <w:rsid w:val="004A4139"/>
    <w:rsid w:val="004C3E63"/>
    <w:rsid w:val="004E6A60"/>
    <w:rsid w:val="00527509"/>
    <w:rsid w:val="00583402"/>
    <w:rsid w:val="005C2035"/>
    <w:rsid w:val="005E1E43"/>
    <w:rsid w:val="005F15AC"/>
    <w:rsid w:val="005F3EA5"/>
    <w:rsid w:val="005F752A"/>
    <w:rsid w:val="00610018"/>
    <w:rsid w:val="00615C47"/>
    <w:rsid w:val="006211A0"/>
    <w:rsid w:val="0065046E"/>
    <w:rsid w:val="006529A3"/>
    <w:rsid w:val="00663BEC"/>
    <w:rsid w:val="0068625E"/>
    <w:rsid w:val="006E2EBF"/>
    <w:rsid w:val="006F65E1"/>
    <w:rsid w:val="007019D2"/>
    <w:rsid w:val="00706357"/>
    <w:rsid w:val="00783899"/>
    <w:rsid w:val="007A0DB8"/>
    <w:rsid w:val="007A5940"/>
    <w:rsid w:val="00885358"/>
    <w:rsid w:val="008868CF"/>
    <w:rsid w:val="008A27F0"/>
    <w:rsid w:val="008A7918"/>
    <w:rsid w:val="008B5D82"/>
    <w:rsid w:val="008C6076"/>
    <w:rsid w:val="008F016E"/>
    <w:rsid w:val="008F4D94"/>
    <w:rsid w:val="008F73BB"/>
    <w:rsid w:val="00903DE3"/>
    <w:rsid w:val="00932142"/>
    <w:rsid w:val="00936D12"/>
    <w:rsid w:val="0094396E"/>
    <w:rsid w:val="009705AA"/>
    <w:rsid w:val="00976C3B"/>
    <w:rsid w:val="009A0BD1"/>
    <w:rsid w:val="009A7729"/>
    <w:rsid w:val="009B01FE"/>
    <w:rsid w:val="009B4154"/>
    <w:rsid w:val="009C5C4A"/>
    <w:rsid w:val="009E3EA7"/>
    <w:rsid w:val="009F279A"/>
    <w:rsid w:val="00A16FCC"/>
    <w:rsid w:val="00A249BF"/>
    <w:rsid w:val="00A249C6"/>
    <w:rsid w:val="00A455D9"/>
    <w:rsid w:val="00A52536"/>
    <w:rsid w:val="00A543E1"/>
    <w:rsid w:val="00A603B8"/>
    <w:rsid w:val="00A66D0A"/>
    <w:rsid w:val="00A878A3"/>
    <w:rsid w:val="00A96388"/>
    <w:rsid w:val="00AD0AD8"/>
    <w:rsid w:val="00AD5F25"/>
    <w:rsid w:val="00AE2FEF"/>
    <w:rsid w:val="00AF4C48"/>
    <w:rsid w:val="00B243AA"/>
    <w:rsid w:val="00B35F36"/>
    <w:rsid w:val="00B411A8"/>
    <w:rsid w:val="00B47756"/>
    <w:rsid w:val="00B963C3"/>
    <w:rsid w:val="00BA4878"/>
    <w:rsid w:val="00BD646C"/>
    <w:rsid w:val="00BE25EE"/>
    <w:rsid w:val="00BE4857"/>
    <w:rsid w:val="00C30908"/>
    <w:rsid w:val="00C526C7"/>
    <w:rsid w:val="00C541D8"/>
    <w:rsid w:val="00C576A5"/>
    <w:rsid w:val="00C66A7D"/>
    <w:rsid w:val="00CB35B3"/>
    <w:rsid w:val="00CD223A"/>
    <w:rsid w:val="00CD61C4"/>
    <w:rsid w:val="00D00B13"/>
    <w:rsid w:val="00D0313C"/>
    <w:rsid w:val="00D40631"/>
    <w:rsid w:val="00D66EFB"/>
    <w:rsid w:val="00D8409B"/>
    <w:rsid w:val="00DA7AAD"/>
    <w:rsid w:val="00DC25CA"/>
    <w:rsid w:val="00DD512A"/>
    <w:rsid w:val="00DE25F1"/>
    <w:rsid w:val="00DF4273"/>
    <w:rsid w:val="00E108FA"/>
    <w:rsid w:val="00E10CE4"/>
    <w:rsid w:val="00E251C6"/>
    <w:rsid w:val="00E26803"/>
    <w:rsid w:val="00E470B1"/>
    <w:rsid w:val="00E51BBE"/>
    <w:rsid w:val="00E561CD"/>
    <w:rsid w:val="00E639ED"/>
    <w:rsid w:val="00E86F62"/>
    <w:rsid w:val="00EA0E02"/>
    <w:rsid w:val="00EC3554"/>
    <w:rsid w:val="00ED1FF0"/>
    <w:rsid w:val="00EE21E8"/>
    <w:rsid w:val="00EF6EF2"/>
    <w:rsid w:val="00F2029A"/>
    <w:rsid w:val="00F42064"/>
    <w:rsid w:val="00F421D0"/>
    <w:rsid w:val="00F577C6"/>
    <w:rsid w:val="00F761AA"/>
    <w:rsid w:val="00F86D43"/>
    <w:rsid w:val="00F903BD"/>
    <w:rsid w:val="00F977D9"/>
    <w:rsid w:val="00FA1793"/>
    <w:rsid w:val="00FA529B"/>
    <w:rsid w:val="00FB39E6"/>
    <w:rsid w:val="00FD18BC"/>
    <w:rsid w:val="00FE2ACF"/>
    <w:rsid w:val="00FF1DC8"/>
    <w:rsid w:val="00FF2D7F"/>
    <w:rsid w:val="00FF3A45"/>
    <w:rsid w:val="012376DE"/>
    <w:rsid w:val="03BFB7B6"/>
    <w:rsid w:val="0F8EE944"/>
    <w:rsid w:val="11882A1D"/>
    <w:rsid w:val="1214353E"/>
    <w:rsid w:val="18327BDD"/>
    <w:rsid w:val="1A601CCF"/>
    <w:rsid w:val="1D68A55B"/>
    <w:rsid w:val="1FD7FB02"/>
    <w:rsid w:val="25FDB9F7"/>
    <w:rsid w:val="26A3F6FB"/>
    <w:rsid w:val="29FF17D5"/>
    <w:rsid w:val="2A6A7114"/>
    <w:rsid w:val="2CABD5E4"/>
    <w:rsid w:val="2D40CCE3"/>
    <w:rsid w:val="2EAAE4FD"/>
    <w:rsid w:val="2FE376A6"/>
    <w:rsid w:val="30AC99F7"/>
    <w:rsid w:val="33F2EE7C"/>
    <w:rsid w:val="3509F261"/>
    <w:rsid w:val="3FF72F53"/>
    <w:rsid w:val="408862E1"/>
    <w:rsid w:val="430F95DD"/>
    <w:rsid w:val="43BCF729"/>
    <w:rsid w:val="44C30064"/>
    <w:rsid w:val="45FCECC2"/>
    <w:rsid w:val="4670C97A"/>
    <w:rsid w:val="49F5A20F"/>
    <w:rsid w:val="4C4E884C"/>
    <w:rsid w:val="5092EE7D"/>
    <w:rsid w:val="5621493B"/>
    <w:rsid w:val="57E73C40"/>
    <w:rsid w:val="596296B8"/>
    <w:rsid w:val="5C34F8FD"/>
    <w:rsid w:val="63575159"/>
    <w:rsid w:val="654E7E36"/>
    <w:rsid w:val="67FFB852"/>
    <w:rsid w:val="6A601A22"/>
    <w:rsid w:val="6A81023F"/>
    <w:rsid w:val="6B56531D"/>
    <w:rsid w:val="6DFD4999"/>
    <w:rsid w:val="71DEED3F"/>
    <w:rsid w:val="779535A9"/>
    <w:rsid w:val="781BADC8"/>
    <w:rsid w:val="79B77E29"/>
    <w:rsid w:val="7A663A40"/>
    <w:rsid w:val="7D820106"/>
    <w:rsid w:val="7F2A6D9A"/>
    <w:rsid w:val="7F38F5F8"/>
    <w:rsid w:val="7FB7D6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26F4D"/>
  <w15:chartTrackingRefBased/>
  <w15:docId w15:val="{7494E928-BABC-43C3-B78F-C55EA9F3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114C12"/>
    <w:rPr>
      <w:sz w:val="16"/>
      <w:szCs w:val="16"/>
    </w:rPr>
  </w:style>
  <w:style w:type="paragraph" w:styleId="CommentText">
    <w:name w:val="annotation text"/>
    <w:basedOn w:val="Normal"/>
    <w:link w:val="CommentTextChar"/>
    <w:uiPriority w:val="99"/>
    <w:unhideWhenUsed/>
    <w:rsid w:val="00114C12"/>
    <w:pPr>
      <w:spacing w:line="240" w:lineRule="auto"/>
    </w:pPr>
    <w:rPr>
      <w:kern w:val="0"/>
      <w:sz w:val="20"/>
      <w:szCs w:val="20"/>
      <w14:ligatures w14:val="none"/>
    </w:rPr>
  </w:style>
  <w:style w:type="character" w:styleId="CommentTextChar" w:customStyle="1">
    <w:name w:val="Comment Text Char"/>
    <w:basedOn w:val="DefaultParagraphFont"/>
    <w:link w:val="CommentText"/>
    <w:uiPriority w:val="99"/>
    <w:rsid w:val="00114C12"/>
    <w:rPr>
      <w:kern w:val="0"/>
      <w:sz w:val="20"/>
      <w:szCs w:val="20"/>
      <w14:ligatures w14:val="none"/>
    </w:rPr>
  </w:style>
  <w:style w:type="paragraph" w:styleId="Header">
    <w:name w:val="header"/>
    <w:basedOn w:val="Normal"/>
    <w:link w:val="HeaderChar"/>
    <w:uiPriority w:val="99"/>
    <w:unhideWhenUsed/>
    <w:rsid w:val="00A96388"/>
    <w:pPr>
      <w:tabs>
        <w:tab w:val="center" w:pos="4680"/>
        <w:tab w:val="right" w:pos="9360"/>
      </w:tabs>
      <w:spacing w:after="0" w:line="240" w:lineRule="auto"/>
    </w:pPr>
  </w:style>
  <w:style w:type="character" w:styleId="HeaderChar" w:customStyle="1">
    <w:name w:val="Header Char"/>
    <w:basedOn w:val="DefaultParagraphFont"/>
    <w:link w:val="Header"/>
    <w:uiPriority w:val="99"/>
    <w:rsid w:val="00A96388"/>
  </w:style>
  <w:style w:type="paragraph" w:styleId="Footer">
    <w:name w:val="footer"/>
    <w:basedOn w:val="Normal"/>
    <w:link w:val="FooterChar"/>
    <w:uiPriority w:val="99"/>
    <w:unhideWhenUsed/>
    <w:rsid w:val="00A96388"/>
    <w:pPr>
      <w:tabs>
        <w:tab w:val="center" w:pos="4680"/>
        <w:tab w:val="right" w:pos="9360"/>
      </w:tabs>
      <w:spacing w:after="0" w:line="240" w:lineRule="auto"/>
    </w:pPr>
  </w:style>
  <w:style w:type="character" w:styleId="FooterChar" w:customStyle="1">
    <w:name w:val="Footer Char"/>
    <w:basedOn w:val="DefaultParagraphFont"/>
    <w:link w:val="Footer"/>
    <w:uiPriority w:val="99"/>
    <w:rsid w:val="00A96388"/>
  </w:style>
  <w:style w:type="paragraph" w:styleId="CommentSubject">
    <w:name w:val="annotation subject"/>
    <w:basedOn w:val="CommentText"/>
    <w:next w:val="CommentText"/>
    <w:link w:val="CommentSubjectChar"/>
    <w:uiPriority w:val="99"/>
    <w:semiHidden/>
    <w:unhideWhenUsed/>
    <w:rsid w:val="00903DE3"/>
    <w:rPr>
      <w:b/>
      <w:bCs/>
      <w:kern w:val="2"/>
      <w14:ligatures w14:val="standardContextual"/>
    </w:rPr>
  </w:style>
  <w:style w:type="character" w:styleId="CommentSubjectChar" w:customStyle="1">
    <w:name w:val="Comment Subject Char"/>
    <w:basedOn w:val="CommentTextChar"/>
    <w:link w:val="CommentSubject"/>
    <w:uiPriority w:val="99"/>
    <w:semiHidden/>
    <w:rsid w:val="00903DE3"/>
    <w:rPr>
      <w:b/>
      <w:bCs/>
      <w:kern w:val="0"/>
      <w:sz w:val="20"/>
      <w:szCs w:val="20"/>
      <w14:ligatures w14:val="none"/>
    </w:rPr>
  </w:style>
  <w:style w:type="paragraph" w:styleId="ListParagraph">
    <w:name w:val="List Paragraph"/>
    <w:basedOn w:val="Normal"/>
    <w:uiPriority w:val="34"/>
    <w:qFormat/>
    <w:rsid w:val="005F752A"/>
    <w:pPr>
      <w:ind w:left="720"/>
      <w:contextualSpacing/>
    </w:pPr>
  </w:style>
  <w:style w:type="paragraph" w:styleId="Caption">
    <w:name w:val="caption"/>
    <w:basedOn w:val="Normal"/>
    <w:next w:val="Normal"/>
    <w:uiPriority w:val="35"/>
    <w:unhideWhenUsed/>
    <w:qFormat/>
    <w:rsid w:val="00932142"/>
    <w:pPr>
      <w:spacing w:after="200" w:line="240" w:lineRule="auto"/>
    </w:pPr>
    <w:rPr>
      <w:i/>
      <w:iCs/>
      <w:color w:val="44546A" w:themeColor="text2"/>
      <w:sz w:val="18"/>
      <w:szCs w:val="18"/>
    </w:rPr>
  </w:style>
  <w:style w:type="paragraph" w:styleId="Revision">
    <w:name w:val="Revision"/>
    <w:hidden/>
    <w:uiPriority w:val="99"/>
    <w:semiHidden/>
    <w:rsid w:val="009705AA"/>
    <w:pPr>
      <w:spacing w:after="0" w:line="240" w:lineRule="auto"/>
    </w:pPr>
  </w:style>
  <w:style w:type="paragraph" w:styleId="EndNoteBibliography" w:customStyle="1">
    <w:name w:val="EndNote Bibliography"/>
    <w:basedOn w:val="Normal"/>
    <w:link w:val="EndNoteBibliographyChar"/>
    <w:rsid w:val="00231E25"/>
    <w:pPr>
      <w:spacing w:line="240" w:lineRule="auto"/>
    </w:pPr>
    <w:rPr>
      <w:rFonts w:ascii="Calibri" w:hAnsi="Calibri" w:cs="Calibri"/>
      <w:noProof/>
      <w:kern w:val="0"/>
      <w14:ligatures w14:val="none"/>
    </w:rPr>
  </w:style>
  <w:style w:type="character" w:styleId="EndNoteBibliographyChar" w:customStyle="1">
    <w:name w:val="EndNote Bibliography Char"/>
    <w:basedOn w:val="DefaultParagraphFont"/>
    <w:link w:val="EndNoteBibliography"/>
    <w:rsid w:val="00231E25"/>
    <w:rPr>
      <w:rFonts w:ascii="Calibri" w:hAnsi="Calibri" w:cs="Calibri"/>
      <w:noProof/>
      <w:kern w:val="0"/>
      <w14:ligatures w14:val="none"/>
    </w:rPr>
  </w:style>
  <w:style w:type="paragraph" w:styleId="BalloonText">
    <w:name w:val="Balloon Text"/>
    <w:basedOn w:val="Normal"/>
    <w:link w:val="BalloonTextChar"/>
    <w:uiPriority w:val="99"/>
    <w:semiHidden/>
    <w:unhideWhenUsed/>
    <w:rsid w:val="00A249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24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ab1176e-929c-4724-8364-2f3afda37d95" xsi:nil="true"/>
    <lcf76f155ced4ddcb4097134ff3c332f xmlns="794e66f0-c33d-4c52-8db7-61d112909e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42A3264C6C1944A11FEAE5AF853DB4" ma:contentTypeVersion="15" ma:contentTypeDescription="Create a new document." ma:contentTypeScope="" ma:versionID="4b6f818bde32f2c96de15bcc05faab58">
  <xsd:schema xmlns:xsd="http://www.w3.org/2001/XMLSchema" xmlns:xs="http://www.w3.org/2001/XMLSchema" xmlns:p="http://schemas.microsoft.com/office/2006/metadata/properties" xmlns:ns2="794e66f0-c33d-4c52-8db7-61d112909eea" xmlns:ns3="1ab1176e-929c-4724-8364-2f3afda37d95" targetNamespace="http://schemas.microsoft.com/office/2006/metadata/properties" ma:root="true" ma:fieldsID="15b7b48cf7b653f175f1caa15c131cc3" ns2:_="" ns3:_="">
    <xsd:import namespace="794e66f0-c33d-4c52-8db7-61d112909eea"/>
    <xsd:import namespace="1ab1176e-929c-4724-8364-2f3afda37d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e66f0-c33d-4c52-8db7-61d112909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33a83bf-3dc4-4ddf-aecd-47f0779e4ff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b1176e-929c-4724-8364-2f3afda37d9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3eb1de2-115e-45b3-943a-387ecac310a9}" ma:internalName="TaxCatchAll" ma:showField="CatchAllData" ma:web="1ab1176e-929c-4724-8364-2f3afda37d9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96605-827E-4FF8-9465-E31769694B7E}">
  <ds:schemaRefs>
    <ds:schemaRef ds:uri="http://schemas.microsoft.com/sharepoint/v3/contenttype/forms"/>
  </ds:schemaRefs>
</ds:datastoreItem>
</file>

<file path=customXml/itemProps2.xml><?xml version="1.0" encoding="utf-8"?>
<ds:datastoreItem xmlns:ds="http://schemas.openxmlformats.org/officeDocument/2006/customXml" ds:itemID="{425AA50D-2942-4F2C-B01B-C703176EDC8E}">
  <ds:schemaRefs>
    <ds:schemaRef ds:uri="http://schemas.microsoft.com/office/2006/metadata/properties"/>
    <ds:schemaRef ds:uri="http://purl.org/dc/dcmitype/"/>
    <ds:schemaRef ds:uri="1ab1176e-929c-4724-8364-2f3afda37d95"/>
    <ds:schemaRef ds:uri="794e66f0-c33d-4c52-8db7-61d112909eea"/>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B2648AA6-E49A-47D6-A75B-D66AA6BDC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e66f0-c33d-4c52-8db7-61d112909eea"/>
    <ds:schemaRef ds:uri="1ab1176e-929c-4724-8364-2f3afda37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Hernandez, Ivana</dc:creator>
  <keywords/>
  <dc:description/>
  <lastModifiedBy>Joddar, Binata</lastModifiedBy>
  <revision>4</revision>
  <dcterms:created xsi:type="dcterms:W3CDTF">2023-06-12T08:19:00.0000000Z</dcterms:created>
  <dcterms:modified xsi:type="dcterms:W3CDTF">2023-06-12T22:25:14.9909919Z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0x0101007942A3264C6C1944A11FEAE5AF853DB4</vt:lpwstr>
  </property>
  <property fmtid="{D5CDD505-2E9C-101B-9397-08002B2CF9AE}" pid="3" name="MSIP_Label_b73649dc-6fee-4eb8-a128-734c3c842ea8_Enabled">
    <vt:lpwstr>true</vt:lpwstr>
  </property>
  <property fmtid="{D5CDD505-2E9C-101B-9397-08002B2CF9AE}" pid="4" name="MSIP_Label_b73649dc-6fee-4eb8-a128-734c3c842ea8_SetDate">
    <vt:lpwstr>2023-05-18T21:02:08Z</vt:lpwstr>
  </property>
  <property fmtid="{D5CDD505-2E9C-101B-9397-08002B2CF9AE}" pid="5" name="MSIP_Label_b73649dc-6fee-4eb8-a128-734c3c842ea8_Method">
    <vt:lpwstr>Standard</vt:lpwstr>
  </property>
  <property fmtid="{D5CDD505-2E9C-101B-9397-08002B2CF9AE}" pid="6" name="MSIP_Label_b73649dc-6fee-4eb8-a128-734c3c842ea8_Name">
    <vt:lpwstr>defa4170-0d19-0005-0004-bc88714345d2</vt:lpwstr>
  </property>
  <property fmtid="{D5CDD505-2E9C-101B-9397-08002B2CF9AE}" pid="7" name="MSIP_Label_b73649dc-6fee-4eb8-a128-734c3c842ea8_SiteId">
    <vt:lpwstr>857c21d2-1a16-43a4-90cf-d57f3fab9d2f</vt:lpwstr>
  </property>
  <property fmtid="{D5CDD505-2E9C-101B-9397-08002B2CF9AE}" pid="8" name="MSIP_Label_b73649dc-6fee-4eb8-a128-734c3c842ea8_ActionId">
    <vt:lpwstr>76909c66-1960-45c6-a358-8dd933d29eb3</vt:lpwstr>
  </property>
  <property fmtid="{D5CDD505-2E9C-101B-9397-08002B2CF9AE}" pid="9" name="MSIP_Label_b73649dc-6fee-4eb8-a128-734c3c842ea8_ContentBits">
    <vt:lpwstr>0</vt:lpwstr>
  </property>
  <property fmtid="{D5CDD505-2E9C-101B-9397-08002B2CF9AE}" pid="10" name="MediaServiceImageTags">
    <vt:lpwstr/>
  </property>
</Properties>
</file>