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42743F" w14:textId="788FDE81" w:rsidR="007F761C" w:rsidRPr="006453D9" w:rsidRDefault="00387592" w:rsidP="007F761C">
      <w:pPr>
        <w:pStyle w:val="MDPI11articletype"/>
      </w:pPr>
      <w:bookmarkStart w:id="0" w:name="_Hlk129990368"/>
      <w:r>
        <w:t>Supplementary Materials</w:t>
      </w:r>
    </w:p>
    <w:p w14:paraId="176226F5" w14:textId="6515D05F" w:rsidR="00814822" w:rsidRPr="00D7750E" w:rsidRDefault="00814822" w:rsidP="00814822">
      <w:pPr>
        <w:pStyle w:val="MDPI12title"/>
      </w:pPr>
      <w:r w:rsidRPr="00D7750E">
        <w:t xml:space="preserve">Quantifying the Potential Contribution of Submerged Aquatic Vegetation to </w:t>
      </w:r>
      <w:r>
        <w:t xml:space="preserve">Coastal Carbon Capture </w:t>
      </w:r>
      <w:r w:rsidRPr="00D7750E">
        <w:t xml:space="preserve">in a Delta System </w:t>
      </w:r>
      <w:r>
        <w:t>from</w:t>
      </w:r>
      <w:r w:rsidRPr="00D7750E">
        <w:t xml:space="preserve"> Field and Landsat 8/9-OLI data with Deep Convolutional Neural Network</w:t>
      </w:r>
    </w:p>
    <w:p w14:paraId="7A856B18" w14:textId="77777777" w:rsidR="00814822" w:rsidRPr="00814822" w:rsidRDefault="00814822" w:rsidP="00814822">
      <w:pPr>
        <w:rPr>
          <w:lang w:eastAsia="de-DE" w:bidi="en-US"/>
        </w:rPr>
      </w:pPr>
    </w:p>
    <w:p w14:paraId="7DAAC57C" w14:textId="77777777" w:rsidR="00A11139" w:rsidRPr="00780B8F" w:rsidRDefault="00A11139" w:rsidP="00A11139">
      <w:pPr>
        <w:pStyle w:val="MDPI13authornames"/>
      </w:pPr>
      <w:r w:rsidRPr="38DD9B67">
        <w:t>Bingqing Liu</w:t>
      </w:r>
      <w:r>
        <w:rPr>
          <w:vertAlign w:val="superscript"/>
        </w:rPr>
        <w:t>1</w:t>
      </w:r>
      <w:r w:rsidRPr="38DD9B67">
        <w:t xml:space="preserve">*, </w:t>
      </w:r>
      <w:r>
        <w:t>Tom Sevick</w:t>
      </w:r>
      <w:r>
        <w:rPr>
          <w:vertAlign w:val="superscript"/>
        </w:rPr>
        <w:t>1</w:t>
      </w:r>
      <w:r>
        <w:t>, Hoonshin Jung</w:t>
      </w:r>
      <w:r>
        <w:rPr>
          <w:vertAlign w:val="superscript"/>
        </w:rPr>
        <w:t>1</w:t>
      </w:r>
      <w:r w:rsidRPr="38DD9B67">
        <w:t xml:space="preserve">, </w:t>
      </w:r>
      <w:r>
        <w:t>Erin Kiskaddon</w:t>
      </w:r>
      <w:r>
        <w:rPr>
          <w:vertAlign w:val="superscript"/>
        </w:rPr>
        <w:t>1</w:t>
      </w:r>
      <w:r>
        <w:t>, Tim Carruthers</w:t>
      </w:r>
      <w:r>
        <w:rPr>
          <w:vertAlign w:val="superscript"/>
        </w:rPr>
        <w:t>1</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D56DF4" w:rsidRPr="002B6F87" w14:paraId="2EAF2E38" w14:textId="77777777" w:rsidTr="00645042">
        <w:tc>
          <w:tcPr>
            <w:tcW w:w="2410" w:type="dxa"/>
            <w:shd w:val="clear" w:color="auto" w:fill="auto"/>
          </w:tcPr>
          <w:p w14:paraId="612413B7" w14:textId="77777777" w:rsidR="00D56DF4" w:rsidRPr="001F18FB" w:rsidRDefault="00D56DF4" w:rsidP="00645042">
            <w:pPr>
              <w:pStyle w:val="MDPI61Citation"/>
              <w:spacing w:after="120" w:line="240" w:lineRule="exact"/>
            </w:pPr>
            <w:r w:rsidRPr="00193755">
              <w:rPr>
                <w:b/>
              </w:rPr>
              <w:t>Citation:</w:t>
            </w:r>
            <w:r>
              <w:rPr>
                <w:b/>
              </w:rPr>
              <w:t xml:space="preserve"> </w:t>
            </w:r>
            <w:r>
              <w:t>To be added by editorial staff during production.</w:t>
            </w:r>
          </w:p>
          <w:p w14:paraId="4015497E" w14:textId="77777777" w:rsidR="00D56DF4" w:rsidRDefault="00D56DF4" w:rsidP="00645042">
            <w:pPr>
              <w:pStyle w:val="MDPI14history"/>
              <w:spacing w:before="120" w:after="120"/>
              <w:rPr>
                <w:rFonts w:ascii="SimSun" w:eastAsia="SimSun" w:hAnsi="SimSun" w:cs="SimSun"/>
                <w:lang w:eastAsia="zh-CN"/>
              </w:rPr>
            </w:pPr>
            <w:r>
              <w:t xml:space="preserve">Academic Editor: </w:t>
            </w:r>
            <w:r w:rsidRPr="00562097">
              <w:t>Firstname Lastname</w:t>
            </w:r>
          </w:p>
          <w:p w14:paraId="0BB143D7" w14:textId="77777777" w:rsidR="00D56DF4" w:rsidRPr="00D30D71" w:rsidRDefault="00D56DF4" w:rsidP="00645042">
            <w:pPr>
              <w:pStyle w:val="MDPI14history"/>
              <w:spacing w:before="120"/>
              <w:rPr>
                <w:rFonts w:ascii="SimSun" w:eastAsia="SimSun" w:hAnsi="SimSun" w:cs="SimSun"/>
              </w:rPr>
            </w:pPr>
            <w:r w:rsidRPr="00550626">
              <w:rPr>
                <w:szCs w:val="14"/>
              </w:rPr>
              <w:t xml:space="preserve">Received: </w:t>
            </w:r>
            <w:r w:rsidRPr="00D945EC">
              <w:rPr>
                <w:szCs w:val="14"/>
              </w:rPr>
              <w:t>date</w:t>
            </w:r>
          </w:p>
          <w:p w14:paraId="2A843326" w14:textId="77777777" w:rsidR="00D56DF4" w:rsidRDefault="00D56DF4" w:rsidP="00645042">
            <w:pPr>
              <w:pStyle w:val="MDPI14history"/>
              <w:rPr>
                <w:szCs w:val="14"/>
              </w:rPr>
            </w:pPr>
            <w:r>
              <w:rPr>
                <w:szCs w:val="14"/>
              </w:rPr>
              <w:t>Revised: date</w:t>
            </w:r>
          </w:p>
          <w:p w14:paraId="2CAAFA72" w14:textId="77777777" w:rsidR="00D56DF4" w:rsidRPr="00550626" w:rsidRDefault="00D56DF4" w:rsidP="00645042">
            <w:pPr>
              <w:pStyle w:val="MDPI14history"/>
              <w:rPr>
                <w:szCs w:val="14"/>
              </w:rPr>
            </w:pPr>
            <w:r>
              <w:rPr>
                <w:szCs w:val="14"/>
              </w:rPr>
              <w:t>Accepted: date</w:t>
            </w:r>
          </w:p>
          <w:p w14:paraId="36569F63" w14:textId="77777777" w:rsidR="00D56DF4" w:rsidRPr="00550626" w:rsidRDefault="00D56DF4" w:rsidP="00645042">
            <w:pPr>
              <w:pStyle w:val="MDPI14history"/>
              <w:spacing w:after="120"/>
              <w:rPr>
                <w:szCs w:val="14"/>
              </w:rPr>
            </w:pPr>
            <w:r w:rsidRPr="00550626">
              <w:rPr>
                <w:szCs w:val="14"/>
              </w:rPr>
              <w:t xml:space="preserve">Published: </w:t>
            </w:r>
            <w:r w:rsidRPr="00D945EC">
              <w:rPr>
                <w:szCs w:val="14"/>
              </w:rPr>
              <w:t>date</w:t>
            </w:r>
          </w:p>
          <w:p w14:paraId="342D66BE" w14:textId="77777777" w:rsidR="00D56DF4" w:rsidRPr="002B6F87" w:rsidRDefault="00D56DF4" w:rsidP="00645042">
            <w:pPr>
              <w:adjustRightInd w:val="0"/>
              <w:snapToGrid w:val="0"/>
              <w:spacing w:before="120" w:line="240" w:lineRule="atLeast"/>
              <w:ind w:right="113"/>
              <w:jc w:val="left"/>
              <w:rPr>
                <w:rFonts w:eastAsia="DengXian"/>
                <w:bCs/>
                <w:sz w:val="14"/>
                <w:szCs w:val="14"/>
                <w:lang w:bidi="en-US"/>
              </w:rPr>
            </w:pPr>
            <w:r w:rsidRPr="002B6F87">
              <w:rPr>
                <w:rFonts w:eastAsia="DengXian"/>
                <w:noProof/>
              </w:rPr>
              <w:drawing>
                <wp:inline distT="0" distB="0" distL="0" distR="0" wp14:anchorId="0F1F2900" wp14:editId="3974A849">
                  <wp:extent cx="692785" cy="2495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4CCB4F54" w14:textId="77777777" w:rsidR="00D56DF4" w:rsidRPr="002B6F87" w:rsidRDefault="00D56DF4" w:rsidP="00B364D8">
            <w:pPr>
              <w:pStyle w:val="MDPI72Copyright"/>
              <w:rPr>
                <w:rFonts w:eastAsia="DengXian"/>
                <w:lang w:bidi="en-US"/>
              </w:rPr>
            </w:pPr>
            <w:r w:rsidRPr="002B6F87">
              <w:rPr>
                <w:rFonts w:eastAsia="DengXian"/>
                <w:b/>
                <w:lang w:bidi="en-US"/>
              </w:rPr>
              <w:t>Copyright:</w:t>
            </w:r>
            <w:r w:rsidRPr="002B6F87">
              <w:rPr>
                <w:rFonts w:eastAsia="DengXian"/>
                <w:lang w:bidi="en-US"/>
              </w:rPr>
              <w:t xml:space="preserve"> </w:t>
            </w:r>
            <w:r w:rsidR="00B364D8">
              <w:rPr>
                <w:rFonts w:eastAsia="DengXian"/>
                <w:lang w:bidi="en-US"/>
              </w:rPr>
              <w:t>© 2023</w:t>
            </w:r>
            <w:r w:rsidRPr="002B6F87">
              <w:rPr>
                <w:rFonts w:eastAsia="DengXian"/>
                <w:lang w:bidi="en-US"/>
              </w:rPr>
              <w:t xml:space="preserve"> </w:t>
            </w:r>
            <w:r>
              <w:rPr>
                <w:rFonts w:eastAsia="DengXian"/>
                <w:lang w:bidi="en-US"/>
              </w:rPr>
              <w:t xml:space="preserve">by the authors. Submitted for possible open access publication under the terms and conditions of the Creative Commons </w:t>
            </w:r>
            <w:r w:rsidRPr="002B6F87">
              <w:rPr>
                <w:rFonts w:eastAsia="DengXian"/>
                <w:lang w:bidi="en-US"/>
              </w:rPr>
              <w:t>Attribution (CC BY) license (</w:t>
            </w:r>
            <w:r>
              <w:rPr>
                <w:rFonts w:eastAsia="DengXian"/>
                <w:lang w:bidi="en-US"/>
              </w:rPr>
              <w:t>https://</w:t>
            </w:r>
            <w:r w:rsidRPr="002B6F87">
              <w:rPr>
                <w:rFonts w:eastAsia="DengXian"/>
                <w:lang w:bidi="en-US"/>
              </w:rPr>
              <w:t>creativecommons.org/licenses/by/4.0/).</w:t>
            </w:r>
          </w:p>
        </w:tc>
      </w:tr>
    </w:tbl>
    <w:p w14:paraId="68387878" w14:textId="4D0D11B8" w:rsidR="007F761C" w:rsidRPr="00D945EC" w:rsidRDefault="006E7890" w:rsidP="00A11139">
      <w:pPr>
        <w:pStyle w:val="MDPI16affiliation"/>
      </w:pPr>
      <w:r w:rsidRPr="006E7890">
        <w:rPr>
          <w:vertAlign w:val="superscript"/>
        </w:rPr>
        <w:t>1</w:t>
      </w:r>
      <w:r w:rsidR="007F761C" w:rsidRPr="00D945EC">
        <w:tab/>
      </w:r>
      <w:r w:rsidR="00A11139">
        <w:t>The Water Institute, 1110 S. River Road, Baton Rouge, LA, 70802, USA</w:t>
      </w:r>
    </w:p>
    <w:p w14:paraId="597271C7" w14:textId="0408BBA9" w:rsidR="007F761C" w:rsidRPr="00550626" w:rsidRDefault="007F761C" w:rsidP="007F761C">
      <w:pPr>
        <w:pStyle w:val="MDPI16affiliation"/>
      </w:pPr>
      <w:r w:rsidRPr="00FE7F02">
        <w:rPr>
          <w:b/>
        </w:rPr>
        <w:t>*</w:t>
      </w:r>
      <w:r w:rsidRPr="00D945EC">
        <w:tab/>
        <w:t xml:space="preserve">Correspondence: </w:t>
      </w:r>
      <w:r w:rsidR="00A11139">
        <w:t>bliu</w:t>
      </w:r>
      <w:r w:rsidRPr="00D945EC">
        <w:t>@</w:t>
      </w:r>
      <w:r w:rsidR="00A11139">
        <w:t>thewaterinstitute.org</w:t>
      </w:r>
      <w:r w:rsidRPr="00D945EC">
        <w:t xml:space="preserve">; Tel.: </w:t>
      </w:r>
      <w:r w:rsidR="00A11139">
        <w:rPr>
          <w:color w:val="000000" w:themeColor="text1"/>
        </w:rPr>
        <w:t>+1-225-916-8089</w:t>
      </w:r>
    </w:p>
    <w:p w14:paraId="489B59B9" w14:textId="77777777" w:rsidR="00A45FD6" w:rsidRDefault="007F761C" w:rsidP="00A45FD6">
      <w:pPr>
        <w:pStyle w:val="MDPI21heading1"/>
      </w:pPr>
      <w:r w:rsidRPr="00FA04F1">
        <w:t>Supplementary Materials</w:t>
      </w:r>
    </w:p>
    <w:p w14:paraId="47A38FDC" w14:textId="1DBF2280" w:rsidR="002F7B48" w:rsidRPr="00FE0F4D" w:rsidRDefault="002F7B48" w:rsidP="00A45FD6">
      <w:pPr>
        <w:pStyle w:val="MDPI22heading2"/>
        <w:rPr>
          <w:rStyle w:val="Strong"/>
          <w:b w:val="0"/>
          <w:bCs w:val="0"/>
        </w:rPr>
      </w:pPr>
      <w:r w:rsidRPr="00FE0F4D">
        <w:rPr>
          <w:rStyle w:val="Strong"/>
          <w:b w:val="0"/>
        </w:rPr>
        <w:t>Supplement</w:t>
      </w:r>
      <w:r>
        <w:rPr>
          <w:rStyle w:val="Strong"/>
          <w:b w:val="0"/>
        </w:rPr>
        <w:t xml:space="preserve"> 1</w:t>
      </w:r>
      <w:r w:rsidRPr="00FE0F4D">
        <w:rPr>
          <w:rStyle w:val="Strong"/>
          <w:b w:val="0"/>
        </w:rPr>
        <w:t xml:space="preserve">. Accuracy Metrics of WSAV-Net </w:t>
      </w:r>
    </w:p>
    <w:p w14:paraId="68D2BACB" w14:textId="11685338" w:rsidR="002F7B48" w:rsidRDefault="002F7B48" w:rsidP="00A45FD6">
      <w:pPr>
        <w:pStyle w:val="MDPI31text"/>
        <w:rPr>
          <w:shd w:val="clear" w:color="auto" w:fill="FFFFFF"/>
        </w:rPr>
      </w:pPr>
      <w:r w:rsidRPr="00544CBE">
        <w:rPr>
          <w:shd w:val="clear" w:color="auto" w:fill="FFFFFF"/>
        </w:rPr>
        <w:t xml:space="preserve">For </w:t>
      </w:r>
      <w:r>
        <w:rPr>
          <w:shd w:val="clear" w:color="auto" w:fill="FFFFFF"/>
        </w:rPr>
        <w:t>accurate</w:t>
      </w:r>
      <w:r w:rsidRPr="00544CBE">
        <w:rPr>
          <w:shd w:val="clear" w:color="auto" w:fill="FFFFFF"/>
        </w:rPr>
        <w:t xml:space="preserve"> analysis</w:t>
      </w:r>
      <w:r>
        <w:rPr>
          <w:shd w:val="clear" w:color="auto" w:fill="FFFFFF"/>
        </w:rPr>
        <w:t xml:space="preserve"> of image classification</w:t>
      </w:r>
      <w:r w:rsidRPr="00544CBE">
        <w:rPr>
          <w:shd w:val="clear" w:color="auto" w:fill="FFFFFF"/>
        </w:rPr>
        <w:t>, four evaluation indices</w:t>
      </w:r>
      <w:r>
        <w:rPr>
          <w:shd w:val="clear" w:color="auto" w:fill="FFFFFF"/>
        </w:rPr>
        <w:t xml:space="preserve"> were used in this study including</w:t>
      </w:r>
      <w:r w:rsidRPr="00544CBE">
        <w:rPr>
          <w:shd w:val="clear" w:color="auto" w:fill="FFFFFF"/>
        </w:rPr>
        <w:t xml:space="preserve"> probability of false detection (</w:t>
      </w:r>
      <m:oMath>
        <m:sSub>
          <m:sSubPr>
            <m:ctrlPr>
              <w:rPr>
                <w:rFonts w:ascii="Cambria Math" w:hAnsi="Cambria Math"/>
                <w:i/>
                <w:shd w:val="clear" w:color="auto" w:fill="FFFFFF"/>
              </w:rPr>
            </m:ctrlPr>
          </m:sSubPr>
          <m:e>
            <m:r>
              <w:rPr>
                <w:rFonts w:ascii="Cambria Math" w:hAnsi="Cambria Math"/>
                <w:shd w:val="clear" w:color="auto" w:fill="FFFFFF"/>
              </w:rPr>
              <m:t>P</m:t>
            </m:r>
          </m:e>
          <m:sub>
            <m:r>
              <w:rPr>
                <w:rFonts w:ascii="Cambria Math" w:hAnsi="Cambria Math"/>
                <w:shd w:val="clear" w:color="auto" w:fill="FFFFFF"/>
              </w:rPr>
              <m:t>f</m:t>
            </m:r>
          </m:sub>
        </m:sSub>
      </m:oMath>
      <w:r>
        <w:rPr>
          <w:shd w:val="clear" w:color="auto" w:fill="FFFFFF"/>
        </w:rPr>
        <w:t>)</w:t>
      </w:r>
      <w:r w:rsidRPr="00544CBE">
        <w:rPr>
          <w:shd w:val="clear" w:color="auto" w:fill="FFFFFF"/>
        </w:rPr>
        <w:t xml:space="preserve">, </w:t>
      </w:r>
      <w:r>
        <w:rPr>
          <w:shd w:val="clear" w:color="auto" w:fill="FFFFFF"/>
        </w:rPr>
        <w:t>P</w:t>
      </w:r>
      <w:r w:rsidRPr="00544CBE">
        <w:rPr>
          <w:shd w:val="clear" w:color="auto" w:fill="FFFFFF"/>
        </w:rPr>
        <w:t xml:space="preserve">recision, </w:t>
      </w:r>
      <w:r>
        <w:rPr>
          <w:shd w:val="clear" w:color="auto" w:fill="FFFFFF"/>
        </w:rPr>
        <w:t>R</w:t>
      </w:r>
      <w:r w:rsidRPr="00544CBE">
        <w:rPr>
          <w:shd w:val="clear" w:color="auto" w:fill="FFFFFF"/>
        </w:rPr>
        <w:t>ecall, and F</w:t>
      </w:r>
      <w:r w:rsidRPr="00BC5769">
        <w:rPr>
          <w:shd w:val="clear" w:color="auto" w:fill="FFFFFF"/>
          <w:vertAlign w:val="subscript"/>
        </w:rPr>
        <w:t>1</w:t>
      </w:r>
      <w:r w:rsidRPr="00544CBE">
        <w:rPr>
          <w:shd w:val="clear" w:color="auto" w:fill="FFFFFF"/>
        </w:rPr>
        <w:t xml:space="preserve"> scor</w:t>
      </w:r>
      <w:r>
        <w:rPr>
          <w:shd w:val="clear" w:color="auto" w:fill="FFFFFF"/>
        </w:rPr>
        <w:t xml:space="preserve">e. </w:t>
      </w:r>
      <w:r w:rsidRPr="009C741A">
        <w:rPr>
          <w:shd w:val="clear" w:color="auto" w:fill="FFFFFF"/>
        </w:rPr>
        <w:t>The F</w:t>
      </w:r>
      <w:r w:rsidRPr="001D350F">
        <w:rPr>
          <w:shd w:val="clear" w:color="auto" w:fill="FFFFFF"/>
          <w:vertAlign w:val="subscript"/>
        </w:rPr>
        <w:t>1</w:t>
      </w:r>
      <w:r>
        <w:rPr>
          <w:shd w:val="clear" w:color="auto" w:fill="FFFFFF"/>
        </w:rPr>
        <w:t xml:space="preserve"> </w:t>
      </w:r>
      <w:r w:rsidRPr="009C741A">
        <w:rPr>
          <w:shd w:val="clear" w:color="auto" w:fill="FFFFFF"/>
        </w:rPr>
        <w:t>score, is a measure of a model’s accuracy on a dataset</w:t>
      </w:r>
      <w:r>
        <w:rPr>
          <w:shd w:val="clear" w:color="auto" w:fill="FFFFFF"/>
        </w:rPr>
        <w:t xml:space="preserve">, which </w:t>
      </w:r>
      <w:r w:rsidRPr="009C741A">
        <w:rPr>
          <w:shd w:val="clear" w:color="auto" w:fill="FFFFFF"/>
        </w:rPr>
        <w:t>is a way of combining the precision and recall of the model and is defined as the harmonic mean of the model’s precision and recall</w:t>
      </w:r>
      <w:r>
        <w:rPr>
          <w:shd w:val="clear" w:color="auto" w:fill="FFFFFF"/>
        </w:rPr>
        <w:t xml:space="preserve"> </w:t>
      </w:r>
      <w:r>
        <w:rPr>
          <w:shd w:val="clear" w:color="auto" w:fill="FFFFFF"/>
        </w:rPr>
        <w:fldChar w:fldCharType="begin"/>
      </w:r>
      <w:r w:rsidR="00E62A89">
        <w:rPr>
          <w:shd w:val="clear" w:color="auto" w:fill="FFFFFF"/>
        </w:rPr>
        <w:instrText xml:space="preserve"> ADDIN ZOTERO_ITEM CSL_CITATION {"citationID":"VAcFjggr","properties":{"formattedCitation":"[1]","plainCitation":"[1]","noteIndex":0},"citationItems":[{"id":50606,"uris":["http://zotero.org/groups/4743814/items/PVDGHLV6"],"itemData":{"id":50606,"type":"article-journal","abstract":"It has been past more than 15 years since the F-measure was ﬁrst introduced to evaluation tasks of information extraction technology at the Fourth Message Understanding Conference (MUC-4) in 1992. Recently, sometimes I see some confusion with the deﬁnition of the Fmeasure, which seems to be triggered by lack of background knowledge about how the F-measure was derived. Since I was not involved in the process of the introduction or device of the F-measure, I might not be the best person to explain this but I hope this note would be a little help for those who are wondering what the F-measure really is. This introduction is devoted to provide brief but suﬃcient information on the F-measure.","language":"en","page":"5","source":"Zotero","title":"The truth of the F-measure","author":[{"family":"Sasaki","given":"Yutaka"}],"issued":{"date-parts":[["2007"]]}}}],"schema":"https://github.com/citation-style-language/schema/raw/master/csl-citation.json"} </w:instrText>
      </w:r>
      <w:r>
        <w:rPr>
          <w:shd w:val="clear" w:color="auto" w:fill="FFFFFF"/>
        </w:rPr>
        <w:fldChar w:fldCharType="separate"/>
      </w:r>
      <w:r w:rsidR="00E62A89" w:rsidRPr="00E62A89">
        <w:t>[1]</w:t>
      </w:r>
      <w:r>
        <w:rPr>
          <w:shd w:val="clear" w:color="auto" w:fill="FFFFFF"/>
        </w:rPr>
        <w:fldChar w:fldCharType="end"/>
      </w:r>
      <w:r>
        <w:rPr>
          <w:shd w:val="clear" w:color="auto" w:fill="FFFFFF"/>
        </w:rPr>
        <w:t xml:space="preserve">. </w:t>
      </w:r>
      <w:r w:rsidRPr="0001670B">
        <w:rPr>
          <w:shd w:val="clear" w:color="auto" w:fill="FFFFFF"/>
        </w:rPr>
        <w:t xml:space="preserve">The </w:t>
      </w:r>
      <w:r>
        <w:rPr>
          <w:shd w:val="clear" w:color="auto" w:fill="FFFFFF"/>
        </w:rPr>
        <w:t>model</w:t>
      </w:r>
      <w:r w:rsidRPr="0001670B">
        <w:rPr>
          <w:shd w:val="clear" w:color="auto" w:fill="FFFFFF"/>
        </w:rPr>
        <w:t xml:space="preserve"> reports summary information per epoch while the tool is running. The Precision, Recall, and F</w:t>
      </w:r>
      <w:r w:rsidRPr="00BC5769">
        <w:rPr>
          <w:shd w:val="clear" w:color="auto" w:fill="FFFFFF"/>
          <w:vertAlign w:val="subscript"/>
        </w:rPr>
        <w:t>1</w:t>
      </w:r>
      <w:r>
        <w:rPr>
          <w:shd w:val="clear" w:color="auto" w:fill="FFFFFF"/>
        </w:rPr>
        <w:t xml:space="preserve"> s</w:t>
      </w:r>
      <w:r w:rsidRPr="0001670B">
        <w:rPr>
          <w:shd w:val="clear" w:color="auto" w:fill="FFFFFF"/>
        </w:rPr>
        <w:t>cores are averaged for all classes using a macro-average</w:t>
      </w:r>
      <w:r>
        <w:rPr>
          <w:shd w:val="clear" w:color="auto" w:fill="FFFFFF"/>
        </w:rPr>
        <w:t xml:space="preserve"> method (</w:t>
      </w:r>
      <w:r w:rsidRPr="0001670B">
        <w:rPr>
          <w:shd w:val="clear" w:color="auto" w:fill="FFFFFF"/>
        </w:rPr>
        <w:t>an equal weight per class</w:t>
      </w:r>
      <w:r>
        <w:rPr>
          <w:shd w:val="clear" w:color="auto" w:fill="FFFFFF"/>
        </w:rPr>
        <w:t>)</w:t>
      </w:r>
      <w:r w:rsidRPr="0001670B">
        <w:rPr>
          <w:shd w:val="clear" w:color="auto" w:fill="FFFFFF"/>
        </w:rPr>
        <w:t>.</w:t>
      </w:r>
    </w:p>
    <w:p w14:paraId="7754EFB5" w14:textId="77777777" w:rsidR="002F7B48" w:rsidRDefault="002F7B48" w:rsidP="00A45FD6">
      <w:pPr>
        <w:pStyle w:val="MDPI31text"/>
        <w:rPr>
          <w:shd w:val="clear" w:color="auto" w:fill="FFFFFF"/>
        </w:rPr>
      </w:pPr>
      <w:r>
        <w:rPr>
          <w:shd w:val="clear" w:color="auto" w:fill="FFFFFF"/>
        </w:rPr>
        <w:t xml:space="preserve">The probability of false classification </w:t>
      </w:r>
      <m:oMath>
        <m:sSub>
          <m:sSubPr>
            <m:ctrlPr>
              <w:rPr>
                <w:rFonts w:ascii="Cambria Math" w:hAnsi="Cambria Math"/>
                <w:shd w:val="clear" w:color="auto" w:fill="FFFFFF"/>
              </w:rPr>
            </m:ctrlPr>
          </m:sSubPr>
          <m:e>
            <m:r>
              <m:rPr>
                <m:sty m:val="p"/>
              </m:rPr>
              <w:rPr>
                <w:rFonts w:ascii="Cambria Math" w:hAnsi="Cambria Math"/>
                <w:shd w:val="clear" w:color="auto" w:fill="FFFFFF"/>
              </w:rPr>
              <m:t>P</m:t>
            </m:r>
          </m:e>
          <m:sub>
            <m:r>
              <m:rPr>
                <m:sty m:val="p"/>
              </m:rPr>
              <w:rPr>
                <w:rFonts w:ascii="Cambria Math" w:hAnsi="Cambria Math"/>
                <w:shd w:val="clear" w:color="auto" w:fill="FFFFFF"/>
              </w:rPr>
              <m:t>f</m:t>
            </m:r>
          </m:sub>
        </m:sSub>
      </m:oMath>
      <w:r w:rsidRPr="00632B51">
        <w:rPr>
          <w:shd w:val="clear" w:color="auto" w:fill="FFFFFF"/>
        </w:rPr>
        <w:t xml:space="preserve"> was calculated as</w:t>
      </w:r>
      <w:r>
        <w:rPr>
          <w:shd w:val="clear" w:color="auto" w:fill="FFFFFF"/>
        </w:rPr>
        <w:t xml:space="preserve"> (Eq. 1)</w:t>
      </w:r>
      <w:r w:rsidRPr="00632B51">
        <w:rPr>
          <w:shd w:val="clear" w:color="auto" w:fill="FFFFFF"/>
        </w:rPr>
        <w:t>:</w:t>
      </w:r>
    </w:p>
    <w:p w14:paraId="107CFD86" w14:textId="5B003C5D" w:rsidR="002F7B48" w:rsidRPr="00632B51" w:rsidRDefault="00000000" w:rsidP="00A45FD6">
      <w:pPr>
        <w:pStyle w:val="MDPI3aequationnumber"/>
        <w:rPr>
          <w:shd w:val="clear" w:color="auto" w:fill="FFFFFF"/>
        </w:rPr>
      </w:pPr>
      <m:oMath>
        <m:sSub>
          <m:sSubPr>
            <m:ctrlPr>
              <w:rPr>
                <w:rFonts w:ascii="Cambria Math" w:hAnsi="Cambria Math"/>
                <w:shd w:val="clear" w:color="auto" w:fill="FFFFFF"/>
              </w:rPr>
            </m:ctrlPr>
          </m:sSubPr>
          <m:e>
            <m:r>
              <m:rPr>
                <m:sty m:val="p"/>
              </m:rPr>
              <w:rPr>
                <w:rFonts w:ascii="Cambria Math" w:hAnsi="Cambria Math"/>
                <w:shd w:val="clear" w:color="auto" w:fill="FFFFFF"/>
              </w:rPr>
              <m:t>P</m:t>
            </m:r>
          </m:e>
          <m:sub>
            <m:r>
              <m:rPr>
                <m:sty m:val="p"/>
              </m:rPr>
              <w:rPr>
                <w:rFonts w:ascii="Cambria Math" w:hAnsi="Cambria Math"/>
                <w:shd w:val="clear" w:color="auto" w:fill="FFFFFF"/>
              </w:rPr>
              <m:t>f</m:t>
            </m:r>
          </m:sub>
        </m:sSub>
        <m:r>
          <m:rPr>
            <m:sty m:val="p"/>
          </m:rPr>
          <w:rPr>
            <w:rFonts w:ascii="Cambria Math" w:hAnsi="Cambria Math"/>
            <w:shd w:val="clear" w:color="auto" w:fill="FFFFFF"/>
          </w:rPr>
          <m:t xml:space="preserve">= </m:t>
        </m:r>
        <m:f>
          <m:fPr>
            <m:ctrlPr>
              <w:rPr>
                <w:rFonts w:ascii="Cambria Math" w:hAnsi="Cambria Math"/>
                <w:shd w:val="clear" w:color="auto" w:fill="FFFFFF"/>
              </w:rPr>
            </m:ctrlPr>
          </m:fPr>
          <m:num>
            <m:r>
              <m:rPr>
                <m:sty m:val="p"/>
              </m:rPr>
              <w:rPr>
                <w:rFonts w:ascii="Cambria Math" w:hAnsi="Cambria Math"/>
                <w:shd w:val="clear" w:color="auto" w:fill="FFFFFF"/>
              </w:rPr>
              <m:t>FP</m:t>
            </m:r>
          </m:num>
          <m:den>
            <m:r>
              <m:rPr>
                <m:sty m:val="p"/>
              </m:rPr>
              <w:rPr>
                <w:rFonts w:ascii="Cambria Math" w:hAnsi="Cambria Math"/>
                <w:shd w:val="clear" w:color="auto" w:fill="FFFFFF"/>
              </w:rPr>
              <m:t>TP+FP</m:t>
            </m:r>
          </m:den>
        </m:f>
      </m:oMath>
      <w:r w:rsidR="002F7B48">
        <w:rPr>
          <w:shd w:val="clear" w:color="auto" w:fill="FFFFFF"/>
        </w:rPr>
        <w:t xml:space="preserve">                                    (1)</w:t>
      </w:r>
    </w:p>
    <w:p w14:paraId="2616C071" w14:textId="77777777" w:rsidR="002F7B48" w:rsidRPr="00632B51" w:rsidRDefault="002F7B48" w:rsidP="00A45FD6">
      <w:pPr>
        <w:pStyle w:val="MDPI32textnoindent"/>
        <w:rPr>
          <w:shd w:val="clear" w:color="auto" w:fill="FFFFFF"/>
        </w:rPr>
      </w:pPr>
      <w:r w:rsidRPr="00632B51">
        <w:rPr>
          <w:shd w:val="clear" w:color="auto" w:fill="FFFFFF"/>
        </w:rPr>
        <w:t xml:space="preserve">where, TP </w:t>
      </w:r>
      <w:r>
        <w:rPr>
          <w:shd w:val="clear" w:color="auto" w:fill="FFFFFF"/>
        </w:rPr>
        <w:t>is</w:t>
      </w:r>
      <w:r w:rsidRPr="00632B51">
        <w:rPr>
          <w:shd w:val="clear" w:color="auto" w:fill="FFFFFF"/>
        </w:rPr>
        <w:t xml:space="preserve"> the number of pixels classified correctly</w:t>
      </w:r>
      <w:r>
        <w:rPr>
          <w:shd w:val="clear" w:color="auto" w:fill="FFFFFF"/>
        </w:rPr>
        <w:t>, and</w:t>
      </w:r>
      <w:r w:rsidRPr="00632B51">
        <w:rPr>
          <w:shd w:val="clear" w:color="auto" w:fill="FFFFFF"/>
        </w:rPr>
        <w:t xml:space="preserve"> FP </w:t>
      </w:r>
      <w:r>
        <w:rPr>
          <w:shd w:val="clear" w:color="auto" w:fill="FFFFFF"/>
        </w:rPr>
        <w:t>is</w:t>
      </w:r>
      <w:r w:rsidRPr="00632B51">
        <w:rPr>
          <w:shd w:val="clear" w:color="auto" w:fill="FFFFFF"/>
        </w:rPr>
        <w:t xml:space="preserve"> the number of pixels incorrectly classified. </w:t>
      </w:r>
    </w:p>
    <w:p w14:paraId="51E182D2" w14:textId="3F1164DF" w:rsidR="00A45FD6" w:rsidRDefault="002F7B48" w:rsidP="00A45FD6">
      <w:pPr>
        <w:pStyle w:val="MDPI31text"/>
        <w:rPr>
          <w:shd w:val="clear" w:color="auto" w:fill="FFFFFF"/>
        </w:rPr>
      </w:pPr>
      <w:r w:rsidRPr="00B812FC">
        <w:rPr>
          <w:shd w:val="clear" w:color="auto" w:fill="FFFFFF"/>
        </w:rPr>
        <w:t>Precision</w:t>
      </w:r>
      <w:r w:rsidRPr="00632B51">
        <w:rPr>
          <w:shd w:val="clear" w:color="auto" w:fill="FFFFFF"/>
        </w:rPr>
        <w:t xml:space="preserve"> refers to t</w:t>
      </w:r>
      <w:r w:rsidRPr="00B812FC">
        <w:rPr>
          <w:shd w:val="clear" w:color="auto" w:fill="FFFFFF"/>
        </w:rPr>
        <w:t>he fraction of correct predictions for a class</w:t>
      </w:r>
      <w:r w:rsidR="004674B9">
        <w:rPr>
          <w:shd w:val="clear" w:color="auto" w:fill="FFFFFF"/>
        </w:rPr>
        <w:t>,</w:t>
      </w:r>
      <w:r w:rsidRPr="00B812FC">
        <w:rPr>
          <w:shd w:val="clear" w:color="auto" w:fill="FFFFFF"/>
        </w:rPr>
        <w:t xml:space="preserve"> with respect to all the points predicted to be in that class, both correct and incorrect</w:t>
      </w:r>
      <w:r w:rsidRPr="00632B51">
        <w:rPr>
          <w:shd w:val="clear" w:color="auto" w:fill="FFFFFF"/>
        </w:rPr>
        <w:t xml:space="preserve"> and calculated based on </w:t>
      </w:r>
      <m:oMath>
        <m:sSub>
          <m:sSubPr>
            <m:ctrlPr>
              <w:rPr>
                <w:rFonts w:ascii="Cambria Math" w:hAnsi="Cambria Math"/>
                <w:shd w:val="clear" w:color="auto" w:fill="FFFFFF"/>
              </w:rPr>
            </m:ctrlPr>
          </m:sSubPr>
          <m:e>
            <m:r>
              <m:rPr>
                <m:sty m:val="p"/>
              </m:rPr>
              <w:rPr>
                <w:rFonts w:ascii="Cambria Math" w:hAnsi="Cambria Math"/>
                <w:shd w:val="clear" w:color="auto" w:fill="FFFFFF"/>
              </w:rPr>
              <m:t>P</m:t>
            </m:r>
          </m:e>
          <m:sub>
            <m:r>
              <m:rPr>
                <m:sty m:val="p"/>
              </m:rPr>
              <w:rPr>
                <w:rFonts w:ascii="Cambria Math" w:hAnsi="Cambria Math"/>
                <w:shd w:val="clear" w:color="auto" w:fill="FFFFFF"/>
              </w:rPr>
              <m:t>f</m:t>
            </m:r>
          </m:sub>
        </m:sSub>
      </m:oMath>
      <w:r w:rsidRPr="00632B51">
        <w:rPr>
          <w:shd w:val="clear" w:color="auto" w:fill="FFFFFF"/>
        </w:rPr>
        <w:t xml:space="preserve"> </w:t>
      </w:r>
    </w:p>
    <w:p w14:paraId="53648EF9" w14:textId="27821265" w:rsidR="002F7B48" w:rsidRPr="00632B51" w:rsidRDefault="002F7B48" w:rsidP="00A45FD6">
      <w:pPr>
        <w:pStyle w:val="MDPI3aequationnumber"/>
        <w:rPr>
          <w:shd w:val="clear" w:color="auto" w:fill="FFFFFF"/>
        </w:rPr>
      </w:pPr>
      <m:oMath>
        <m:r>
          <m:rPr>
            <m:sty m:val="p"/>
          </m:rPr>
          <w:rPr>
            <w:rFonts w:ascii="Cambria Math" w:hAnsi="Cambria Math"/>
            <w:shd w:val="clear" w:color="auto" w:fill="FFFFFF"/>
          </w:rPr>
          <m:t xml:space="preserve">Precision= </m:t>
        </m:r>
        <m:f>
          <m:fPr>
            <m:ctrlPr>
              <w:rPr>
                <w:rFonts w:ascii="Cambria Math" w:hAnsi="Cambria Math"/>
                <w:shd w:val="clear" w:color="auto" w:fill="FFFFFF"/>
              </w:rPr>
            </m:ctrlPr>
          </m:fPr>
          <m:num>
            <m:r>
              <m:rPr>
                <m:sty m:val="p"/>
              </m:rPr>
              <w:rPr>
                <w:rFonts w:ascii="Cambria Math" w:hAnsi="Cambria Math"/>
                <w:shd w:val="clear" w:color="auto" w:fill="FFFFFF"/>
              </w:rPr>
              <m:t>TP</m:t>
            </m:r>
          </m:num>
          <m:den>
            <m:r>
              <m:rPr>
                <m:sty m:val="p"/>
              </m:rPr>
              <w:rPr>
                <w:rFonts w:ascii="Cambria Math" w:hAnsi="Cambria Math"/>
                <w:shd w:val="clear" w:color="auto" w:fill="FFFFFF"/>
              </w:rPr>
              <m:t>TP+FP</m:t>
            </m:r>
          </m:den>
        </m:f>
        <m:r>
          <m:rPr>
            <m:sty m:val="p"/>
          </m:rPr>
          <w:rPr>
            <w:rFonts w:ascii="Cambria Math" w:hAnsi="Cambria Math"/>
            <w:shd w:val="clear" w:color="auto" w:fill="FFFFFF"/>
          </w:rPr>
          <m:t>=1-</m:t>
        </m:r>
        <m:sSub>
          <m:sSubPr>
            <m:ctrlPr>
              <w:rPr>
                <w:rFonts w:ascii="Cambria Math" w:hAnsi="Cambria Math"/>
                <w:shd w:val="clear" w:color="auto" w:fill="FFFFFF"/>
              </w:rPr>
            </m:ctrlPr>
          </m:sSubPr>
          <m:e>
            <m:r>
              <m:rPr>
                <m:sty m:val="p"/>
              </m:rPr>
              <w:rPr>
                <w:rFonts w:ascii="Cambria Math" w:hAnsi="Cambria Math"/>
                <w:shd w:val="clear" w:color="auto" w:fill="FFFFFF"/>
              </w:rPr>
              <m:t>P</m:t>
            </m:r>
          </m:e>
          <m:sub>
            <m:r>
              <m:rPr>
                <m:sty m:val="p"/>
              </m:rPr>
              <w:rPr>
                <w:rFonts w:ascii="Cambria Math" w:hAnsi="Cambria Math"/>
                <w:shd w:val="clear" w:color="auto" w:fill="FFFFFF"/>
              </w:rPr>
              <m:t>f</m:t>
            </m:r>
          </m:sub>
        </m:sSub>
      </m:oMath>
      <w:r>
        <w:rPr>
          <w:shd w:val="clear" w:color="auto" w:fill="FFFFFF"/>
        </w:rPr>
        <w:t xml:space="preserve">                           (2)</w:t>
      </w:r>
    </w:p>
    <w:p w14:paraId="53CDDABF" w14:textId="77777777" w:rsidR="002F7B48" w:rsidRDefault="002F7B48" w:rsidP="00A45FD6">
      <w:pPr>
        <w:pStyle w:val="MDPI31text"/>
        <w:rPr>
          <w:shd w:val="clear" w:color="auto" w:fill="FFFFFF"/>
        </w:rPr>
      </w:pPr>
      <w:r w:rsidRPr="00B812FC">
        <w:rPr>
          <w:shd w:val="clear" w:color="auto" w:fill="FFFFFF"/>
        </w:rPr>
        <w:t>Recall</w:t>
      </w:r>
      <w:r>
        <w:rPr>
          <w:shd w:val="clear" w:color="auto" w:fill="FFFFFF"/>
        </w:rPr>
        <w:t xml:space="preserve"> is the </w:t>
      </w:r>
      <w:r w:rsidRPr="00B812FC">
        <w:rPr>
          <w:shd w:val="clear" w:color="auto" w:fill="FFFFFF"/>
        </w:rPr>
        <w:t>fraction of correct predictions for a class with respect to all the points that truly belong in the class</w:t>
      </w:r>
      <w:r>
        <w:rPr>
          <w:shd w:val="clear" w:color="auto" w:fill="FFFFFF"/>
        </w:rPr>
        <w:t xml:space="preserve"> (Eq. 3):</w:t>
      </w:r>
    </w:p>
    <w:p w14:paraId="1B4DA7A2" w14:textId="6BA2BA1D" w:rsidR="002F7B48" w:rsidRPr="00632B51" w:rsidRDefault="002F7B48" w:rsidP="00A45FD6">
      <w:pPr>
        <w:pStyle w:val="MDPI3aequationnumber"/>
        <w:rPr>
          <w:shd w:val="clear" w:color="auto" w:fill="FFFFFF"/>
        </w:rPr>
      </w:pPr>
      <w:r>
        <w:rPr>
          <w:shd w:val="clear" w:color="auto" w:fill="FFFFFF"/>
        </w:rPr>
        <w:t xml:space="preserve">               </w:t>
      </w:r>
      <m:oMath>
        <m:r>
          <m:rPr>
            <m:sty m:val="p"/>
          </m:rPr>
          <w:rPr>
            <w:rFonts w:ascii="Cambria Math" w:hAnsi="Cambria Math"/>
            <w:shd w:val="clear" w:color="auto" w:fill="FFFFFF"/>
          </w:rPr>
          <m:t xml:space="preserve">Recall= </m:t>
        </m:r>
        <m:f>
          <m:fPr>
            <m:ctrlPr>
              <w:rPr>
                <w:rFonts w:ascii="Cambria Math" w:hAnsi="Cambria Math"/>
                <w:shd w:val="clear" w:color="auto" w:fill="FFFFFF"/>
              </w:rPr>
            </m:ctrlPr>
          </m:fPr>
          <m:num>
            <m:r>
              <m:rPr>
                <m:sty m:val="p"/>
              </m:rPr>
              <w:rPr>
                <w:rFonts w:ascii="Cambria Math" w:hAnsi="Cambria Math"/>
                <w:shd w:val="clear" w:color="auto" w:fill="FFFFFF"/>
              </w:rPr>
              <m:t>TP</m:t>
            </m:r>
          </m:num>
          <m:den>
            <m:r>
              <m:rPr>
                <m:sty m:val="p"/>
              </m:rPr>
              <w:rPr>
                <w:rFonts w:ascii="Cambria Math" w:hAnsi="Cambria Math"/>
                <w:shd w:val="clear" w:color="auto" w:fill="FFFFFF"/>
              </w:rPr>
              <m:t>TP+FN</m:t>
            </m:r>
          </m:den>
        </m:f>
      </m:oMath>
      <w:r>
        <w:rPr>
          <w:shd w:val="clear" w:color="auto" w:fill="FFFFFF"/>
        </w:rPr>
        <w:t xml:space="preserve">                           </w:t>
      </w:r>
      <w:r w:rsidR="00A45FD6">
        <w:rPr>
          <w:shd w:val="clear" w:color="auto" w:fill="FFFFFF"/>
        </w:rPr>
        <w:t xml:space="preserve">  </w:t>
      </w:r>
      <w:r>
        <w:rPr>
          <w:shd w:val="clear" w:color="auto" w:fill="FFFFFF"/>
        </w:rPr>
        <w:t xml:space="preserve">     (3)</w:t>
      </w:r>
    </w:p>
    <w:p w14:paraId="0D24A7F4" w14:textId="7A301A4E" w:rsidR="002F7B48" w:rsidRDefault="002F7B48" w:rsidP="00A45FD6">
      <w:pPr>
        <w:pStyle w:val="MDPI32textnoindent"/>
        <w:rPr>
          <w:shd w:val="clear" w:color="auto" w:fill="FFFFFF"/>
        </w:rPr>
      </w:pPr>
      <w:r>
        <w:rPr>
          <w:shd w:val="clear" w:color="auto" w:fill="FFFFFF"/>
        </w:rPr>
        <w:t xml:space="preserve">where, </w:t>
      </w:r>
      <w:r w:rsidRPr="00C35FF3">
        <w:rPr>
          <w:shd w:val="clear" w:color="auto" w:fill="FFFFFF"/>
        </w:rPr>
        <w:t>FN</w:t>
      </w:r>
      <w:r>
        <w:rPr>
          <w:shd w:val="clear" w:color="auto" w:fill="FFFFFF"/>
        </w:rPr>
        <w:t xml:space="preserve"> is</w:t>
      </w:r>
      <w:r w:rsidRPr="00C35FF3">
        <w:rPr>
          <w:shd w:val="clear" w:color="auto" w:fill="FFFFFF"/>
        </w:rPr>
        <w:t xml:space="preserve"> the number of </w:t>
      </w:r>
      <w:r>
        <w:rPr>
          <w:shd w:val="clear" w:color="auto" w:fill="FFFFFF"/>
        </w:rPr>
        <w:t xml:space="preserve">pixels unclassified but </w:t>
      </w:r>
      <w:r w:rsidR="00D353C5">
        <w:rPr>
          <w:shd w:val="clear" w:color="auto" w:fill="FFFFFF"/>
        </w:rPr>
        <w:t xml:space="preserve">which </w:t>
      </w:r>
      <w:r>
        <w:rPr>
          <w:shd w:val="clear" w:color="auto" w:fill="FFFFFF"/>
        </w:rPr>
        <w:t>belong to one specific class</w:t>
      </w:r>
      <w:r w:rsidRPr="00C35FF3">
        <w:rPr>
          <w:shd w:val="clear" w:color="auto" w:fill="FFFFFF"/>
        </w:rPr>
        <w:t xml:space="preserve">. </w:t>
      </w:r>
    </w:p>
    <w:p w14:paraId="524BF4A9" w14:textId="77777777" w:rsidR="002F7B48" w:rsidRDefault="002F7B48" w:rsidP="00A45FD6">
      <w:pPr>
        <w:pStyle w:val="MDPI31text"/>
        <w:rPr>
          <w:shd w:val="clear" w:color="auto" w:fill="FFFFFF"/>
        </w:rPr>
      </w:pPr>
      <w:r w:rsidRPr="00560DC9">
        <w:rPr>
          <w:shd w:val="clear" w:color="auto" w:fill="FFFFFF"/>
        </w:rPr>
        <w:t xml:space="preserve">Further, </w:t>
      </w:r>
      <m:oMath>
        <m:sSub>
          <m:sSubPr>
            <m:ctrlPr>
              <w:rPr>
                <w:rFonts w:ascii="Cambria Math" w:hAnsi="Cambria Math"/>
                <w:i/>
                <w:shd w:val="clear" w:color="auto" w:fill="FFFFFF"/>
              </w:rPr>
            </m:ctrlPr>
          </m:sSubPr>
          <m:e>
            <m:r>
              <w:rPr>
                <w:rFonts w:ascii="Cambria Math" w:hAnsi="Cambria Math"/>
                <w:shd w:val="clear" w:color="auto" w:fill="FFFFFF"/>
              </w:rPr>
              <m:t>F</m:t>
            </m:r>
          </m:e>
          <m:sub>
            <m:r>
              <w:rPr>
                <w:rFonts w:ascii="Cambria Math" w:hAnsi="Cambria Math"/>
                <w:shd w:val="clear" w:color="auto" w:fill="FFFFFF"/>
              </w:rPr>
              <m:t>1</m:t>
            </m:r>
          </m:sub>
        </m:sSub>
        <m:r>
          <w:rPr>
            <w:rFonts w:ascii="Cambria Math" w:hAnsi="Cambria Math"/>
            <w:shd w:val="clear" w:color="auto" w:fill="FFFFFF"/>
          </w:rPr>
          <m:t xml:space="preserve"> score</m:t>
        </m:r>
      </m:oMath>
      <w:r w:rsidRPr="00560DC9">
        <w:rPr>
          <w:shd w:val="clear" w:color="auto" w:fill="FFFFFF"/>
        </w:rPr>
        <w:t xml:space="preserve"> was calculated as a harmonic mean between Precision and Recall</w:t>
      </w:r>
      <w:r>
        <w:rPr>
          <w:shd w:val="clear" w:color="auto" w:fill="FFFFFF"/>
        </w:rPr>
        <w:t xml:space="preserve"> (Eq. 4)</w:t>
      </w:r>
      <w:r w:rsidRPr="00560DC9">
        <w:rPr>
          <w:shd w:val="clear" w:color="auto" w:fill="FFFFFF"/>
        </w:rPr>
        <w:t>:</w:t>
      </w:r>
    </w:p>
    <w:p w14:paraId="46F5DA00" w14:textId="6053F2FE" w:rsidR="002F7B48" w:rsidRPr="00560DC9" w:rsidRDefault="002F7B48" w:rsidP="00A45FD6">
      <w:pPr>
        <w:pStyle w:val="MDPI3aequationnumber"/>
        <w:rPr>
          <w:shd w:val="clear" w:color="auto" w:fill="FFFFFF"/>
        </w:rPr>
      </w:pPr>
      <w:r>
        <w:rPr>
          <w:shd w:val="clear" w:color="auto" w:fill="FFFFFF"/>
        </w:rPr>
        <w:t xml:space="preserve">                     </w:t>
      </w:r>
      <m:oMath>
        <m:sSub>
          <m:sSubPr>
            <m:ctrlPr>
              <w:rPr>
                <w:rFonts w:ascii="Cambria Math" w:hAnsi="Cambria Math"/>
                <w:shd w:val="clear" w:color="auto" w:fill="FFFFFF"/>
              </w:rPr>
            </m:ctrlPr>
          </m:sSubPr>
          <m:e>
            <m:r>
              <m:rPr>
                <m:sty m:val="p"/>
              </m:rPr>
              <w:rPr>
                <w:rFonts w:ascii="Cambria Math" w:hAnsi="Cambria Math"/>
                <w:shd w:val="clear" w:color="auto" w:fill="FFFFFF"/>
              </w:rPr>
              <m:t>F</m:t>
            </m:r>
          </m:e>
          <m:sub>
            <m:r>
              <m:rPr>
                <m:sty m:val="p"/>
              </m:rPr>
              <w:rPr>
                <w:rFonts w:ascii="Cambria Math" w:hAnsi="Cambria Math"/>
                <w:shd w:val="clear" w:color="auto" w:fill="FFFFFF"/>
              </w:rPr>
              <m:t>1</m:t>
            </m:r>
          </m:sub>
        </m:sSub>
        <m:r>
          <m:rPr>
            <m:sty m:val="p"/>
          </m:rPr>
          <w:rPr>
            <w:rFonts w:ascii="Cambria Math" w:hAnsi="Cambria Math"/>
            <w:shd w:val="clear" w:color="auto" w:fill="FFFFFF"/>
          </w:rPr>
          <m:t xml:space="preserve"> score= </m:t>
        </m:r>
        <m:f>
          <m:fPr>
            <m:ctrlPr>
              <w:rPr>
                <w:rFonts w:ascii="Cambria Math" w:hAnsi="Cambria Math"/>
                <w:shd w:val="clear" w:color="auto" w:fill="FFFFFF"/>
              </w:rPr>
            </m:ctrlPr>
          </m:fPr>
          <m:num>
            <m:r>
              <m:rPr>
                <m:sty m:val="p"/>
              </m:rPr>
              <w:rPr>
                <w:rFonts w:ascii="Cambria Math" w:hAnsi="Cambria Math"/>
                <w:shd w:val="clear" w:color="auto" w:fill="FFFFFF"/>
              </w:rPr>
              <m:t>2Precision ×Recall</m:t>
            </m:r>
          </m:num>
          <m:den>
            <m:r>
              <m:rPr>
                <m:sty m:val="p"/>
              </m:rPr>
              <w:rPr>
                <w:rFonts w:ascii="Cambria Math" w:hAnsi="Cambria Math"/>
                <w:shd w:val="clear" w:color="auto" w:fill="FFFFFF"/>
              </w:rPr>
              <m:t>Presicion+Recall</m:t>
            </m:r>
          </m:den>
        </m:f>
      </m:oMath>
      <w:r>
        <w:rPr>
          <w:shd w:val="clear" w:color="auto" w:fill="FFFFFF"/>
        </w:rPr>
        <w:t xml:space="preserve">                   </w:t>
      </w:r>
      <w:r w:rsidR="00A45FD6">
        <w:rPr>
          <w:shd w:val="clear" w:color="auto" w:fill="FFFFFF"/>
        </w:rPr>
        <w:t xml:space="preserve">      </w:t>
      </w:r>
      <w:r>
        <w:rPr>
          <w:shd w:val="clear" w:color="auto" w:fill="FFFFFF"/>
        </w:rPr>
        <w:t>(4)</w:t>
      </w:r>
    </w:p>
    <w:p w14:paraId="60B90D56" w14:textId="77777777" w:rsidR="002F7B48" w:rsidRPr="00C35FF3" w:rsidRDefault="002F7B48" w:rsidP="00A45FD6">
      <w:pPr>
        <w:pStyle w:val="MDPI32textnoindent"/>
        <w:rPr>
          <w:shd w:val="clear" w:color="auto" w:fill="FFFFFF"/>
        </w:rPr>
      </w:pPr>
      <w:r>
        <w:rPr>
          <w:shd w:val="clear" w:color="auto" w:fill="FFFFFF"/>
        </w:rPr>
        <w:t>w</w:t>
      </w:r>
      <w:r w:rsidRPr="00C35FF3">
        <w:rPr>
          <w:shd w:val="clear" w:color="auto" w:fill="FFFFFF"/>
        </w:rPr>
        <w:t>here</w:t>
      </w:r>
      <w:r>
        <w:rPr>
          <w:shd w:val="clear" w:color="auto" w:fill="FFFFFF"/>
        </w:rPr>
        <w:t>,</w:t>
      </w:r>
      <w:r w:rsidRPr="00C35FF3">
        <w:rPr>
          <w:shd w:val="clear" w:color="auto" w:fill="FFFFFF"/>
        </w:rPr>
        <w:t xml:space="preserve"> an F</w:t>
      </w:r>
      <w:r w:rsidRPr="00BC5769">
        <w:rPr>
          <w:shd w:val="clear" w:color="auto" w:fill="FFFFFF"/>
          <w:vertAlign w:val="subscript"/>
        </w:rPr>
        <w:t>1</w:t>
      </w:r>
      <w:r w:rsidRPr="00C35FF3">
        <w:rPr>
          <w:shd w:val="clear" w:color="auto" w:fill="FFFFFF"/>
        </w:rPr>
        <w:t xml:space="preserve"> score attains its best value at one (perfect precision and recall) and worst at zero.</w:t>
      </w:r>
    </w:p>
    <w:p w14:paraId="36418631" w14:textId="77777777" w:rsidR="002F7B48" w:rsidRPr="00A139BE" w:rsidRDefault="002F7B48" w:rsidP="002F7B48">
      <w:pPr>
        <w:ind w:left="720" w:hanging="720"/>
        <w:rPr>
          <w:shd w:val="clear" w:color="auto" w:fill="FFFFFF"/>
        </w:rPr>
      </w:pPr>
    </w:p>
    <w:p w14:paraId="0AC5D980" w14:textId="77777777" w:rsidR="002F7B48" w:rsidRPr="000A35A0" w:rsidRDefault="002F7B48" w:rsidP="00A45FD6">
      <w:pPr>
        <w:pStyle w:val="MDPI22heading2"/>
        <w:rPr>
          <w:rStyle w:val="Strong"/>
          <w:b w:val="0"/>
          <w:bCs w:val="0"/>
        </w:rPr>
      </w:pPr>
      <w:r w:rsidRPr="00DD136B">
        <w:rPr>
          <w:rStyle w:val="Strong"/>
          <w:b w:val="0"/>
        </w:rPr>
        <w:lastRenderedPageBreak/>
        <w:t>Supplement</w:t>
      </w:r>
      <w:r>
        <w:rPr>
          <w:rStyle w:val="Strong"/>
          <w:b w:val="0"/>
        </w:rPr>
        <w:t xml:space="preserve"> 2. </w:t>
      </w:r>
      <w:r w:rsidRPr="000A35A0">
        <w:rPr>
          <w:rStyle w:val="Strong"/>
          <w:b w:val="0"/>
        </w:rPr>
        <w:t xml:space="preserve">Look-up </w:t>
      </w:r>
      <w:r>
        <w:rPr>
          <w:rStyle w:val="Strong"/>
          <w:b w:val="0"/>
        </w:rPr>
        <w:t>T</w:t>
      </w:r>
      <w:r w:rsidRPr="000A35A0">
        <w:rPr>
          <w:rStyle w:val="Strong"/>
          <w:b w:val="0"/>
        </w:rPr>
        <w:t xml:space="preserve">able for </w:t>
      </w:r>
      <w:r>
        <w:rPr>
          <w:rStyle w:val="Strong"/>
          <w:b w:val="0"/>
        </w:rPr>
        <w:t>C</w:t>
      </w:r>
      <w:r w:rsidRPr="000A35A0">
        <w:rPr>
          <w:rStyle w:val="Strong"/>
          <w:b w:val="0"/>
        </w:rPr>
        <w:t xml:space="preserve">arbon </w:t>
      </w:r>
      <w:r>
        <w:rPr>
          <w:rStyle w:val="Strong"/>
          <w:b w:val="0"/>
        </w:rPr>
        <w:t>F</w:t>
      </w:r>
      <w:r w:rsidRPr="000A35A0">
        <w:rPr>
          <w:rStyle w:val="Strong"/>
          <w:b w:val="0"/>
        </w:rPr>
        <w:t xml:space="preserve">lux </w:t>
      </w:r>
      <w:r>
        <w:rPr>
          <w:rStyle w:val="Strong"/>
          <w:b w:val="0"/>
        </w:rPr>
        <w:t>V</w:t>
      </w:r>
      <w:r w:rsidRPr="000A35A0">
        <w:rPr>
          <w:rStyle w:val="Strong"/>
          <w:b w:val="0"/>
        </w:rPr>
        <w:t xml:space="preserve">alues from </w:t>
      </w:r>
      <w:r>
        <w:rPr>
          <w:rStyle w:val="Strong"/>
          <w:b w:val="0"/>
        </w:rPr>
        <w:t>L</w:t>
      </w:r>
      <w:r w:rsidRPr="000A35A0">
        <w:rPr>
          <w:rStyle w:val="Strong"/>
          <w:b w:val="0"/>
        </w:rPr>
        <w:t xml:space="preserve">iterature </w:t>
      </w:r>
      <w:r>
        <w:rPr>
          <w:rStyle w:val="Strong"/>
          <w:b w:val="0"/>
        </w:rPr>
        <w:t>R</w:t>
      </w:r>
      <w:r w:rsidRPr="000A35A0">
        <w:rPr>
          <w:rStyle w:val="Strong"/>
          <w:b w:val="0"/>
        </w:rPr>
        <w:t xml:space="preserve">eview </w:t>
      </w:r>
    </w:p>
    <w:p w14:paraId="6335B2DA" w14:textId="0E2DC661" w:rsidR="002F7B48" w:rsidRDefault="002F7B48" w:rsidP="00A45FD6">
      <w:pPr>
        <w:pStyle w:val="MDPI41tablecaption"/>
      </w:pPr>
      <w:r w:rsidRPr="00A45FD6">
        <w:rPr>
          <w:b/>
          <w:bCs/>
        </w:rPr>
        <w:t>Table S2</w:t>
      </w:r>
      <w:r w:rsidR="00A45FD6" w:rsidRPr="00A45FD6">
        <w:rPr>
          <w:b/>
          <w:bCs/>
        </w:rPr>
        <w:t>.</w:t>
      </w:r>
      <w:r>
        <w:t xml:space="preserve"> </w:t>
      </w:r>
      <w:r w:rsidRPr="001E39EC">
        <w:t>Look-up table used to represent the carbon fluxes that</w:t>
      </w:r>
      <w:r w:rsidR="00AD3676">
        <w:t xml:space="preserve"> were used to calculate the</w:t>
      </w:r>
      <w:r w:rsidRPr="001E39EC">
        <w:t xml:space="preserve"> estimated net ecosystem carbon balance (NECB) of</w:t>
      </w:r>
      <w:r w:rsidR="00E62A89">
        <w:t xml:space="preserve"> eight</w:t>
      </w:r>
      <w:r w:rsidR="00E62A89" w:rsidRPr="001E39EC">
        <w:t xml:space="preserve"> dominant coastal habitats</w:t>
      </w:r>
      <w:r w:rsidRPr="001E39EC">
        <w:t xml:space="preserve"> </w:t>
      </w:r>
      <w:r>
        <w:t xml:space="preserve">including floating aquatic vegetation (FAV), fresh forested wetland, fresh marsh, intermediate marsh, brackish marsh, SAV, bare ground, and </w:t>
      </w:r>
      <w:r w:rsidRPr="001E39EC">
        <w:t>open waters</w:t>
      </w:r>
      <w:r>
        <w:t xml:space="preserve"> (fresh/intermediate).</w:t>
      </w:r>
    </w:p>
    <w:tbl>
      <w:tblPr>
        <w:tblStyle w:val="PlainTable2"/>
        <w:tblW w:w="5000" w:type="pct"/>
        <w:tblLayout w:type="fixed"/>
        <w:tblLook w:val="04A0" w:firstRow="1" w:lastRow="0" w:firstColumn="1" w:lastColumn="0" w:noHBand="0" w:noVBand="1"/>
      </w:tblPr>
      <w:tblGrid>
        <w:gridCol w:w="1743"/>
        <w:gridCol w:w="1743"/>
        <w:gridCol w:w="1744"/>
        <w:gridCol w:w="1744"/>
        <w:gridCol w:w="1746"/>
        <w:gridCol w:w="1746"/>
      </w:tblGrid>
      <w:tr w:rsidR="002F7B48" w14:paraId="1B7F0182" w14:textId="77777777" w:rsidTr="00A45F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vMerge w:val="restart"/>
          </w:tcPr>
          <w:p w14:paraId="1E1B4D9C" w14:textId="77777777" w:rsidR="002F7B48" w:rsidRDefault="002F7B48" w:rsidP="00A45FD6">
            <w:pPr>
              <w:pStyle w:val="MDPI42tablebody"/>
            </w:pPr>
            <w:r>
              <w:t>Existing Habitat</w:t>
            </w:r>
          </w:p>
        </w:tc>
        <w:tc>
          <w:tcPr>
            <w:tcW w:w="3333" w:type="pct"/>
            <w:gridSpan w:val="4"/>
          </w:tcPr>
          <w:p w14:paraId="187D092E" w14:textId="77777777" w:rsidR="002F7B48" w:rsidRDefault="002F7B48" w:rsidP="00A45FD6">
            <w:pPr>
              <w:pStyle w:val="MDPI42tablebody"/>
              <w:cnfStyle w:val="100000000000" w:firstRow="1" w:lastRow="0" w:firstColumn="0" w:lastColumn="0" w:oddVBand="0" w:evenVBand="0" w:oddHBand="0" w:evenHBand="0" w:firstRowFirstColumn="0" w:firstRowLastColumn="0" w:lastRowFirstColumn="0" w:lastRowLastColumn="0"/>
            </w:pPr>
            <w:r>
              <w:t>Carbon Flux (mean ± 95% SE, tonne CO</w:t>
            </w:r>
            <w:r w:rsidRPr="00E26476">
              <w:rPr>
                <w:vertAlign w:val="subscript"/>
              </w:rPr>
              <w:t>2</w:t>
            </w:r>
            <w:r>
              <w:t>e ha</w:t>
            </w:r>
            <w:r w:rsidRPr="000E21DC">
              <w:rPr>
                <w:vertAlign w:val="superscript"/>
              </w:rPr>
              <w:t>-1</w:t>
            </w:r>
            <w:r>
              <w:t xml:space="preserve"> year</w:t>
            </w:r>
            <w:r w:rsidRPr="000E21DC">
              <w:rPr>
                <w:vertAlign w:val="superscript"/>
              </w:rPr>
              <w:t>-1</w:t>
            </w:r>
            <w:r>
              <w:t>)</w:t>
            </w:r>
          </w:p>
        </w:tc>
        <w:tc>
          <w:tcPr>
            <w:tcW w:w="834" w:type="pct"/>
            <w:vMerge w:val="restart"/>
          </w:tcPr>
          <w:p w14:paraId="0FD5E356" w14:textId="77777777" w:rsidR="002F7B48" w:rsidRDefault="002F7B48" w:rsidP="00A45FD6">
            <w:pPr>
              <w:pStyle w:val="MDPI42tablebody"/>
              <w:cnfStyle w:val="100000000000" w:firstRow="1" w:lastRow="0" w:firstColumn="0" w:lastColumn="0" w:oddVBand="0" w:evenVBand="0" w:oddHBand="0" w:evenHBand="0" w:firstRowFirstColumn="0" w:firstRowLastColumn="0" w:lastRowFirstColumn="0" w:lastRowLastColumn="0"/>
            </w:pPr>
            <w:r>
              <w:t>References</w:t>
            </w:r>
          </w:p>
        </w:tc>
      </w:tr>
      <w:tr w:rsidR="002F7B48" w14:paraId="6F3CF8B9" w14:textId="77777777" w:rsidTr="00A45F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vMerge/>
          </w:tcPr>
          <w:p w14:paraId="72699298" w14:textId="77777777" w:rsidR="002F7B48" w:rsidRDefault="002F7B48" w:rsidP="00A45FD6">
            <w:pPr>
              <w:pStyle w:val="MDPI42tablebody"/>
            </w:pPr>
          </w:p>
        </w:tc>
        <w:tc>
          <w:tcPr>
            <w:tcW w:w="833" w:type="pct"/>
          </w:tcPr>
          <w:p w14:paraId="5729BE2A" w14:textId="77777777" w:rsidR="002F7B48" w:rsidRPr="002E0C73"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rsidRPr="002E0C73">
              <w:t xml:space="preserve">ANPP </w:t>
            </w:r>
          </w:p>
          <w:p w14:paraId="77712F4A" w14:textId="77777777" w:rsidR="002F7B48" w:rsidRPr="002E0C73"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rsidRPr="002E0C73">
              <w:t>(± SE)</w:t>
            </w:r>
          </w:p>
        </w:tc>
        <w:tc>
          <w:tcPr>
            <w:tcW w:w="833" w:type="pct"/>
          </w:tcPr>
          <w:p w14:paraId="4C302883" w14:textId="77777777" w:rsidR="002F7B48" w:rsidRPr="002E0C73"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rsidRPr="002E0C73">
              <w:t xml:space="preserve">Sed./Soil Accum. </w:t>
            </w:r>
          </w:p>
          <w:p w14:paraId="6E8F0287" w14:textId="77777777" w:rsidR="002F7B48" w:rsidRPr="002E0C73"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rsidRPr="002E0C73">
              <w:t>(± SE)</w:t>
            </w:r>
          </w:p>
        </w:tc>
        <w:tc>
          <w:tcPr>
            <w:tcW w:w="833" w:type="pct"/>
          </w:tcPr>
          <w:p w14:paraId="7F60E62E" w14:textId="77777777" w:rsidR="002F7B48" w:rsidRPr="002E0C73"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rsidRPr="002E0C73">
              <w:t>GHG emission (± SE)</w:t>
            </w:r>
          </w:p>
        </w:tc>
        <w:tc>
          <w:tcPr>
            <w:tcW w:w="834" w:type="pct"/>
          </w:tcPr>
          <w:p w14:paraId="436B7DB4" w14:textId="77777777" w:rsidR="002F7B48" w:rsidRPr="002E0C73"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rsidRPr="002E0C73">
              <w:t>NECB (± combined uncertainty)</w:t>
            </w:r>
          </w:p>
        </w:tc>
        <w:tc>
          <w:tcPr>
            <w:tcW w:w="834" w:type="pct"/>
            <w:vMerge/>
          </w:tcPr>
          <w:p w14:paraId="0DC23A23"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p>
        </w:tc>
      </w:tr>
      <w:tr w:rsidR="002F7B48" w14:paraId="1A0AF7FE" w14:textId="77777777" w:rsidTr="00A45FD6">
        <w:tc>
          <w:tcPr>
            <w:cnfStyle w:val="001000000000" w:firstRow="0" w:lastRow="0" w:firstColumn="1" w:lastColumn="0" w:oddVBand="0" w:evenVBand="0" w:oddHBand="0" w:evenHBand="0" w:firstRowFirstColumn="0" w:firstRowLastColumn="0" w:lastRowFirstColumn="0" w:lastRowLastColumn="0"/>
            <w:tcW w:w="833" w:type="pct"/>
          </w:tcPr>
          <w:p w14:paraId="111ED143" w14:textId="77777777" w:rsidR="002F7B48" w:rsidRDefault="002F7B48" w:rsidP="00A45FD6">
            <w:pPr>
              <w:pStyle w:val="MDPI42tablebody"/>
            </w:pPr>
            <w:r>
              <w:t>Fresh Forested Wetland</w:t>
            </w:r>
          </w:p>
        </w:tc>
        <w:tc>
          <w:tcPr>
            <w:tcW w:w="833" w:type="pct"/>
          </w:tcPr>
          <w:p w14:paraId="664EBB26"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-16.4 ± 1.2</w:t>
            </w:r>
          </w:p>
        </w:tc>
        <w:tc>
          <w:tcPr>
            <w:tcW w:w="833" w:type="pct"/>
          </w:tcPr>
          <w:p w14:paraId="756E8967"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-8.9 ± 2.0</w:t>
            </w:r>
          </w:p>
        </w:tc>
        <w:tc>
          <w:tcPr>
            <w:tcW w:w="833" w:type="pct"/>
          </w:tcPr>
          <w:p w14:paraId="2C9A2423"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24.6 ± 12.2</w:t>
            </w:r>
          </w:p>
        </w:tc>
        <w:tc>
          <w:tcPr>
            <w:tcW w:w="834" w:type="pct"/>
          </w:tcPr>
          <w:p w14:paraId="306925F6"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-0.7 ± 0.4</w:t>
            </w:r>
          </w:p>
        </w:tc>
        <w:tc>
          <w:tcPr>
            <w:tcW w:w="834" w:type="pct"/>
          </w:tcPr>
          <w:p w14:paraId="4CE220A3" w14:textId="51AAF2B8" w:rsidR="002F7B48" w:rsidRPr="000E21DC" w:rsidRDefault="002F7B48" w:rsidP="00A45FD6">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fldChar w:fldCharType="begin"/>
            </w:r>
            <w:r w:rsidR="00E62A89">
              <w:rPr>
                <w:sz w:val="18"/>
                <w:szCs w:val="18"/>
              </w:rPr>
              <w:instrText xml:space="preserve"> ADDIN ZOTERO_ITEM CSL_CITATION {"citationID":"4yYbGcUp","properties":{"formattedCitation":"[2\\uc0\\u8211{}23]","plainCitation":"[2–23]","noteIndex":0},"citationItems":[{"id":10832,"uris":["http://zotero.org/groups/2790555/items/4IVHR5DH"],"itemData":{"id":10832,"type":"article-journal","abstract":"The productivity and composition of two study sites in a southern Louisiana freshwater swamp were studied from October 1973 to November 1974. Net productivity was determined from measurements of litter-fall, stem growth of woody species, and harvest samples of annual herbaceous understory. Annual stem growth was calculated from biomass estimates on two different dates. The annual increase in stem biomass was 800 g dry wt/m2 for a bottomland hardwood site (BLH) and 500 g dry wt/m2 for a baldcypress-water tupelo site (CT). Litter-fall was 574 g dry wt/m2/yr for BLH and 620 g dry wt/m2/yr for CT. Harvest samples within the two plots yielded 200 g dry wt/m2 and 20 g dry wt/m2 for BLH and CT, respectively. Minimum net primary production was calculated as the sum of the three: 1574 g dry wt/m2/yr for BLH and 1140 g dry wt/m2/yr for CT. Maximum estimates of herbaceous production and insect consumption were made by using values from the literature. Estimated total net primary productivity was 1733 g dry wt/m2/yr for BLH and 1516 g dry wt/m2/yr for CT. Tree composition was determined by the point-centered quarter method. Relative frequency, relative density, absolute density, relative dominance, and importance value (IV) were calculated for the tree species along each transect. In the bottomland hardwood area many woody species exist with Acer rubrum var. drummondii (IV = 23.9) and Nyssa aquatica (IV = 18.4) the most dominant. In the baldcypress-water tupelo area, fewer woody species exist and Taxodium distichum (IV = 39.2) and N. aquatica (IV = 37.6) dominated. Comparison of productivity data from several southeastern swamps indicate that flowing water regimes tend to result in the highest swamp forest productivity.","container-title":"American Journal of Botany","DOI":"10.2307/2441844","ISSN":"0002-9122","issue":"10","journalAbbreviation":"Am. J. Bot.","note":"publisher: Botanical Society of America","page":"1354-1364","source":"JSTOR","title":"Productivity and composition of a baldcypress-water tupelo site and a bottomland hardwood site in a Louisiana swamp","volume":"63","author":[{"family":"Conner","given":"William H."},{"family":"Day","given":"John W."}],"issued":{"date-parts":[["1976"]]}}},{"id":9230,"uris":["http://zotero.org/groups/2790555/items/PU3S9MLK"],"itemData":{"id":9230,"type":"paper-conference","abstract":"ABSTRACT During a 14-month period in 1973-74, several functional properties were studied in a swamp forest and lake system in Louisiana. The study area forms the upper drainage basin of the Barataria Bay estuary. Properties measured were: a) productivity of the two swamp forest components, bottomland hardwood (BLH) and baldcypress-tupelo (CT); b) productivity of lake and bayou waters; c) hydrology; and d) carbon and nutrient export to the lower estuary. Productivity of the BLH site was 800 g dry wt·m–2·yr–1 for stem biomass increase, 584 for litterfall, and 200 for understory production. Similar figures for CT were 500, 620, and 20. Total above-ground net productivity was 1584 for BLH and 1140 for CT. Net daytime photosynthesis (NDP) for the lake was 1418 g 02·m–2·yr–1 and nighttime respiration (NR) was 1868 (P/R = 0.76). For the bayous NDP was 316 and NR was 446 (P/R = 0.71). Water discharge from the basin is significant year-round except during the summer when evaporation equals precipitation. Annual export to the lower estuary (calculated from water discharge and materials concentrations) was 8016 metric tons of organic C, 1047 metric tons N, and 154 metric tons P. The greater part of this export occurred during the spring, corresponding to the spring peak in biological activity in the estuary.","DOI":"10.1016/B978-0-12-751802-2.50026-6","source":"Semantic Scholar","title":"Productivity and nutrient export studies in a cypress swamp and lake system in Louisiana","author":[{"family":"Day","given":"John W"},{"family":"Butler","given":"T."},{"family":"Conner","given":"W."}],"issued":{"date-parts":[["1977"]]}}},{"id":9270,"uris":["http://zotero.org/groups/2790555/items/3L96PG7Z"],"itemData":{"id":9270,"type":"article-journal","abstract":"Net primary productivity and community structure were studied at three adjacent swamp sites that were all once subject to seasonal flooding. Because of man-related activities one is now permanently flooded, and a second is managed on a summer-fall dry period and a winter-spring flooded period. In the permanently flooded area such flood-intolerant trees as green ash are dying while shrubs and aquatic plants are increasing. Competition among overstory trees is reduced, enhancing growth of existing baldcypress and water tupelo trees. Total areal production, however, is low (887 g/m2/yr) because of fewer trees. Productivity in the managed area is high (1,780 g/m2/yr). The baldcypress-water tupelo community is being replaced by a swamp maple-ash community typical of bottomlands. In the natural swamp forest, baldcypress and water tupelo have remained dominant Canopy closure has limited understory and aquatic growth but has also increased competition among overstory trees, resulting in a slow increase in basal area. Productivity is about 1,166 g/m2/yr. It is suggested that the flooding regime is an important controlling factor in each of the areas.","container-title":"American Journal of Botany","DOI":"10/bx6nrb","ISSN":"0002-9122","issue":"3","journalAbbreviation":"Am. J. Bot.","note":"publisher: Botanical Society of America","page":"320-331","source":"JSTOR","title":"Comparison of the vegetation of three Louisiana swamp sites with different flooding regimes","volume":"68","author":[{"family":"Conner","given":"William H."},{"family":"Gosselink","given":"James G."},{"family":"Parrondo","given":"Roland T."}],"issued":{"date-parts":[["1981"]]}}},{"id":9301,"uris":["http://zotero.org/groups/2790555/items/RZ2YYIRT"],"itemData":{"id":9301,"type":"book","language":"en","note":"Google-Books-ID: sXIrvQEACAAJ","number-of-pages":"42","publisher":"U.S. Government Printing Office","source":"Google Books","title":"Production and Decomposition of Forest Litter Fall on the Apalachicola River Flood Plain, Florida","author":[{"family":"Elder","given":"John F."},{"family":"Cairns","given":"Duncan J."}],"issued":{"date-parts":[["1982"]]}}},{"id":10509,"uris":["http://zotero.org/groups/2790555/items/FE7AZYMV"],"itemData":{"id":10509,"type":"book","language":"en","note":"Google-Books-ID: idhiNcbOYSkC","number-of-pages":"188","publisher":"National Wetlands Research Center, U.S. Fish and Wildlife Service, U.S. Department of the Interior","source":"Google Books","title":"The Ecology of Barataria Basin, Louisiana: An Estuarine Profile","title-short":"The Ecology of Barataria Basin, Louisiana","author":[{"family":"Conner","given":"William H."},{"family":"Day","given":"John W."}],"issued":{"date-parts":[["1987"]]}}},{"id":10485,"uris":["http://zotero.org/groups/2790555/items/UWVQRKJL"],"itemData":{"id":10485,"type":"article-journal","abstract":"The Verret basin was formerly an overflow area between the Mississippi and Atchafalayarivers and contains about 41,000ha of forested wetlands. Water levels are rising at the rate of over 1cm/year in this area, and the forests are subjected to longer and deeper flooding. Tree growth, litterfall, and species composition were monitored across a flooding gradient during January 1985-December 1986. The driest area was only 20cm higher in elevation than the wettest area, but the structure of the forest changes greatly over this range. The drier area was dominated by sweetgum (Liquidambar styraciflua L.), oaks (Quercus spp.), and sugarberry (Celtis laevigata Willd.), while green ash (Fraxinus pennsylvanica Marsh.), red maple (Acer rubrum L.), and baldcypress (Taxodium distichum (L.) Rich.) were dominant in the wetter area. Green ash and bitter pecan (Carya aquatica (Michaux. f.) Nutt.) were found in all plots, but these two species are under severe stress in the more flooded area as evidenced by dead and dying trees. Stem wood production increased from 1985 to 1986 in the driest (392 to 473 g/m2/yr) and wettest (199 to 399 g/m2/yr) plots, but remained relatively unchanged in the transitional area (386 to 380 g/m2/yr). Leaf litter production decreased across the gradient from dry to flooded plots during both years. Over 40% of the litterfall in the drier plot was from floodtolerant shrub species. In the flooded plots, red maple and baldcypress were major contributors to total litterfall. Increased flooding of dry bottomland forests in the future could lead to decreased litterfall and increased tree death over the entire watershed.","container-title":"Wetlands Ecology and Management","DOI":"10/dmg6w2","ISSN":"0923-4861, 1572-9834","issue":"4","journalAbbreviation":"Wetlands Ecol Manage","language":"en","page":"189-197","source":"DOI.org (Crossref)","title":"Bottomland hardwood productivity: case study in a rapidly subsiding, Louisiana, USA, watershed","title-short":"Bottomland hardwood productivity","volume":"2","author":[{"family":"Conner","given":"William H."},{"family":"Day","given":"John W."},{"family":"Slater","given":"Wayne R."}],"issued":{"date-parts":[["1993",9]]}}},{"id":10436,"uris":["http://zotero.org/groups/2790555/items/VDD4N5EL"],"itemData":{"id":10436,"type":"article-journal","abstract":"[Growth, biomass, and survival of four-month-old baldcypress (Taxodium distichum (L.) Rich.) and Chinese tallow (Sapium sebiferum (L.) Roxb.) seedlings were examined in an experiment varying water levels (watered, flooded) and salinity levels (0, 2, and 10 ppt, plus a simulated storm surge with 32 ppt water). All seedlings survived to the end of the experiment except for those flooded with 10 ppt water. Baldcypress survived two weeks whereas Chinese tallow survived for 6 weeks in 10 ppt water. Height growth of both species was unaffected by flooding with 0 and 2 ppt water, but heights of plants watered with 10 ppt water were significantly lower. Diameter growth was much more variable. Baldcypress final diameters were greater in flooded treatments than in drained treatments. Chinese tallow diameters were greater in drained treatments. Root and shoot biomasses were not significantly different among treatments for baldcypress, but were two to five times less in flooded treatments for Chinese tallow. Baldcypress is more tolerant of flooding. Chinese tallow can survive longer at higher salinities, thus increasing its chances of survival in coastal areas where salinity levels are rising.]","archive":"JSTOR","container-title":"Journal of Coastal Research","ISSN":"0749-0208","issue":"4","journalAbbreviation":"J Coast Res.","page":"1045-1049","source":"JSTOR","title":"The Effect of salinity and waterlogging on growth and survival of baldcypress and Chinese tallow seedlings","volume":"10","author":[{"family":"Conner","given":"William H."}],"issued":{"date-parts":[["1994"]]}}},{"id":9409,"uris":["http://zotero.org/groups/2790555/items/434DZK5Y"],"itemData":{"id":9409,"type":"article-journal","abstract":"Methane emissions fromthree wetland habitats in theMississippi River deltaic plain\nwere measured over a three year period. Flux data collected indicate that each habitat was a net\nsource of methane to the atmosphere throughout the year. Average emission from a Taxodium\ndistichum / Nyssa aquatica (bald cypress / water tupelo) swamp forest was 146 </w:instrText>
            </w:r>
            <w:r w:rsidR="00E62A89">
              <w:rPr>
                <w:rFonts w:ascii="Cambria Math" w:hAnsi="Cambria Math" w:cs="Cambria Math"/>
                <w:sz w:val="18"/>
                <w:szCs w:val="18"/>
              </w:rPr>
              <w:instrText>⬚</w:instrText>
            </w:r>
            <w:r w:rsidR="00E62A89">
              <w:rPr>
                <w:sz w:val="18"/>
                <w:szCs w:val="18"/>
              </w:rPr>
              <w:instrText xml:space="preserve"> 199 mg CH4\nm</w:instrText>
            </w:r>
            <w:r w:rsidR="00E62A89">
              <w:rPr>
                <w:rFonts w:ascii="Cambria Math" w:hAnsi="Cambria Math" w:cs="Cambria Math"/>
                <w:sz w:val="18"/>
                <w:szCs w:val="18"/>
              </w:rPr>
              <w:instrText>⬚⬚</w:instrText>
            </w:r>
            <w:r w:rsidR="00E62A89">
              <w:rPr>
                <w:sz w:val="18"/>
                <w:szCs w:val="18"/>
              </w:rPr>
              <w:instrText>2d</w:instrText>
            </w:r>
            <w:r w:rsidR="00E62A89">
              <w:rPr>
                <w:rFonts w:ascii="Cambria Math" w:hAnsi="Cambria Math" w:cs="Cambria Math"/>
                <w:sz w:val="18"/>
                <w:szCs w:val="18"/>
              </w:rPr>
              <w:instrText>⬚⬚</w:instrText>
            </w:r>
            <w:r w:rsidR="00E62A89">
              <w:rPr>
                <w:sz w:val="18"/>
                <w:szCs w:val="18"/>
              </w:rPr>
              <w:instrText xml:space="preserve">1 while emissions from a Sagittaria lancifolia (bulltongue) freshwater marsh averaged\n251 </w:instrText>
            </w:r>
            <w:r w:rsidR="00E62A89">
              <w:rPr>
                <w:rFonts w:ascii="Cambria Math" w:hAnsi="Cambria Math" w:cs="Cambria Math"/>
                <w:sz w:val="18"/>
                <w:szCs w:val="18"/>
              </w:rPr>
              <w:instrText>⬚</w:instrText>
            </w:r>
            <w:r w:rsidR="00E62A89">
              <w:rPr>
                <w:sz w:val="18"/>
                <w:szCs w:val="18"/>
              </w:rPr>
              <w:instrText xml:space="preserve"> 188 mg CH4 m</w:instrText>
            </w:r>
            <w:r w:rsidR="00E62A89">
              <w:rPr>
                <w:rFonts w:ascii="Cambria Math" w:hAnsi="Cambria Math" w:cs="Cambria Math"/>
                <w:sz w:val="18"/>
                <w:szCs w:val="18"/>
              </w:rPr>
              <w:instrText>⬚⬚</w:instrText>
            </w:r>
            <w:r w:rsidR="00E62A89">
              <w:rPr>
                <w:sz w:val="18"/>
                <w:szCs w:val="18"/>
              </w:rPr>
              <w:instrText>2d</w:instrText>
            </w:r>
            <w:r w:rsidR="00E62A89">
              <w:rPr>
                <w:rFonts w:ascii="Cambria Math" w:hAnsi="Cambria Math" w:cs="Cambria Math"/>
                <w:sz w:val="18"/>
                <w:szCs w:val="18"/>
              </w:rPr>
              <w:instrText>⬚⬚</w:instrText>
            </w:r>
            <w:r w:rsidR="00E62A89">
              <w:rPr>
                <w:sz w:val="18"/>
                <w:szCs w:val="18"/>
              </w:rPr>
              <w:instrText xml:space="preserve">1. Methane flux from a Spartina patens / Sagittaria lancifolia\nintermediate marsh was significantly higher, 912 </w:instrText>
            </w:r>
            <w:r w:rsidR="00E62A89">
              <w:rPr>
                <w:rFonts w:ascii="Cambria Math" w:hAnsi="Cambria Math" w:cs="Cambria Math"/>
                <w:sz w:val="18"/>
                <w:szCs w:val="18"/>
              </w:rPr>
              <w:instrText>⬚</w:instrText>
            </w:r>
            <w:r w:rsidR="00E62A89">
              <w:rPr>
                <w:sz w:val="18"/>
                <w:szCs w:val="18"/>
              </w:rPr>
              <w:instrText xml:space="preserve"> 923 mg CH4 m</w:instrText>
            </w:r>
            <w:r w:rsidR="00E62A89">
              <w:rPr>
                <w:rFonts w:ascii="Cambria Math" w:hAnsi="Cambria Math" w:cs="Cambria Math"/>
                <w:sz w:val="18"/>
                <w:szCs w:val="18"/>
              </w:rPr>
              <w:instrText>⬚⬚</w:instrText>
            </w:r>
            <w:r w:rsidR="00E62A89">
              <w:rPr>
                <w:sz w:val="18"/>
                <w:szCs w:val="18"/>
              </w:rPr>
              <w:instrText>2d</w:instrText>
            </w:r>
            <w:r w:rsidR="00E62A89">
              <w:rPr>
                <w:rFonts w:ascii="Cambria Math" w:hAnsi="Cambria Math" w:cs="Cambria Math"/>
                <w:sz w:val="18"/>
                <w:szCs w:val="18"/>
              </w:rPr>
              <w:instrText>⬚⬚</w:instrText>
            </w:r>
            <w:r w:rsidR="00E62A89">
              <w:rPr>
                <w:sz w:val="18"/>
                <w:szCs w:val="18"/>
              </w:rPr>
              <w:instrText>1. Seasonal variation\nwas significant with emissions being higher in the late summer and early fall. Significant\ndiurnal emissions were observed from the Sagittaria lancifolia marsh site. Soil temperature (5\nand 10 cm depths) was found to be significantly correlated with methane emission from the\nthree sites.","container-title":"Biogeochemistry","DOI":"10/bqvkjw","issue":"3","page":"227–236","source":"Google Scholar","title":"Methane flux from Mississippi River deltaic plain wetlands","volume":"37","author":[{"family":"Alford","given":"Douglas P."},{"family":"Delaune","given":"Ronald D."},{"family":"Lindau","given":"Charles W."}],"issued":{"date-parts":[["1997"]]}}},{"id":10851,"uris":["http://zotero.org/groups/2790555/items/IJ9QZ57E"],"itemData":{"id":10851,"type":"article-journal","abstract":"It has been hypothesized that periodically flooded forests have higher rates of aboveground net primary production than upland forests and near-continuously flooded forests, but a competing hypothesis holds that the benefits of periodic inputs of nutrients and water may be diminished by stresses associated with anaerobic soils or drought. To test these hypotheses, we measured groundwater table depths and aboveground productivity in floodplain forests of South Carolina and Louisiana. We established paired plots on locally dry, intermediate, and wet topographic positions across three hydrologic transects in each state. These plots encompassed upland hardwood, bottomland hardwood, and cypress swamp forests. Measurements of leaf litterfall, wood production, and groundwater table depth were made in 1987 and 1988. We then used mean growing-season water depth (MWD) to group the plots into three classes: wet (&gt;0 cm), intermediate (0 to −60 cm), and dry (&lt;−60 cm). Aboveground net primary production (NPP) on wet plots (2-yr mean ± 1 sd = 675 ± 271 g·m−2·yr−1) was significantly lower than on intermediate and dry plots (P ≤ 0.02). There was no significant difference between intermediate and dry plots (107 ± 189 and 1038 ± 91) g·m−2·yr−1, respectively). In addition, aboveground NPP on intermediate plots was not significantly different from 22 temperate upland forests in the literature. Combining our data with data from the literature, we found that aboveground NPP on wet plots was negatively related to MWD with a slope of −5 g·m−2·yr−1·cm−1. On sites with evidence of hydrologic disturbance (&gt;25% dead stems) the slope of this line was 5 times greater (−24 g·m−2·yr−1·cm−1). We conclude that the subsidy–stress hypothesis does not adequately describe patterns of NPP across Southeastern U.S. floodplain forests. Conditions of periodic flooding and flowing water do not often lead to high rates of productivity compared with upland forests. However, extensive flooding is nearly always a significant stress on forest productivity, particularly when the flooding regime has been recently perturbed through levee construction or impoundment. Our data support a more complex interaction between subsidy and stress factors.","container-title":"Ecology","DOI":"10.1890/0012-9658(1997)078[0370:APISFF]2.0.CO;2","ISSN":"1939-9170","issue":"2","language":"en","note":"_eprint: https://esajournals.onlinelibrary.wiley.com/doi/pdf/10.1890/0012-9658%281997%29078%5B0370%3AAPISFF%5D2.0.CO%3B2","page":"370-384","source":"Wiley Online Library","title":"Aboveground production in southeastern floodplain forests: A test of the subsidy–stress hypothesis","title-short":"Aboveground Production in Southeastern Floodplain Forests","volume":"78","author":[{"family":"Megonigal","given":"J. Patrick"},{"family":"Conner","given":"William H."},{"family":"Kroeger","given":"Steven"},{"family":"Sharitz","given":"Rebecca R."}],"issued":{"date-parts":[["1997"]]}}},{"id":9641,"uris":["http://zotero.org/groups/2790555/items/N4G72URV"],"itemData":{"id":9641,"type":"article-journal","abstract":"Insufficient sedimentation, coupled with high rates of relative sea-level rise (subsidence plus\neustatic sea-level rise), are two important factors contributing to wetland loss in coastal Louisiana, USA.\nWe hypothesized that adding nutrient-rich, secondarily treated wastewater effluent to subsiding wetlands in\nLouisiana could promote vertical accretion in these systems through increased organic matter production and\nsubsequent deposition and allow accretion to keep pace with estimated rates of relative sea-level rise (RSLR).\nHowever, we also hypothesized that nutrient enrichment could stimulate the decomposition of organic matter,\nthus negating any increase in accretion due to increased organic matter accumulation. To test these hypotheses,\nwe measured leaf-litter decomposition, litter nutrient dynamics, and sediment accretion in a permanently\nflooded and subsiding forested wetland receiving wastewater effluent and in an adjacent control site, both\nbefore and after effluent applications began. We also measured organic and mineral matter accumulation in\nthe treatment site before and after effluent applications began. A Before-After-Control-Impact (BACI) statistical\nanalysis revealed that neither leaf-litter decomposition rates nor initial leaf-litter N and P concentration\nwere affected by wastewater effluent. A similar analysis revealed that final N and P leaf-litter concentrations\ndid significantly increase in the treatment site relative to the control after effluent was applied. Total preeffluent\naccretion, measured 34 months after feldspar horizon markers were laid down, averaged (6 SE)\n22.3 6 3.2 mm and 14.9 6 4.6 mm in the treatment and control sites, respectively, and were not significantly\ndifferent. However, total accretion measured 68 months after the markers were installed and 29 months after\neffluent additions began in the treatment site averaged 54.6 6 1.5 mm in the treatment site and 19.0 6 3.2\nmm in the control site and were significantly different. Additionally, after wastewater applications began,\nthe estimated rate of accretion in the treatment site (11.4 mm yr21) approached the estimated rate of RSLR\n(12.3 mm yr21). Most of this increase in accretion was attributed to organic matter inputs, as organic matter\naccumulation increased significantly in the treatment site after effluent application began, while mineral\naccumulation rates remained constant. These findings indicate that there is a potential for using wastewater\nto balance accretion deficits in subsiding wetland systems.","container-title":"Wetlands","DOI":"10/bwvmc3","issue":"1","page":"18–32","source":"Google Scholar","title":"The impact of wastewater effluent on accretion and decomposition in a subsiding forested wetland","volume":"22","author":[{"family":"Rybczyk","given":"John M."},{"family":"Day","given":"John W."},{"family":"Conner","given":"William H."}],"issued":{"date-parts":[["2002"]]}}},{"id":9280,"uris":["http://zotero.org/groups/2790555/items/RM83U7SN"],"itemData":{"id":9280,"type":"article-journal","abstract":"Aim Predictions of vegetation change with global warming require models that accurately reﬂect physiological processes underlying growth limitations and species distributions. However, information about environmental controls on physiology and consequent effects on species boundaries and ecosystem functions such as production is limited, especially for forested wetlands that are potentially important carbon sinks.","container-title":"Global Ecology and Biogeography","DOI":"10/fmhmc9","journalAbbreviation":"Glob. Ecol. Biogeogr.","language":"en","page":"247-258","source":"Zotero","title":"Use of a latitudinal gradient in bald cypress (Taxodium distichum&lt;/i&gt;) production to examine physiological controls of biotic boundaries and potential responses to environmental change","volume":"13","author":[{"family":"Middleton","given":"Beth A."},{"family":"McKee","given":"Karen L."}],"issued":{"date-parts":[["2004"]]}}},{"id":10786,"uris":["http://zotero.org/groups/2790555/items/I9K5MMEM"],"itemData":{"id":10786,"type":"article-journal","abstract":"Nutrient dynamics, net aboveground primary productivity (NPP), and benthic macroinvertebrates were measured in a Louisiana tidal, freshwater forested wetland that received secondary treated efﬂuent for 27 years. NO3, NH4, TKN, PO4, TP concentrations were measured at treatment and control sites. TKN (2.0–4.0 mg/L), NH4–N (0.4–1.0 mg/L) and NO3–N accounted for almost 75%, 25% and less than 1% of TN, respectively. PO4 (0.1–0.9 mg/L) was about 50% of TP. TN and TP were reduced by 79% and 88%, respectively, as water ﬂowed through the wetland, which is consistent with low loading rates of 9.4 g N and 1.2 g P/m2/yr. Litterfall was signiﬁcantly greater in the treatment site (717 g/m2/yr) than one of the control sites (412 g/m2/yr). Stem growth (302–776 g/m2/yr) was not statistically different among the sites. Total NPP was highest at treatment sites (1467 and 1442 g/m2/yr) which were statistically higher than one of the control sites (714 g/m2/yr). Total individuals, total species, and species richness of macroinvertebrates were greatest near the outfall and declined away from the discharge. In summary, long-term addition of secondarily treated municipal efﬂuent resulted in a high level of nutrient retention, enhanced forest productivity, and minimal impact on benthic community structure.","container-title":"Ecological Engineering","DOI":"10.1016/j.ecoleng.2006.03.004","ISSN":"09258574","issue":"3","journalAbbreviation":"Ecol. Eng.","language":"en","page":"242-257","source":"DOI.org (Crossref)","title":"Effects of long-term municipal effluent discharge on the nutrient dynamics, productivity, and benthic community structure of a tidal freshwater forested wetland in Louisiana","volume":"27","author":[{"family":"Day","given":"John W"},{"family":"Westphal","given":"Anneliese"},{"family":"Pratt","given":"Richard"},{"family":"Hyfield","given":"Emily"},{"family":"Rybczyk","given":"John"},{"family":"Paul Kemp","given":"G."},{"family":"Day","given":"Jason N."},{"family":"Marx","given":"Brian"}],"issued":{"date-parts":[["2006",10]]}}},{"id":9748,"uris":["http://zotero.org/groups/2790555/items/8SK28VBJ"],"itemData":{"id":9748,"type":"article-journal","abstract":"This study reports on the response of a tidal, freshwater forested wetland ecosystem to\nlong-term input of secondarily treated municipal effluent from the City of Mandeville, LA.\nMeasurements of hydrology, nutrients, and aboveground net primary productivity were\nmade from September 1998 through March 2002. Accretion measurements were made in\nOctober 2000 and October 2004. The major hydrologic inputs to the system were the effluent,\nprecipitation, and back water flooding from Lake Pontchartrain. Nutrient levels were\ngenerally low except in the immediate vicinity of the outfall. Mean net primary production\nof the freshwater forest system was significantly higher downstream of the effluent\ndischarge (1202 gm−2 yr−1) compared to the control site (799 gm−2 yr−1). Downstream of the\noutfall, accretion rates were double the rate of relative sea level rise in the area. Removal\nefficiencies ofNand Pwere as high as 75% and 95%, respectively. The relatively constant flow\nof secondarily treatedmunicipal effluent buffered the downstream area from salinity intrusion\nduring a region-wide drought. Re-direction of nutrient-enhanced effluents from open\nwater bodies to wetland ecosystems can maintain plant productivity, sequester carbon, and\nmaintain coastal wetland elevations in response to sea-level rise in addition to improving\noverall surface water quality, reducing energy use, and increasing financial savings.","container-title":"Ecological Engineering","DOI":"10/cvm8jc","ISSN":"09258574","issue":"1","journalAbbreviation":"Ecol. Eng.","language":"en","page":"7-22","source":"CrossRef","title":"Primary production, nutrient dynamics, and accretion of a coastal freshwater forested wetland assimilation system in Louisiana","volume":"34","author":[{"family":"Brantley","given":"Christopher G."},{"family":"Day","given":"John W."},{"family":"Lane","given":"Robert R."},{"family":"Hyfield","given":"Emily"},{"family":"Day","given":"Jason N."},{"family":"Ko","given":"Jae-Young"}],"issued":{"date-parts":[["2008",8]]}}},{"id":10406,"uris":["http://zotero.org/groups/2790555/items/MTCI2VCT"],"itemData":{"id":10406,"type":"article-journal","abstract":"Coastal swamps are among the rapidly vanishing wetland habitats in Louisiana due to accelerated sea-level rise and hydrological alterations that alter the natural flooding regime. In particular, the swamp forests of Lake Maurepas, Louisiana, have degraded considerably, and research regarding their condition might suggest approaches for their restoration. We measured forest structure, species composition, tree mortality, annual aboveground net primary production (ANPP) of woody species, and aboveground biomass allocation to leaf litter and wood, and soil strength at forty study plots within the Lake Maurepas basin over 5 years to evaluate the current condition of this coastal forested wetland. Local measures of salinity and regional measures of flooding were used to predict ANPP and aboveground biomass allocation. The 5-year study period included an intense drought as well as years characterized by hurricane-induced flooding. The forty study plots could be divided into four distinct habitat clusters based on standing biomass, structural variables, and salinity. The majority of the plots were co-dominated by Taxodium distichum and Nyssa aquatica. Acer rubrum var. drummondii and Fraxinus pennsylvanica were common mid-story species throughout the western and southern parts of the study area, while Salix nigra, Morella cerifera, and Triadica sebiferum were more important at the more degraded plots in the eastern part of the basin. Annual mean soil salinity reached unprecedented level (2–5psu) during the drought and cumulative tree mortality reached up to 85% in areas characterized by frequent saltwater intrusions. The ANPP was higher during the drought period in 2000–2001 than during subsequent years, and was dominated by T. distichum. At most sampling plots, litter production exceeded wood production annually. A negative correlation between aboveground biomass allocation to litter and flooding indicated that biomass allocation shifted from litter toward wood during wet years. Overall, the majority of the plots sampled produced less than 400gm−2yr−1 of aboveground biomass annually due to the interacting negative effects of saltwater intrusion and prolonged flooding with nutrient-poor water. Reintroduction of Mississippi River water to the Maurepas system has the potential to benefit these swamps greatly by restoring a greater flow of nutrients, sediments, and fresh water through the wetlands. The historically slow (i.e., multi-decadal) process of swamp deterioration was greatly sped by low salinity (i.e., 2–5psu) saltwater intrusions during a drought in 1999–2000. The majority of the coastal swamps in the Pontchartrain Basin are deteriorating, and most of this swamp area will be lost to open water in the foreseeable future if no restoration action is taken.","container-title":"Forest Ecology and Management","DOI":"10.1016/j.foreco.2008.05.040","ISSN":"0378-1127","issue":"5","journalAbbreviation":"Forest Ecol Manage.","page":"937-948","source":"ScienceDirect","title":"Through droughts and hurricanes: Tree mortality, forest structure, and biomass production in a coastal swamp targeted for restoration in the Mississippi River Deltaic Plain","title-short":"Through droughts and hurricanes","volume":"256","author":[{"family":"Hoeppner","given":"Susanne S."},{"family":"Shaffer","given":"Gary P."},{"family":"Perkins","given":"Thaϊs E."}],"issued":{"date-parts":[["2008",8,20]]}}},{"id":9614,"uris":["http://zotero.org/groups/2790555/items/9PSUHAMQ"],"itemData":{"id":9614,"type":"article-journal","abstract":"This study was conducted at three locations in a bottomland hardwood forest with a\ndistinct elevation and hydrological gradient: ridge (high, dry), transition, and swamp\n(low, wet). At each location, concentrations of soil greenhouse gases (N2O, CH4, and\nCO2), their fluxes to the atmosphere, and soil redox potential (Eh) were measured\nbimonthly, while the water table was monitored every day. Results show that soil\nEh was significantly (Po0.001) correlated with water table: a negative correlation at the\nridge and transition locations, but a positive correlation at the permanently flooded\nswamp location. Both soil gas profile analysis and surface gas fluxmeasurements indicated\nthat the ridge and transition locations could be a sink of atmospheric CH4, especially in\nwarm seasons, but generally functioned as a minor source of CH4 in cool seasons. The\nswamp location was a major source of CH4, and the emission rate was higher in the warm\nseasons (mean 28 and median 23mgm</w:instrText>
            </w:r>
            <w:r w:rsidR="00E62A89">
              <w:rPr>
                <w:rFonts w:ascii="Cambria Math" w:hAnsi="Cambria Math" w:cs="Cambria Math"/>
                <w:sz w:val="18"/>
                <w:szCs w:val="18"/>
              </w:rPr>
              <w:instrText>⬚</w:instrText>
            </w:r>
            <w:r w:rsidR="00E62A89">
              <w:rPr>
                <w:sz w:val="18"/>
                <w:szCs w:val="18"/>
              </w:rPr>
              <w:instrText>2 h</w:instrText>
            </w:r>
            <w:r w:rsidR="00E62A89">
              <w:rPr>
                <w:rFonts w:ascii="Cambria Math" w:hAnsi="Cambria Math" w:cs="Cambria Math"/>
                <w:sz w:val="18"/>
                <w:szCs w:val="18"/>
              </w:rPr>
              <w:instrText>⬚</w:instrText>
            </w:r>
            <w:r w:rsidR="00E62A89">
              <w:rPr>
                <w:sz w:val="18"/>
                <w:szCs w:val="18"/>
              </w:rPr>
              <w:instrText>1) than in the cool seasons (both mean and\nmedian 13mgm</w:instrText>
            </w:r>
            <w:r w:rsidR="00E62A89">
              <w:rPr>
                <w:rFonts w:ascii="Cambria Math" w:hAnsi="Cambria Math" w:cs="Cambria Math"/>
                <w:sz w:val="18"/>
                <w:szCs w:val="18"/>
              </w:rPr>
              <w:instrText>⬚</w:instrText>
            </w:r>
            <w:r w:rsidR="00E62A89">
              <w:rPr>
                <w:sz w:val="18"/>
                <w:szCs w:val="18"/>
              </w:rPr>
              <w:instrText>2 h</w:instrText>
            </w:r>
            <w:r w:rsidR="00E62A89">
              <w:rPr>
                <w:rFonts w:ascii="Cambria Math" w:hAnsi="Cambria Math" w:cs="Cambria Math"/>
                <w:sz w:val="18"/>
                <w:szCs w:val="18"/>
              </w:rPr>
              <w:instrText>⬚</w:instrText>
            </w:r>
            <w:r w:rsidR="00E62A89">
              <w:rPr>
                <w:sz w:val="18"/>
                <w:szCs w:val="18"/>
              </w:rPr>
              <w:instrText>1). Average CO2 emission rate was 251, 380 and 52mgm</w:instrText>
            </w:r>
            <w:r w:rsidR="00E62A89">
              <w:rPr>
                <w:rFonts w:ascii="Cambria Math" w:hAnsi="Cambria Math" w:cs="Cambria Math"/>
                <w:sz w:val="18"/>
                <w:szCs w:val="18"/>
              </w:rPr>
              <w:instrText>⬚</w:instrText>
            </w:r>
            <w:r w:rsidR="00E62A89">
              <w:rPr>
                <w:sz w:val="18"/>
                <w:szCs w:val="18"/>
              </w:rPr>
              <w:instrText>2 h</w:instrText>
            </w:r>
            <w:r w:rsidR="00E62A89">
              <w:rPr>
                <w:rFonts w:ascii="Cambria Math" w:hAnsi="Cambria Math" w:cs="Cambria Math"/>
                <w:sz w:val="18"/>
                <w:szCs w:val="18"/>
              </w:rPr>
              <w:instrText>⬚</w:instrText>
            </w:r>
            <w:r w:rsidR="00E62A89">
              <w:rPr>
                <w:sz w:val="18"/>
                <w:szCs w:val="18"/>
              </w:rPr>
              <w:instrText>1 for the\nridge, transition and swamp location, respectively. At each location, higher CO2 emission\nrates were also found in the warm seasons. The lowest CO2 emission rate was found at\nthe swamp location, where soil C content was the highest, due to less microbial biomass,\nless CO2 production in such an anaerobic environment, and greater difficulty of CO2\ndiffusion to the atmosphere. Cumulative global warming potential emission from these\nthree greenhouse gases was in an order of swamp4transition4ridge location. The ratio\nCO2/CH4 production in soil is a critical factor for evaluating the overall benefit of soil C\nsequestration, which can be greatly offset by CH4 production and emission.\nKeywords: carbon sequestration, global warming potential, greenhouse gas, methane, redox potential,\nsea level rise, wetland","container-title":"Global Change Biology","DOI":"10/dtgjf6","ISSN":"13541013, 13652486","issue":"4","journalAbbreviation":"Global Change Biol.","language":"en","page":"798-812","source":"CrossRef","title":"Effect of hydrological conditions on nitrous oxide, methane, and carbon dioxide dynamics in a bottomland hardwood forest and its implication for soil carbon sequestration","title-short":"Effect of hydrological conditions on nitrous oxide, methane, and carbon dioxide dynamics in a bottomland hardwood forest and its implication for soil carbon sequestration","volume":"14","author":[{"family":"Yu","given":"Kewei"},{"family":"Faulkner","given":"Stephen P."},{"family":"Baldwin","given":"Michael J."}],"issued":{"date-parts":[["2008"]]}}},{"id":10646,"uris":["http://zotero.org/groups/2790555/items/A58D8Q6H"],"itemData":{"id":10646,"type":"article-journal","abstract":"In general, many of the swamps of coastal Louisiana, U.S.A., are highly degraded, and several are converting to marsh and open water. The initial purpose of this study was to determine the feasibility, and potential benefits, of reintroducing waters of the Mississippi River into the degraded Maurepas swamp, located in the Pontchartrain Basin of southeastern Louisiana. Early in the year 2000, 20 sites were selected in three different habitat types characterized by moving fresh water (throughput sites), stagnant, nearly permanently flooded (relict sites), and areas prone to saltwater intrusion events (degraded sites). Paired 625-m2 plots were outfitted with litter-fall traps, herbaceous subplots, and wells for measuring interstitial soil salinity. From 2000–2006, diameter growth was followed for 2219 trees, and herbaceous production was estimated using mid- and late-growing season clip plots. Overall, primary production was dominated by trees early in the study, but switched to herbaceous vegetation as parts of the ecosystem converted from swamp to marsh. Salt stress was the primary cause of tree mortality in areas of low density, whereas stagnant standing water and nutrient deprivation appear to be the largest stressors at interior (relict) sites. The 2005 hurricanes caused wind throw of up to 100% of midstory trees in areas of low canopy density and was negligible when basal areas of baldcypress (Taxodium distichum) and water tupelo (Nyssa aquatica) were greater than 30 m2 ha−1. Using spectral signatures of the 625-m2 plots, the aerial extent of habitat types revealed that the vast majority of the Maurepas swamp is either relict or degraded. Without a river reintroduction in the near future, as well as harnessing other point and nonpoint sources of fresh water, the Maurepas swamp will continue its clear trajectory to marsh and open water.","container-title":"Journal of Coastal Research","DOI":"10/cpz4ds","ISSN":"0749-0208","journalAbbreviation":"J Coast Res.","page":"152-165","source":"jcronline.org (Atypon)","title":"Degradation of baldcypress–water tupelo swamp to marsh and open water in Southeastern Louisiana, U.S.A.: An irreversible trajectory?","title-short":"Degradation of Baldcypress–Water Tupelo Swamp to Marsh and Open Water in Southeastern Louisiana, U.S.A.","volume":"10054","author":[{"family":"Shaffer","given":"Gary P."},{"family":"Wood","given":"William B."},{"family":"Hoeppner","given":"Susanne S."},{"family":"Perkins","given":"Thais E."},{"family":"Zoller","given":"Jason"},{"family":"Kandalepas","given":"Demetra"}],"issued":{"date-parts":[["2009",9,1]]}}},{"id":9276,"uris":["http://zotero.org/groups/2790555/items/ZHQCSFMU"],"itemData":{"id":9276,"type":"thesis","abstract":"METHODS....................................................................................................................................... 28 SAMPLE COLLECTION ........................................................................................................ 28 DENITRIFICATION EXPERIMENTS ...................................................................................... 29 STATISTICAL ANALYSIS ...................................................................................................... 31\nRESULTS ......................................................................................................................................... 32 BACKGROUND DENITRIFICATION RATES .......................................................................... 32 POTENTIAL DENITRIFICATION RATES................................................................................ 32 RESPONSE TIME TO NITRATE LOADING ............................................................................ 33 RELATIONSHIP BETWEEN NITRATE AND DENITRIFICATION ............................................. 33 ASSOCIATIONS WITH SOIL COMPOSITION........................................................................ 35 DISCUSSION.................................................................................................................................... 36\nCONCLUSION.................................................................................................................................. 39 LITERATURE CITED ......................................................................................................................... 40","event-place":"Renewable Natural Resources","genre":"Dissertation","language":"en","publisher":"Louisiana State University","publisher-place":"Renewable Natural Resources","source":"Zotero","title":"The effect of habitat change on nutrient removal in the Atchafalaya River Basin, Louisiana","author":[{"family":"Scaroni","given":"Amy E"}],"issued":{"date-parts":[["2011"]]}}},{"id":10536,"uris":["http://zotero.org/groups/2790555/items/LCY5YUVV"],"itemData":{"id":10536,"type":"article-journal","container-title":"Hydrobiologia","DOI":"10/c3g37r","ISSN":"0018-8158, 1573-5117","issue":"1","journalAbbreviation":"Hydrobiologia","language":"en","page":"17-25","source":"DOI.org (Crossref)","title":"Comparison of denitrification characteristics among three habitat types of a large river floodplain: Atchafalaya River Basin, Louisiana","title-short":"Comparison of denitrification characteristics among three habitat types of a large river floodplain","volume":"658","author":[{"family":"Scaroni","given":"Amy E."},{"family":"Nyman","given":"John A."},{"family":"Lindau","given":"Charles W."}],"issued":{"date-parts":[["2011",1]]}}},{"id":10845,"uris":["http://zotero.org/groups/2790555/items/NLM9A87Z"],"itemData":{"id":10845,"type":"article-journal","container-title":"Water","DOI":"10.3390/w8030101","ISSN":"2073-4441","issue":"3","journalAbbreviation":"Water","language":"en","page":"101","source":"DOI.org (Crossref)","title":"Decline of the Maurepas Swamp, Pontchartrain Basin, Louisiana, and approaches to restoration","volume":"8","author":[{"family":"Shaffer","given":"Gary"},{"family":"Day","given":"John"},{"family":"Kandalepas","given":"Demetra"},{"family":"Wood","given":"William"},{"family":"Hunter","given":"Rachael"},{"family":"Lane","given":"Robert"},{"family":"Hillmann","given":"Eva"}],"issued":{"date-parts":[["2016",3,15]]}}},{"id":9269,"uris":["http://zotero.org/groups/2790555/items/YQ9KPDN3"],"itemData":{"id":9269,"type":"article-journal","abstract":"Secondarily treated municipal effluent has been discharged since 2006 into a 1439 ha cypress-tupelo forested wetland in coastal Louisiana. Changes in carbon stocks of trees and soils as well as emissions of methane and nitrous oxide were measured over a one-year period and compared to baseline conditions derived from the scientific literature. Methods and equations were applied from the American Carbon Registry (ACR) wetland carbon offset methodology ‘Restoration of Degraded Deltaic Wetlands of the Mississippi Delta’. The cumulative carbon sequestered in the Project scenario was 4090 mt CO2e/y by trees and 13,752 mt CO2e/y by soils, while 32,982 mt CO2e/y of greenhouse gasses were emitted. The Baseline scenario sequestered 3790 mt CO2e/y by trees and 2435 mt CO2e/y by soils while emitting 70,870 mt CO2e/y in greenhouse gasses. The net difference between the Project and Baseline emissions was 11,617 mt CO2e/y if greenhouse gasses were omitted and 49,505 mt CO2e/y if greenhouse gasses were included. This study demonstrates the potential of using forested wetlands receiving treated municipal effluent for the net sequestration of carbon.","container-title":"Wetlands","DOI":"10/gb4skr","ISSN":"0277-5212, 1943-6246","issue":"5","journalAbbreviation":"Wetlands","language":"en","page":"861-873","source":"DOI.org (Crossref)","title":"Carbon sequestration at a forested wetland receiving treated municipal effluent","volume":"37","author":[{"family":"Lane","given":"Robert R."},{"family":"Mack","given":"Sarah K."},{"family":"Day","given":"John W."},{"family":"Kempka","given":"Richard"},{"family":"Brady","given":"L. J."}],"issued":{"date-parts":[["2017",10]]}}},{"id":9337,"uris":["http://zotero.org/groups/2790555/items/MJTRCDDV"],"itemData":{"id":9337,"type":"article-journal","abstract":"Forested wetlands play a vital role in the coastal zone, but their vulnerability to coastal change—and the impact to high-value ecosystem services—is not as well established as that of more seaward systems such as saltmarsh and mangroves. To address this need, we develop field-based stand density classes, then classify baldcypress-water tupelo (Taxodium distichum (L.) Rich var. distichum; Nyssa aquatica L.) stand density on the Mississippi River delta using a multitemporal ordination of reflectance from Landsat Thematic Mapper imagery. Approximately 29, 50, and 21% of forest was classified as full canopy, intermediate, and open canopy, respectively. We estimate stand-level live-stem carbon stocks and annual accumulation rates of 96, 67, and 39</w:instrText>
            </w:r>
            <w:r w:rsidR="00E62A89">
              <w:rPr>
                <w:rFonts w:ascii="Times New Roman" w:hAnsi="Times New Roman" w:cs="Times New Roman"/>
                <w:sz w:val="18"/>
                <w:szCs w:val="18"/>
              </w:rPr>
              <w:instrText> </w:instrText>
            </w:r>
            <w:r w:rsidR="00E62A89">
              <w:rPr>
                <w:sz w:val="18"/>
                <w:szCs w:val="18"/>
              </w:rPr>
              <w:instrText>t-C ha</w:instrText>
            </w:r>
            <w:r w:rsidR="00E62A89">
              <w:rPr>
                <w:rFonts w:cs="Palatino Linotype"/>
                <w:sz w:val="18"/>
                <w:szCs w:val="18"/>
              </w:rPr>
              <w:instrText>−</w:instrText>
            </w:r>
            <w:r w:rsidR="00E62A89">
              <w:rPr>
                <w:sz w:val="18"/>
                <w:szCs w:val="18"/>
              </w:rPr>
              <w:instrText>1 and 1.9, 1.4 and 0.8</w:instrText>
            </w:r>
            <w:r w:rsidR="00E62A89">
              <w:rPr>
                <w:rFonts w:ascii="Times New Roman" w:hAnsi="Times New Roman" w:cs="Times New Roman"/>
                <w:sz w:val="18"/>
                <w:szCs w:val="18"/>
              </w:rPr>
              <w:instrText> </w:instrText>
            </w:r>
            <w:r w:rsidR="00E62A89">
              <w:rPr>
                <w:sz w:val="18"/>
                <w:szCs w:val="18"/>
              </w:rPr>
              <w:instrText>t-C ha</w:instrText>
            </w:r>
            <w:r w:rsidR="00E62A89">
              <w:rPr>
                <w:rFonts w:cs="Palatino Linotype"/>
                <w:sz w:val="18"/>
                <w:szCs w:val="18"/>
              </w:rPr>
              <w:instrText>−</w:instrText>
            </w:r>
            <w:r w:rsidR="00E62A89">
              <w:rPr>
                <w:sz w:val="18"/>
                <w:szCs w:val="18"/>
              </w:rPr>
              <w:instrText>1 yr</w:instrText>
            </w:r>
            <w:r w:rsidR="00E62A89">
              <w:rPr>
                <w:rFonts w:cs="Palatino Linotype"/>
                <w:sz w:val="18"/>
                <w:szCs w:val="18"/>
              </w:rPr>
              <w:instrText>−</w:instrText>
            </w:r>
            <w:r w:rsidR="00E62A89">
              <w:rPr>
                <w:sz w:val="18"/>
                <w:szCs w:val="18"/>
              </w:rPr>
              <w:instrText>1 for full-canopy, intermediate, and open-canopy forest, respectively. Regional live-stem carbon stocks are</w:instrText>
            </w:r>
            <w:r w:rsidR="00E62A89">
              <w:rPr>
                <w:rFonts w:ascii="Times New Roman" w:hAnsi="Times New Roman" w:cs="Times New Roman"/>
                <w:sz w:val="18"/>
                <w:szCs w:val="18"/>
              </w:rPr>
              <w:instrText> </w:instrText>
            </w:r>
            <w:r w:rsidR="00E62A89">
              <w:rPr>
                <w:rFonts w:ascii="Cambria Math" w:hAnsi="Cambria Math" w:cs="Cambria Math"/>
                <w:sz w:val="18"/>
                <w:szCs w:val="18"/>
              </w:rPr>
              <w:instrText>∼ </w:instrText>
            </w:r>
            <w:r w:rsidR="00E62A89">
              <w:rPr>
                <w:sz w:val="18"/>
                <w:szCs w:val="18"/>
              </w:rPr>
              <w:instrText>69</w:instrText>
            </w:r>
            <w:r w:rsidR="00E62A89">
              <w:rPr>
                <w:rFonts w:ascii="Times New Roman" w:hAnsi="Times New Roman" w:cs="Times New Roman"/>
                <w:sz w:val="18"/>
                <w:szCs w:val="18"/>
              </w:rPr>
              <w:instrText> </w:instrText>
            </w:r>
            <w:r w:rsidR="00E62A89">
              <w:rPr>
                <w:sz w:val="18"/>
                <w:szCs w:val="18"/>
              </w:rPr>
              <w:instrText xml:space="preserve">t-C ha-1, and total carbon and annual increment for all forest analyzed are </w:instrText>
            </w:r>
            <w:r w:rsidR="00E62A89">
              <w:rPr>
                <w:rFonts w:ascii="Cambria Math" w:hAnsi="Cambria Math" w:cs="Cambria Math"/>
                <w:sz w:val="18"/>
                <w:szCs w:val="18"/>
              </w:rPr>
              <w:instrText>∼</w:instrText>
            </w:r>
            <w:r w:rsidR="00E62A89">
              <w:rPr>
                <w:sz w:val="18"/>
                <w:szCs w:val="18"/>
              </w:rPr>
              <w:instrText xml:space="preserve">17 Mt-C and </w:instrText>
            </w:r>
            <w:r w:rsidR="00E62A89">
              <w:rPr>
                <w:rFonts w:ascii="Cambria Math" w:hAnsi="Cambria Math" w:cs="Cambria Math"/>
                <w:sz w:val="18"/>
                <w:szCs w:val="18"/>
              </w:rPr>
              <w:instrText>∼</w:instrText>
            </w:r>
            <w:r w:rsidR="00E62A89">
              <w:rPr>
                <w:sz w:val="18"/>
                <w:szCs w:val="18"/>
              </w:rPr>
              <w:instrText xml:space="preserve">0.34 Mt-C yr-1. Much of the cypress-tupelo forest on the delta stores carbon at rates significantly below the potential of fully stocked stands, yet overall rates of accumulation are comparable to other forest types and coastal systems. Delta-wide, there is a well-defined coastward gradient of stand density, which has important implications for the future of deltaic forests and their ecosystem services. The similarities between forest density gradients and well-documented marsh loss patterns in the region suggest that the same processes driving coastal marsh loss—relative sea level rise exacerbated by human activity—are likely responsible for a second, more gradual interface of land loss at the marsh-forest boundary. Results highlight the potential response of coastal forests to continued environmental change—and associated impacts to the carbon cycle—and provide a baseline for detecting future change to forests on the Mississippi River delta.","container-title":"Forest Ecology and Management","DOI":"10.1016/j.foreco.2019.03.046","ISSN":"0378-1127","journalAbbreviation":"Forest Ecol Manage.","language":"en","page":"106-114","source":"ScienceDirect","title":"Stand density and carbon storage in cypress-tupelo wetland forests of the Mississippi River delta","volume":"441","author":[{"family":"Edwards","given":"Brandon L."},{"family":"Allen","given":"Scott T."},{"family":"Braud","given":"DeWitt H."},{"family":"Keim","given":"Richard F."}],"issued":{"date-parts":[["2019",6,1]]}}},{"id":10859,"uris":["http://zotero.org/groups/2790555/items/5W33DU3Z"],"itemData":{"id":10859,"type":"article-journal","container-title":"Journal of Geophysical Research: Biogeosciences","DOI":"10.1029/2018JG004533","ISSN":"2169-8953, 2169-8961","issue":"3","journalAbbreviation":"J Geophys Res Biogeosci.","language":"en","page":"663-677","source":"DOI.org (Crossref)","title":"Sediment trapping and carbon sequestration in floodplains of the lower Atchafalaya Basin, LA: Allochthonous versus autochthonous carbon sources","title-short":"Sediment Trapping and Carbon Sequestration in Floodplains of the Lower Atchafalaya Basin, LA","volume":"124","author":[{"family":"Hupp","given":"Cliff R."},{"family":"Kroes","given":"Daniel E."},{"family":"Noe","given":"Gregory B."},{"family":"Schenk","given":"Edward R."},{"family":"Day","given":"Richard H."}],"issued":{"date-parts":[["2019",3]]}}}],"schema":"https://github.com/citation-style-language/schema/raw/master/csl-citation.json"} </w:instrText>
            </w:r>
            <w:r>
              <w:rPr>
                <w:sz w:val="18"/>
                <w:szCs w:val="18"/>
              </w:rPr>
              <w:fldChar w:fldCharType="separate"/>
            </w:r>
            <w:r w:rsidR="00E62A89" w:rsidRPr="00E62A89">
              <w:rPr>
                <w:rFonts w:cs="Times New Roman"/>
                <w:sz w:val="18"/>
                <w:szCs w:val="24"/>
              </w:rPr>
              <w:t>[2–23]</w:t>
            </w:r>
            <w:r>
              <w:rPr>
                <w:sz w:val="18"/>
                <w:szCs w:val="18"/>
              </w:rPr>
              <w:fldChar w:fldCharType="end"/>
            </w:r>
          </w:p>
        </w:tc>
      </w:tr>
      <w:tr w:rsidR="002F7B48" w:rsidRPr="009E0CAC" w14:paraId="62F91C40" w14:textId="77777777" w:rsidTr="00A45F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1D87888" w14:textId="77777777" w:rsidR="002F7B48" w:rsidRDefault="002F7B48" w:rsidP="00A45FD6">
            <w:pPr>
              <w:pStyle w:val="MDPI42tablebody"/>
            </w:pPr>
            <w:r>
              <w:t>Fresh Marsh</w:t>
            </w:r>
          </w:p>
        </w:tc>
        <w:tc>
          <w:tcPr>
            <w:tcW w:w="833" w:type="pct"/>
          </w:tcPr>
          <w:p w14:paraId="5894C828"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-22.2 ± 3.8</w:t>
            </w:r>
          </w:p>
        </w:tc>
        <w:tc>
          <w:tcPr>
            <w:tcW w:w="833" w:type="pct"/>
          </w:tcPr>
          <w:p w14:paraId="5ECF7CB2"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-7.4 ± 1.2</w:t>
            </w:r>
          </w:p>
        </w:tc>
        <w:tc>
          <w:tcPr>
            <w:tcW w:w="833" w:type="pct"/>
          </w:tcPr>
          <w:p w14:paraId="58EFB485"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44.6 ± 15.2</w:t>
            </w:r>
          </w:p>
        </w:tc>
        <w:tc>
          <w:tcPr>
            <w:tcW w:w="834" w:type="pct"/>
          </w:tcPr>
          <w:p w14:paraId="7EED35D1"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15.0 ± 6.2</w:t>
            </w:r>
          </w:p>
        </w:tc>
        <w:tc>
          <w:tcPr>
            <w:tcW w:w="834" w:type="pct"/>
          </w:tcPr>
          <w:p w14:paraId="6D369B85" w14:textId="1868FB03" w:rsidR="002F7B48" w:rsidRPr="000E21DC" w:rsidRDefault="002F7B48" w:rsidP="00A45FD6">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fldChar w:fldCharType="begin"/>
            </w:r>
            <w:r w:rsidR="00E62A89">
              <w:rPr>
                <w:sz w:val="18"/>
                <w:szCs w:val="18"/>
              </w:rPr>
              <w:instrText xml:space="preserve"> ADDIN ZOTERO_ITEM CSL_CITATION {"citationID":"GMmSHsWU","properties":{"formattedCitation":"[9,24\\uc0\\u8211{}46]","plainCitation":"[9,24–46]","noteIndex":0},"citationItems":[{"id":9272,"uris":["http://zotero.org/groups/2790555/items/ICC5J5MR"],"itemData":{"id":9272,"type":"article-journal","abstract":"ABSTRACTRecent studies suggest that coastal ecosystems can bury significantly more C than tropical forests, indicating that continued coastal development and exposure to sea level rise and storms will have global biogeochemical consequences. The Florida Coastal Everglades Long Term Ecological Research (FCE LTER) site provides an excellent subtropical system for examining carbon (C) balance because of its exposure to historical changes in freshwater distribution and sea level rise and its history of significant long-term carbon-cycling studies. FCE LTER scientists used net ecosystem C balance and net ecosystem exchange data to estimate C budgets for riverine mangrove, freshwater marsh, and seagrass meadows, providing insights into the magnitude of C accumulation and lateral aquatic C transport. Rates of net C production in the riverine mangrove forest exceeded those reported for many tropical systems, including terrestrial forests, but there are considerable uncertainties around those estimates due to the high potential for gain and loss of C through aquatic fluxes. C production was approximately balanced between gain and loss in Everglades marshes; however, the contribution of periphyton increases uncertainty in these estimates. Moreover, while the approaches used for these initial estimates were informative, a resolved approach for addressing areas of uncertainty is critically needed for coastal wetland ecosystems. Once resolved, these C balance estimates, in conjunction with an understanding of drivers and key ecosystem feedbacks, can inform cross-system studies of ecosystem response to long-term changes in climate, hydrologic management, and other land use along coastlines.","container-title":"Oceanography","DOI":"10/grpfkv","ISSN":"1042-8275","issue":"3","note":"publisher: Oceanography Society","page":"98-107","source":"JSTOR","title":"Integrated carbon budget models for the Everglades terrestrial-coastal-oceanic gradient: Current status and needs for inter-site comparisons","title-short":"INTEGRATED CARBON BUDGET MODELS FOR THE EVERGLADES TERRESTRIAL-COASTAL-OCEANIC GRADIENT","volume":"26","author":[{"family":"Troxler","given":"Tiffany G."},{"family":"Gaiser","given":"Evelyn"},{"family":"Barr","given":"Jordan"},{"family":"Fuentes","given":"Jose D."},{"family":"Jaffé","given":"Rudolf"},{"family":"Childers","given":"Daniel L."},{"family":"Collado-Vides","given":"Ligia"},{"family":"Rivera-Monroy","given":"Victor H."},{"family":"Castañeda-Moya","given":"Edward"},{"family":"Anderson","given":"William"},{"family":"Chambers","given":"Randy"},{"family":"Chen","given":"Meilan"},{"family":"Coronado-Molina","given":"Carlos"},{"family":"Davis","given":"Stephen E."},{"family":"Engel","given":"Victor"},{"family":"Fitz","given":"Carl"},{"family":"Fourqurean","given":"James W."},{"family":"Frankovich","given":"Tom"},{"family":"Kominoski","given":"John S."},{"family":"Madden","given":"Christopher"},{"family":"Malone","given":"S. L."},{"family":"Oberbauer","given":"Steven F."},{"family":"Olivas","given":"Paulo"},{"family":"Richards","given":"Jennifer"},{"family":"Saunders","given":"Colin"},{"family":"Schedlbauer","given":"Jessica L."},{"family":"Scinto","given":"Leonard J."},{"family":"Sklar","given":"Fred"},{"family":"Smith","given":"Tom"},{"family":"Smoak","given":"Joseph M."},{"family":"Starr","given":"Gregory"},{"family":"Twilley","given":"Robert"},{"family":"Whelan","given":"Kevin"}],"issued":{"date-parts":[["2013"]]}}},{"id":9409,"uris":["http://zotero.org/groups/2790555/items/434DZK5Y"],"itemData":{"id":9409,"type":"article-journal","abstract":"Methane emissions fromthree wetland habitats in theMississippi River deltaic plain\nwere measured over a three year period. Flux data collected indicate that each habitat was a net\nsource of methane to the atmosphere throughout the year. Average emission from a Taxodium\ndistichum / Nyssa aquatica (bald cypress / water tupelo) swamp forest was 146 </w:instrText>
            </w:r>
            <w:r w:rsidR="00E62A89">
              <w:rPr>
                <w:rFonts w:ascii="Cambria Math" w:hAnsi="Cambria Math" w:cs="Cambria Math"/>
                <w:sz w:val="18"/>
                <w:szCs w:val="18"/>
              </w:rPr>
              <w:instrText>⬚</w:instrText>
            </w:r>
            <w:r w:rsidR="00E62A89">
              <w:rPr>
                <w:sz w:val="18"/>
                <w:szCs w:val="18"/>
              </w:rPr>
              <w:instrText xml:space="preserve"> 199 mg CH4\nm</w:instrText>
            </w:r>
            <w:r w:rsidR="00E62A89">
              <w:rPr>
                <w:rFonts w:ascii="Cambria Math" w:hAnsi="Cambria Math" w:cs="Cambria Math"/>
                <w:sz w:val="18"/>
                <w:szCs w:val="18"/>
              </w:rPr>
              <w:instrText>⬚⬚</w:instrText>
            </w:r>
            <w:r w:rsidR="00E62A89">
              <w:rPr>
                <w:sz w:val="18"/>
                <w:szCs w:val="18"/>
              </w:rPr>
              <w:instrText>2d</w:instrText>
            </w:r>
            <w:r w:rsidR="00E62A89">
              <w:rPr>
                <w:rFonts w:ascii="Cambria Math" w:hAnsi="Cambria Math" w:cs="Cambria Math"/>
                <w:sz w:val="18"/>
                <w:szCs w:val="18"/>
              </w:rPr>
              <w:instrText>⬚⬚</w:instrText>
            </w:r>
            <w:r w:rsidR="00E62A89">
              <w:rPr>
                <w:sz w:val="18"/>
                <w:szCs w:val="18"/>
              </w:rPr>
              <w:instrText xml:space="preserve">1 while emissions from a Sagittaria lancifolia (bulltongue) freshwater marsh averaged\n251 </w:instrText>
            </w:r>
            <w:r w:rsidR="00E62A89">
              <w:rPr>
                <w:rFonts w:ascii="Cambria Math" w:hAnsi="Cambria Math" w:cs="Cambria Math"/>
                <w:sz w:val="18"/>
                <w:szCs w:val="18"/>
              </w:rPr>
              <w:instrText>⬚</w:instrText>
            </w:r>
            <w:r w:rsidR="00E62A89">
              <w:rPr>
                <w:sz w:val="18"/>
                <w:szCs w:val="18"/>
              </w:rPr>
              <w:instrText xml:space="preserve"> 188 mg CH4 m</w:instrText>
            </w:r>
            <w:r w:rsidR="00E62A89">
              <w:rPr>
                <w:rFonts w:ascii="Cambria Math" w:hAnsi="Cambria Math" w:cs="Cambria Math"/>
                <w:sz w:val="18"/>
                <w:szCs w:val="18"/>
              </w:rPr>
              <w:instrText>⬚⬚</w:instrText>
            </w:r>
            <w:r w:rsidR="00E62A89">
              <w:rPr>
                <w:sz w:val="18"/>
                <w:szCs w:val="18"/>
              </w:rPr>
              <w:instrText>2d</w:instrText>
            </w:r>
            <w:r w:rsidR="00E62A89">
              <w:rPr>
                <w:rFonts w:ascii="Cambria Math" w:hAnsi="Cambria Math" w:cs="Cambria Math"/>
                <w:sz w:val="18"/>
                <w:szCs w:val="18"/>
              </w:rPr>
              <w:instrText>⬚⬚</w:instrText>
            </w:r>
            <w:r w:rsidR="00E62A89">
              <w:rPr>
                <w:sz w:val="18"/>
                <w:szCs w:val="18"/>
              </w:rPr>
              <w:instrText xml:space="preserve">1. Methane flux from a Spartina patens / Sagittaria lancifolia\nintermediate marsh was significantly higher, 912 </w:instrText>
            </w:r>
            <w:r w:rsidR="00E62A89">
              <w:rPr>
                <w:rFonts w:ascii="Cambria Math" w:hAnsi="Cambria Math" w:cs="Cambria Math"/>
                <w:sz w:val="18"/>
                <w:szCs w:val="18"/>
              </w:rPr>
              <w:instrText>⬚</w:instrText>
            </w:r>
            <w:r w:rsidR="00E62A89">
              <w:rPr>
                <w:sz w:val="18"/>
                <w:szCs w:val="18"/>
              </w:rPr>
              <w:instrText xml:space="preserve"> 923 mg CH4 m</w:instrText>
            </w:r>
            <w:r w:rsidR="00E62A89">
              <w:rPr>
                <w:rFonts w:ascii="Cambria Math" w:hAnsi="Cambria Math" w:cs="Cambria Math"/>
                <w:sz w:val="18"/>
                <w:szCs w:val="18"/>
              </w:rPr>
              <w:instrText>⬚⬚</w:instrText>
            </w:r>
            <w:r w:rsidR="00E62A89">
              <w:rPr>
                <w:sz w:val="18"/>
                <w:szCs w:val="18"/>
              </w:rPr>
              <w:instrText>2d</w:instrText>
            </w:r>
            <w:r w:rsidR="00E62A89">
              <w:rPr>
                <w:rFonts w:ascii="Cambria Math" w:hAnsi="Cambria Math" w:cs="Cambria Math"/>
                <w:sz w:val="18"/>
                <w:szCs w:val="18"/>
              </w:rPr>
              <w:instrText>⬚⬚</w:instrText>
            </w:r>
            <w:r w:rsidR="00E62A89">
              <w:rPr>
                <w:sz w:val="18"/>
                <w:szCs w:val="18"/>
              </w:rPr>
              <w:instrText>1. Seasonal variation\nwas significant with emissions being higher in the late summer and early fall. Significant\ndiurnal emissions were observed from the Sagittaria lancifolia marsh site. Soil temperature (5\nand 10 cm depths) was found to be significantly correlated with methane emission from the\nthree sites.","container-title":"Biogeochemistry","DOI":"10/bqvkjw","issue":"3","page":"227–236","source":"Google Scholar","title":"Methane flux from Mississippi River deltaic plain wetlands","volume":"37","author":[{"family":"Alford","given":"Douglas P."},{"family":"Delaune","given":"Ronald D."},{"family":"Lindau","given":"Charles W."}],"issued":{"date-parts":[["1997"]]}}},{"id":9722,"uris":["http://zotero.org/groups/2790555/items/LXDB7QGA"],"itemData":{"id":9722,"type":"article-journal","abstract":"A \nseasonal \nstudy \nof \nmethane release \nfrom \nadjoining \nsalt, \nbrackish \nand  fresh \nmarsh sediment and \nthe \nadjacent \nopen  water \nareas \nin  Louisiana’s \nBarataria \nBasin \nindicates \nthat \nmethane emission \nis \na  significant  process \nin \nthe \ncarbon \nand \nenergy \nflow \nof \nthe  ecosystem.  Methane \nemission  was \ninversely \nrelated  to  salinity  and  sulfate \nconcentration, \nwith \nmethane increasing \nand \nsalinity  and \nsulfate  decreasing \nwith \nincreasing \ndistance \nfrom \nthe \ncoast. \nThe \nannual \namounts \nof \nmethane \nevolved  were \n4.3, \n73 \nand \n160 \ng \nC \nm-2 \nfor  the \nsalt, \nbrackish  and \nfresh \nmarshes, \nrespectively. \nIn \nvitro \nexperiments \nshow \nthat \nmethane \nproduction \nis \nsensitive \nto \nthe \naddition \nof \nsulfate, \nhigh \nconcentrations \n(10 \nmM \nSO,) \ninhibiting methane evolution","container-title":"Tellus B: Chemical and Physical Meteorology","DOI":"10/gh4wht","ISSN":"1600-0889","issue":"1","journalAbbreviation":"Tellus B: Chem. Phys. Meteorol.","language":"en","page":"8-15","source":"CrossRef","title":"Methane release from Gulf coast wetlands","volume":"35","author":[{"family":"DeLaune","given":"Ronald D."},{"family":"Smith","given":"Chris J."},{"family":"Patrick","given":"William H."}],"issued":{"date-parts":[["1983",1]]}}},{"id":10414,"uris":["http://zotero.org/groups/2790555/items/7VQ9YYPE"],"itemData":{"id":10414,"type":"article-journal","abstract":"This article is in Free Access Publication and may be downloaded using the “Download Full Text PDF” link at right.","container-title":"Limnology and Oceanography","DOI":"10.4319/lo.1983.28.3.0494","ISSN":"1939-5590","issue":"3","journalAbbreviation":"Limnol. Oceanogr.","language":"en","page":"494-502","source":"Wiley Online Library","title":"Sedimentation, accretion, and subsidence in marshes of Barataria Basin, Louisiana","volume":"28","author":[{"family":"Hatton","given":"R. S."},{"family":"DeLaune","given":"R. D."},{"family":"Patrick","given":"W. H."}],"issued":{"date-parts":[["1983",5,1]]}}},{"id":10473,"uris":["http://zotero.org/groups/2790555/items/MRYBTS8L"],"itemData":{"id":10473,"type":"article-journal","abstract":"Nitrous oxide evolution may contribute to partial destruction of the ozone layer in the stratosphere. A two year study of the release of NzO from adjoining salt, brackish, and fresh marsh sediment indicates that the annual emission was 3 1, 48, and 55 mg N mm2respectively. Emission from open water area was less than the corresponding emission from the marsh sediment. In vilro experiments indicate that the N20 emission was increased when the sediment was drained for extended periods of time. The addition of NO; significantly increased the rate of NZO evolution, indicating that a large potential for de&amp;r&amp;cation exists in the anoxic sediment. Appreciable losses of NzO would only be expected when the marshes receive an extraneous source of nitrate such as sewage and/or wastewater. The contribution of the Gulf Coast wetlands to the atmospheric NzO balance is estimated to be 3.3 X lo9 g NZO. The maximum average daily emission was equivalent to I .5 g N,O-N ha-‘, which is less than the measured emission from uncultivated soils (MOSIER etal.,1981) but greater than the estimates from noncropped land (CAST, 1976).","container-title":"Geochimica et Cosmochimica Acta","DOI":"10/fvxsvc","ISSN":"00167037","issue":"10","journalAbbreviation":"Geochimica et Cosmochimica Acta","language":"en","page":"1805-1814","source":"DOI.org (Crossref)","title":"Nitrous oxide emission from Gulf Coast wetlands","volume":"47","author":[{"family":"Smith","given":"C.J."},{"family":"DeLaune","given":"R.D."},{"family":"Patrick","given":"W.H."}],"issued":{"date-parts":[["1983",10]]}}},{"id":10337,"uris":["http://zotero.org/groups/2790555/items/VU4FU7JL"],"itemData":{"id":10337,"type":"article-journal","abstract":"Direct measurements of CO2 fluxes were made in salt, brackish and freshwater marshes and parallel adjacent open water areas in Barataria Basin, Louisiana. Vertical flux density was determined by monitoring the accumulation of CO2 in aluminum chambers placed over the water or sediment surfaces. Annual CO2 fluxes were 418, 180 and 618 g Cm−2 from the salt, brackish and freshwater marsh, respectively. Water bodies adjacent to the marsh evolved 103, 54 and 242 g CO2-Cm−2yr−1 to the atmosphere from saline, brackish and freshwater lakes, respectively. The role these marshes play in serving as a major carbon sink was determined from the carbon content of the sediment, vertical accretion rates and the bulk density of the sediment. Accretion rates were calculated from the depth in the sediment of the 1963 horizon, the year of peak 137Cs fallout. Net carbon accumulation was essentially the same in all three marshes; 183, 296 and 224 g Cm−2yr−1 from the salt, brackish and fresh marsh, respectively. Data presented suggest a limited net export of carbon from these coastal marshes. A large percentage of fixed carbon remained on the marsh, being immobilized in accretionary processes or lost to the atmosphere as CO2.","container-title":"Estuarine, Coastal and Shelf Science","DOI":"10/ffk8tt","journalAbbreviation":"Estuar Coast Shelf Sci.","page":"21-29","title":"Carbon dioxide emission and carbon accumulation in coastal wetlands","volume":"17","author":[{"family":"Smith","given":"C.J."},{"family":"DeLaune","given":"R. D."},{"family":"Patrick Jr","given":"W.H."}],"issued":{"date-parts":[["1983"]]}}},{"id":10743,"uris":["http://zotero.org/groups/2790555/items/EXVKQYCU"],"itemData":{"id":10743,"type":"article-journal","container-title":"Marine ecology progress series. Oldendorf","issue":"3","journalAbbreviation":"Mar Ecol Prog Ser","page":"255–260","source":"Google Scholar","title":"Carbon flow in coastal Louisiana. Marine Ecology Progress Series","volume":"24","author":[{"family":"Feijtel","given":"T. C."},{"family":"DeLaune","given":"R. D."},{"family":"Patrick Jr","given":"W. H."}],"issued":{"date-parts":[["1985"]]}}},{"id":10481,"uris":["http://zotero.org/groups/2790555/items/N76EZPLH"],"itemData":{"id":10481,"type":"article-journal","abstract":"During two growing seasons, the monthly biomass was determined for the dominant plants at three tidal marshes within the lower Pearl River basin, Louisiana. There were differences between the two growing seasons in ecological dominance and production. Ten species (Spartina patens, Sagittaria lancifolia, Phyla nodiflora, Peltandra virginica, Vigna luteola, Saururus cernuus, Polygonum sagittatum, Panicum gymnocarpon, and Eleocharis spp.) accounted for 98% of the marsh productivity. Using the Smalley method, net aboveground primary production was 1241 g/m2/yr for the freshwater marsh, 1745 g/m2/yr for the intermediate salinity marsh, and 2259 g/m2/yr for the brackish marsh. The peak total biomass for the freshwater marsh was 1205 g/m2, for the intermediate marsh it was 1103 g/m2, and for the brackish marsh it was 3089 g/m2. By summing the annual live standing biomass for each species, primary production estimates for each marsh site were lower than those calculated by the Smalley method: 1190 g/m2/yr for the freshwater marsh, 964 g/m2/yr for the intermediate marsh, and 1121 g/m2/yr for the brackish marsh.","container-title":"Castanea","ISSN":"0008-7475","issue":"3","note":"publisher: Southern Appalachian Botanical Society","page":"215-224","source":"JSTOR","title":"Productivity of the Marshes at the Mouth of the Pearl River, Louisiana","volume":"53","author":[{"family":"White","given":"David A."},{"family":"Simmons","given":"Michael J."}],"issued":{"date-parts":[["1988"]]}}},{"id":9510,"uris":["http://zotero.org/groups/2790555/items/FVVU6R4R"],"itemData":{"id":9510,"type":"article-journal","container-title":"Estuarine, Coastal and Shelf Science","DOI":"10/dhx9q2","ISSN":"02727714","issue":"1","journalAbbreviation":"Estuar Coast Shelf Sci.","language":"en","page":"57-69","source":"DOI.org (Crossref)","title":"Wetland soil formation in the rapidly subsiding Mississippi River Deltaic Plain: Mineral and organic matter relationships","title-short":"Wetland soil formation in the rapidly subsiding Mississippi River Deltaic Plain","volume":"31","author":[{"family":"Nyman","given":"J.A."},{"family":"Delaune","given":"R. D."},{"family":"Patrick","given":"W.H."}],"issued":{"date-parts":[["1990",7]]}}},{"id":10482,"uris":["http://zotero.org/groups/2790555/items/BFPTQJ6M"],"itemData":{"id":10482,"type":"article-journal","container-title":"Journal of Vegetation Science","DOI":"10/fttvvw","ISSN":"11009233, 16541103","issue":"3","journalAbbreviation":"J. Veg. Sci.","language":"en","page":"331-338","source":"DOI.org (Crossref)","title":"A comparative study of above-ground productivity of dominant U.S. Gulf Coast marsh species","volume":"2","author":[{"family":"Pezeshki","given":"S. R."},{"family":"DeLaune","given":"R. D."}],"issued":{"date-parts":[["1991",6]]}}},{"id":10506,"uris":["http://zotero.org/groups/2790555/items/9FL23LCV"],"itemData":{"id":10506,"type":"article-journal","abstract":"This paper focuses on the use of net primary productivity (NPP) as a measure of sustainable management in the Mississippi and Ebro deltas. Temporal changes in NPP were quantiﬁed for these two deltas based on the aerial coverage of different habitat types. Human appropriation of net primary productivity (HANPP) was used as a measure of direct human use of deltaic productivity. In both deltas, NPP has declined since 1900 due to a high level of HANPP in the Ebro and wetland loss in the Mississippi. In the Mississippi, NPP declined from 2500 g·m</w:instrText>
            </w:r>
            <w:r w:rsidR="00E62A89">
              <w:rPr>
                <w:rFonts w:ascii="Cambria" w:hAnsi="Cambria" w:cs="Cambria"/>
                <w:sz w:val="18"/>
                <w:szCs w:val="18"/>
              </w:rPr>
              <w:instrText>Ϫ</w:instrText>
            </w:r>
            <w:r w:rsidR="00E62A89">
              <w:rPr>
                <w:sz w:val="18"/>
                <w:szCs w:val="18"/>
              </w:rPr>
              <w:instrText>2</w:instrText>
            </w:r>
            <w:r w:rsidR="00E62A89">
              <w:rPr>
                <w:rFonts w:cs="Palatino Linotype"/>
                <w:sz w:val="18"/>
                <w:szCs w:val="18"/>
              </w:rPr>
              <w:instrText>·</w:instrText>
            </w:r>
            <w:r w:rsidR="00E62A89">
              <w:rPr>
                <w:sz w:val="18"/>
                <w:szCs w:val="18"/>
              </w:rPr>
              <w:instrText>yr</w:instrText>
            </w:r>
            <w:r w:rsidR="00E62A89">
              <w:rPr>
                <w:rFonts w:ascii="Cambria" w:hAnsi="Cambria" w:cs="Cambria"/>
                <w:sz w:val="18"/>
                <w:szCs w:val="18"/>
              </w:rPr>
              <w:instrText>Ϫ</w:instrText>
            </w:r>
            <w:r w:rsidR="00E62A89">
              <w:rPr>
                <w:sz w:val="18"/>
                <w:szCs w:val="18"/>
              </w:rPr>
              <w:instrText>1 in 1900 to 2000 g</w:instrText>
            </w:r>
            <w:r w:rsidR="00E62A89">
              <w:rPr>
                <w:rFonts w:cs="Palatino Linotype"/>
                <w:sz w:val="18"/>
                <w:szCs w:val="18"/>
              </w:rPr>
              <w:instrText>·</w:instrText>
            </w:r>
            <w:r w:rsidR="00E62A89">
              <w:rPr>
                <w:sz w:val="18"/>
                <w:szCs w:val="18"/>
              </w:rPr>
              <w:instrText>m</w:instrText>
            </w:r>
            <w:r w:rsidR="00E62A89">
              <w:rPr>
                <w:rFonts w:ascii="Cambria" w:hAnsi="Cambria" w:cs="Cambria"/>
                <w:sz w:val="18"/>
                <w:szCs w:val="18"/>
              </w:rPr>
              <w:instrText>Ϫ</w:instrText>
            </w:r>
            <w:r w:rsidR="00E62A89">
              <w:rPr>
                <w:sz w:val="18"/>
                <w:szCs w:val="18"/>
              </w:rPr>
              <w:instrText>2</w:instrText>
            </w:r>
            <w:r w:rsidR="00E62A89">
              <w:rPr>
                <w:rFonts w:cs="Palatino Linotype"/>
                <w:sz w:val="18"/>
                <w:szCs w:val="18"/>
              </w:rPr>
              <w:instrText>·</w:instrText>
            </w:r>
            <w:r w:rsidR="00E62A89">
              <w:rPr>
                <w:sz w:val="18"/>
                <w:szCs w:val="18"/>
              </w:rPr>
              <w:instrText>yr</w:instrText>
            </w:r>
            <w:r w:rsidR="00E62A89">
              <w:rPr>
                <w:rFonts w:ascii="Cambria" w:hAnsi="Cambria" w:cs="Cambria"/>
                <w:sz w:val="18"/>
                <w:szCs w:val="18"/>
              </w:rPr>
              <w:instrText>Ϫ</w:instrText>
            </w:r>
            <w:r w:rsidR="00E62A89">
              <w:rPr>
                <w:sz w:val="18"/>
                <w:szCs w:val="18"/>
              </w:rPr>
              <w:instrText>1 in 1990, with a decline to 1750 g</w:instrText>
            </w:r>
            <w:r w:rsidR="00E62A89">
              <w:rPr>
                <w:rFonts w:cs="Palatino Linotype"/>
                <w:sz w:val="18"/>
                <w:szCs w:val="18"/>
              </w:rPr>
              <w:instrText>·</w:instrText>
            </w:r>
            <w:r w:rsidR="00E62A89">
              <w:rPr>
                <w:sz w:val="18"/>
                <w:szCs w:val="18"/>
              </w:rPr>
              <w:instrText>m</w:instrText>
            </w:r>
            <w:r w:rsidR="00E62A89">
              <w:rPr>
                <w:rFonts w:ascii="Cambria" w:hAnsi="Cambria" w:cs="Cambria"/>
                <w:sz w:val="18"/>
                <w:szCs w:val="18"/>
              </w:rPr>
              <w:instrText>Ϫ</w:instrText>
            </w:r>
            <w:r w:rsidR="00E62A89">
              <w:rPr>
                <w:sz w:val="18"/>
                <w:szCs w:val="18"/>
              </w:rPr>
              <w:instrText>2</w:instrText>
            </w:r>
            <w:r w:rsidR="00E62A89">
              <w:rPr>
                <w:rFonts w:cs="Palatino Linotype"/>
                <w:sz w:val="18"/>
                <w:szCs w:val="18"/>
              </w:rPr>
              <w:instrText>·</w:instrText>
            </w:r>
            <w:r w:rsidR="00E62A89">
              <w:rPr>
                <w:sz w:val="18"/>
                <w:szCs w:val="18"/>
              </w:rPr>
              <w:instrText>yr</w:instrText>
            </w:r>
            <w:r w:rsidR="00E62A89">
              <w:rPr>
                <w:rFonts w:ascii="Cambria" w:hAnsi="Cambria" w:cs="Cambria"/>
                <w:sz w:val="18"/>
                <w:szCs w:val="18"/>
              </w:rPr>
              <w:instrText>Ϫ</w:instrText>
            </w:r>
            <w:r w:rsidR="00E62A89">
              <w:rPr>
                <w:sz w:val="18"/>
                <w:szCs w:val="18"/>
              </w:rPr>
              <w:instrText>1 predicted by 2050. In the Ebro, total system NPP has increased from 700 to 1000 g</w:instrText>
            </w:r>
            <w:r w:rsidR="00E62A89">
              <w:rPr>
                <w:rFonts w:cs="Palatino Linotype"/>
                <w:sz w:val="18"/>
                <w:szCs w:val="18"/>
              </w:rPr>
              <w:instrText>·</w:instrText>
            </w:r>
            <w:r w:rsidR="00E62A89">
              <w:rPr>
                <w:sz w:val="18"/>
                <w:szCs w:val="18"/>
              </w:rPr>
              <w:instrText>m</w:instrText>
            </w:r>
            <w:r w:rsidR="00E62A89">
              <w:rPr>
                <w:rFonts w:ascii="Cambria" w:hAnsi="Cambria" w:cs="Cambria"/>
                <w:sz w:val="18"/>
                <w:szCs w:val="18"/>
              </w:rPr>
              <w:instrText>Ϫ</w:instrText>
            </w:r>
            <w:r w:rsidR="00E62A89">
              <w:rPr>
                <w:sz w:val="18"/>
                <w:szCs w:val="18"/>
              </w:rPr>
              <w:instrText>2</w:instrText>
            </w:r>
            <w:r w:rsidR="00E62A89">
              <w:rPr>
                <w:rFonts w:cs="Palatino Linotype"/>
                <w:sz w:val="18"/>
                <w:szCs w:val="18"/>
              </w:rPr>
              <w:instrText>·</w:instrText>
            </w:r>
            <w:r w:rsidR="00E62A89">
              <w:rPr>
                <w:sz w:val="18"/>
                <w:szCs w:val="18"/>
              </w:rPr>
              <w:instrText>yr</w:instrText>
            </w:r>
            <w:r w:rsidR="00E62A89">
              <w:rPr>
                <w:rFonts w:ascii="Cambria" w:hAnsi="Cambria" w:cs="Cambria"/>
                <w:sz w:val="18"/>
                <w:szCs w:val="18"/>
              </w:rPr>
              <w:instrText>Ϫ</w:instrText>
            </w:r>
            <w:r w:rsidR="00E62A89">
              <w:rPr>
                <w:sz w:val="18"/>
                <w:szCs w:val="18"/>
              </w:rPr>
              <w:instrText>1 due to subsidized agricultural production, mostly of rice. High HANPP of 35% reduces remaining NPP to 600 g·m</w:instrText>
            </w:r>
            <w:r w:rsidR="00E62A89">
              <w:rPr>
                <w:rFonts w:ascii="Cambria" w:hAnsi="Cambria" w:cs="Cambria"/>
                <w:sz w:val="18"/>
                <w:szCs w:val="18"/>
              </w:rPr>
              <w:instrText>Ϫ</w:instrText>
            </w:r>
            <w:r w:rsidR="00E62A89">
              <w:rPr>
                <w:sz w:val="18"/>
                <w:szCs w:val="18"/>
              </w:rPr>
              <w:instrText>2</w:instrText>
            </w:r>
            <w:r w:rsidR="00E62A89">
              <w:rPr>
                <w:rFonts w:cs="Palatino Linotype"/>
                <w:sz w:val="18"/>
                <w:szCs w:val="18"/>
              </w:rPr>
              <w:instrText>·</w:instrText>
            </w:r>
            <w:r w:rsidR="00E62A89">
              <w:rPr>
                <w:sz w:val="18"/>
                <w:szCs w:val="18"/>
              </w:rPr>
              <w:instrText>yr</w:instrText>
            </w:r>
            <w:r w:rsidR="00E62A89">
              <w:rPr>
                <w:rFonts w:ascii="Cambria" w:hAnsi="Cambria" w:cs="Cambria"/>
                <w:sz w:val="18"/>
                <w:szCs w:val="18"/>
              </w:rPr>
              <w:instrText>Ϫ</w:instrText>
            </w:r>
            <w:r w:rsidR="00E62A89">
              <w:rPr>
                <w:sz w:val="18"/>
                <w:szCs w:val="18"/>
              </w:rPr>
              <w:instrText>1. The natural energies and anthropogenic subsidies that maintain natural and human-modi</w:instrText>
            </w:r>
            <w:r w:rsidR="00E62A89">
              <w:rPr>
                <w:rFonts w:cs="Palatino Linotype"/>
                <w:sz w:val="18"/>
                <w:szCs w:val="18"/>
              </w:rPr>
              <w:instrText>ﬁ</w:instrText>
            </w:r>
            <w:r w:rsidR="00E62A89">
              <w:rPr>
                <w:sz w:val="18"/>
                <w:szCs w:val="18"/>
              </w:rPr>
              <w:instrText>ed deltaic ecosystems are analyzed. Elimination or reduction of important pulsing cycles has led to environmental deterioration and higher economic costs and necessitates high levels of subsidies. Incorporating natural energies is the best way to manage deltas sustainably. The use of wetlands for wastewater treatment and river diversions are presented as examples.","container-title":"Ecological Applications","DOI":"10/fvz4g2","ISSN":"1051-0761","issue":"4","journalAbbreviation":"Ecol Appl.","language":"en","page":"1044-1055","source":"DOI.org (Crossref)","title":"Net primary productivity as an indicator of sustainability in the EBRO and Mississippi Deltas","volume":"12","author":[{"family":"Cardoch","given":"Lynette"},{"family":"Day","given":"John W."},{"family":"Ibàñez","given":"Carles"}],"issued":{"date-parts":[["2002",8]]}}},{"id":10364,"uris":["http://zotero.org/groups/2790555/items/49MYUQN5"],"itemData":{"id":10364,"type":"article-journal","abstract":"Coastal marshes accrete vertically in response to sea-level rise and subsidence. Inadequate accretion and subsequent conversion of coastal\nmarshes to open water generally is attributed to inadequate mineral sedimentation because mineral sedimentation is widely assumed to control\naccretion. Using 137Cs dating to determine vertical accretion, mineral sedimentation, and organic matter accumulation, we found that accretion\nvaried with organic accumulation rather than mineral sedimentation across a wide range of conditions in coastal Louisiana, including stable\nmarshes where soil was 80% mineral matter. These results agreed with previous research, but no mechanism had been proposed to explain accretion\nvia vegetative growth. In an exploratory greenhouse experiment, we found that flooding stimulated root growth above the marsh surface.\nThese results indicated the need for additional work to determine if flooding controls accretion in some marshes by stimulating root growth on\nthe marsh surface, rather than by mineral accumulation on the marsh surface. Restoration or management that focus on mineral sedimentation\nmay be ineffective where a relationship between accretion and mineral sedimentation is assumed rather than tested.","container-title":"Estuarine, Coastal and Shelf Science","DOI":"10/d3wjmw","ISSN":"0272-7714","journalAbbreviation":"Estuar Coast Shelf Sci.","note":"3","page":"370-380","title":"Marsh vertical accretion via vegetative growth","title-short":"Marsh vertical accretion via vegetative growth","volume":"69","author":[{"family":"Nyman","given":"J. Andrew"},{"family":"Walters","given":"Russel J."},{"family":"Delaune","given":"Ronald D."},{"family":"Patrick Jr","given":"William H."}],"issued":{"date-parts":[["2006"]]}}},{"id":9485,"uris":["http://zotero.org/groups/2790555/items/WYNYW2H5"],"itemData":{"id":9485,"type":"report","abstract":"Hurricanes Katrina and Rita made landfall in 2005,\nsubjecting the coastal marsh communities of Louisiana to\nvarious degrees of exposure. We collected data after the\nstorms at 30 sites within fresh (12), brackish/intermediate\n(12), and saline (6) marshes to document the effects of\nsaltwater storm surge and sedimentation on marsh community\ndynamics. The 30 sites were comprised of 15 pairs. Most\npairs contained one site where data collection occurred\nhistorically (that is, prestorms) and one Coastwide Reference\nMonitoring System site. Data were collected from spring\n2006 to fall 2007 on vegetative species composition,\npercentage of vegetation cover, aboveground and belowground\nbiomass, and canopy reflectance, along with discrete\nporewater salinity, hourly surface-water salinity, and water\nlevel. Where available, historical data acquired before\nHurricanes Katrina and Rita were used to compare conditions\nand changes in ecological trajectories before and after the\nhurricanes. Sites experiencing direct and indirect hurricane\ninfluences (referred to in this report as levels of influence)\nwere also identified, and the effects of hurricane influence\nwere tested on vegetation and porewater data. Within fresh\nmarshes, porewater salinity was greater in directly impacted\nareas, and this heightened salinity was reflected in decreased\naboveground and belowground biomass and increased cover\nof disturbance species in the directly impacted sites. At the\nbrackish/intermediate marsh sites, vegetation variables and\nporewater salinity were similar in directly and indirectly\nimpacted areas, but porewater salinity was higher than\nexpected throughout the study. Interestingly, directly impacted\nsaline marsh sites had lower porewater salinity than indirectly\nimpacted sites, but aboveground biomass was greater at the\ndirectly impacted sites.\nBecause of the variable and site-specific nature of\nhurricane influences, we present case studies to help define\npostdisturbance baseline conditions in fresh, brackish/\nintermediate, and saline marshes. In fresh marshes, the\nmechanism of hurricane influence varied across the landscape.\nIn the western region, saltwater storm surge inundated\nfreshwater marshes and remained for weeks, effectively\ncausing damage that reset the vegetation community. This\nis in contrast to the direct physical disturbance of the storm\nsurge in the eastern region, which flipped and relocated\nmarsh mats, thereby stressing the vegetation communities\nand providing an opportunity for disturbance species to\ncolonize. In the brackish/intermediate marsh, disturbance\nspecies took advantage of the opportunity provided by shifting\nspecies composition caused by physical and saltwater-induced\nperturbations, although this shift is likely to be short lived.\nSaline marsh sites were not negatively impacted to a severe\ndegree by the hurricanes. Species composition of vegetation\nin saline marshes was not affected, and sediment deposition\nappeared to increase vegetative productivity.\nThe coastal landscape of Louisiana is experiencing high\nrates of land loss resulting from natural and anthropogenic\ncauses and is experiencing subsidence rates greater than\n10.0 millimeters per year (mm yr-1); therefore, it is important\nto understand how hurricanes influence sedimentation and soil\nproperties. We document long-term vertical accretion rates and\naccumulation rates of organic matter, bulk density, carbon and\nnitrogen. Analyses using caesium-137 to calculate long-term\nvertical accretion rates suggest that accretion under impounded\nconditions is less than in nonimpounded conditions in the\nbrackish marsh of the chenier plain. Our data also support previous studies indicating that accumulation rates of organic\nmatter explain much of the variability associated with vertical\naccretion in brackish/intermediate and saline marshes. In\nfresh marshes, more of the variability associated with vertical\naccretion was explained by mineral accumulation than in the\nother marsh types. The marsh types in this study span a wide\ndistribution of nutrient accumulation rates but exhibit similar\nupper limits of carbon (200 grams per square meter per year\n[g m-2 yr-1]) and nitrogen (10–14 g m-2 yr-1) accumulation.\nInformation regarding site-specific soil properties is provided\nthrough soil profiles, and short-term elevation change and\naccretion are also reported for sites where historical data\ncollection occurred.\nThis study provides new ecological baseline conditions\nfollowing Hurricanes Katrina and Rita and an assessment\nof site-specific hurricane impacts, recovery, and potential\nchanges in ecological trajectories. Paired with the ongoing\ndata collection through the Coastwide Reference Monitoring\nSystem program, this study should provide useful information\nfor resource managers and modelers that can be used for\ncomparisons of conditions occurring after future landscapescale\ndisturbances.","event-place":"Reston, Virginia","genre":"Open-File Report","number":"2011-1094","page":"126","publisher":"U.S. Geological Survey","publisher-place":"Reston, Virginia","title":"Geomorphic and ecological effects of Hurricanes Katrina and Rita on coastal Louisiana marsh communities","author":[{"family":"Piazza","given":"Sarai C."},{"family":"Steyer","given":"Gregory D."},{"family":"Cretini","given":"Kari F."},{"family":"Sasser","given":"Charles E."},{"family":"Visser","given":"Jenneke M."},{"family":"Holm","given":"Guerry O."},{"family":"Sharp","given":"Leigh Anne"},{"family":"Evers","given":"D. Elaine"},{"family":"Meriwether","given":"John R."}],"issued":{"date-parts":[["2011"]]}}},{"id":9229,"uris":["http://zotero.org/groups/2790555/items/H8X7D9PD"],"itemData":{"id":9229,"type":"article-journal","container-title":"Estuaries and Coasts","DOI":"10.1007/s12237-012-9581-0","ISSN":"1559-2723, 1559-2731","issue":"4","journalAbbreviation":"Estuar Coasts.","language":"en","page":"665-682","source":"DOI.org (Crossref)","title":"Vegetation and soil dynamics of a Louisiana estuary receiving pulsed Mississippi River water following Hurricane Katrina","volume":"36","author":[{"family":"Day","given":"John W"},{"family":"Lane","given":"Robert"},{"family":"Moerschbaecher","given":"Matthew"},{"family":"DeLaune","given":"Ronald"},{"family":"Mendelssohn","given":"Irving"},{"family":"Baustian","given":"Joseph"},{"family":"Twilley","given":"Robert"}],"issued":{"date-parts":[["2013",7]]}}},{"id":9724,"uris":["http://zotero.org/groups/2790555/items/BDB9KLHF"],"itemData":{"id":9724,"type":"article-journal","abstract":"Marsh soil accretion processes were examined at 12 locations in fresh and brackish marshes in Louisiana's\nnorthern Barataria Basin estuary. Soil accretion rate determined from 137Cs ranged from 0.59 to 1.03 cm yr−1.\nSoil structure and accretion were controlled primarily by organic matter accumulation rather than mineral sediment\ndeposition with water and entrapped gases occupying themajority of the soil volume ranging from92 to\n95%. Organicmatter accumulation ranged from328 to 580 g m−2 yr−1whilemineral accumulation ranged from\n78 to 380 g m−2 yr−1 Such organic-based fresh and brackish marsh soil are more fragile than mineral based\nmarsh soils and are subject to impact by salt water intrusion and hurricane storm surge forces. The Davis Pond\ndiversion is a conduit between the Mississippi River and the coastal marshes of Barataria basin currently\nreintroducing river water into the basin leading to lower basin salinities This hydrologic management measure\nshould benefit and extend the stability of the studied marsh sites encouraging continued vegetation growth and\nsoil organic matter accumulation. Accrual of organic matter is necessary to prevent drowning of the marsh\nwhich is subject to both the global eustatic sea level rise (1–2 mm yr−1) and significant local subsidence\n(~10 mm yr−1). This high rate of relative sea level rise can lead to open water/ponding and subsequent erosion\nof the surrounding marsh due to flooding and salinity stress.","container-title":"Catena","DOI":"10/f4x7v6","ISSN":"03418162","page":"139-144","title":"Freshwater diversions as an ecosystem management tool for maintaining soil organic matter accretion in coastal marshes","title-short":"Freshwater diversions as an ecosystem management tool for maintaining soil organic matter accretion in coastal marshes","volume":"107","author":[{"family":"DeLaune","given":"R. D."},{"family":"Kongchum","given":"M."},{"family":"White","given":"John R."},{"family":"Jugsujinda","given":"A."}],"issued":{"date-parts":[["2013"]]}}},{"id":9285,"uris":["http://zotero.org/groups/2790555/items/RV97975Q"],"itemData":{"id":9285,"type":"article-journal","abstract":"Sulfate from seawater inhibits methane production\nin tidal wetlands, and by extension, salinity has\nbeen used as a general predictor of methane emissions.\nWith the need to reduce methane flux uncertainties from\ntidal wetlands, eddy covariance (EC) techniques provide\nan integrated methane budget. The goals of this study\nwere to: 1) establish methane emissions from natural,\nfreshwater and brackish wetlands in Louisiana based\non EC; and 2) determine if EC estimates conform to a\nmethane-salinity relationship derived from temperate tidal\nwetlands with chamber sampling. Annual estimates of\nmethane emissions from this study were 62.3 g CH4/m2/\nyr and 13.8 g CH4/m2/yr for the freshwater and brackish\n(8–10 psu) sites, respectively. If it is assumed that\nlong-term, annual soil carbon sequestration rates of natural\nmarshes are ~200 g C/m2/yr (7.3 tCO2e/ha/yr),\nhealthy brackish marshes could be expected to act as a\nnet radiative sink, equivalent to less than one-half the\nsoil carbon accumulation rate after subtracting methane\nemissions (4.1 tCO2e/ha/yr). Carbon sequestration rates\nwould need case-by-case assessment, but the EC methane\nemissions estimates in this study conformed well to\nan existing salinity-methane model that should serve as\na basis for establishing emission factors for wetland\ncarbon offset projects.","container-title":"Wetlands","DOI":"10/f8ptzg","ISSN":"0277-5212, 1943-6246","language":"en","page":"401-413","source":"CrossRef","title":"Ecosystem level methane fluxes from tidal freshwater and brackish marshes of the Mississippi River Delta: implications for coastal wetland carbon projects","title-short":"Ecosystem Level Methane Fluxes from Tidal Freshwater and Brackish Marshes of the Mississippi River Delta","volume":"36","author":[{"family":"Holm","given":"Guerry O."},{"family":"Perez","given":"Brian C."},{"family":"McWhorter","given":"David E."},{"family":"Krauss","given":"Ken W."},{"family":"Johnson","given":"Darren J."},{"family":"Raynie","given":"Richard C."},{"family":"Killebrew","given":"Charles J."}],"issued":{"date-parts":[["2016"]]}}},{"id":9804,"uris":["http://zotero.org/groups/2790555/items/5NYYKUP8"],"itemData":{"id":9804,"type":"article-journal","container-title":"Journal of Geophysical Research: Biogeosciences","DOI":"10/grpfpm","ISSN":"21698953","issue":"6","journalAbbreviation":"J Geophys Res Biogeosci.","language":"en","page":"1503-1521","source":"CrossRef","title":"Component greenhouse gas fluxes and radiative balance from two deltaic marshes in Louisiana: pairing chamber techniques and eddy covariance","title-short":"Component greenhouse gas fluxes and radiative balance from two deltaic marshes in Louisiana","volume":"121","author":[{"family":"Krauss","given":"Ken W."},{"family":"Holm","given":"Guerry O."},{"family":"Perez","given":"Brian C."},{"family":"McWhorter","given":"David E."},{"family":"Cormier","given":"Nicole"},{"family":"Moss","given":"Rebecca F."},{"family":"Johnson","given":"Darren J."},{"family":"Neubauer","given":"Scott C."},{"family":"Raynie","given":"Richard C."}],"issued":{"date-parts":[["2016",6]]}}},{"id":10400,"uris":["http://zotero.org/groups/2790555/items/ZSSS7UAT"],"itemData":{"id":10400,"type":"article-journal","abstract":"We carried out a 1.5-year study of the fate of organic carbon during experimental wetland loss using an herbicide at freshwater, brackish and saltwater emergent wetlands. Total carbon stocks in the upper 50 cm of the soil horizon were 15.0 ± 0.5 kg C/m2 (222.8 mt CO2e/ac) at the freshwater site, 11.1 ± 0.9 kg C/m2 (164.7 mt CO2e/ac) at the brackish site, and 8.5 ± 1.4 kg C/m2 (125.7 mt CO2e/ac) at the saltwater site. There were no significant differences detected in decomposition between the treatment and reference plots, which had 39.4 to 41.5 % material remaining by the end of the study at the three sites. The plots treated with herbicide had decreased elevation of −4.24 cm, −1.56 cm and −1.48 cm at the freshwater, brackish and saltwater sites, respectively, which equate to a mass loss of soil organic carbon of 1273 g C/m2, 389 g C/m2 and 207 g C/m2, respectively. Results indicate statistically greater greenhouse gasses were emitted at the brackish and saltwater plots treated with herbicide compared to the reference plots, with up to 4.2 mt CO2e/ac emitted at the brackish site and 3.1 mt CO2e/ac emitted at the saltwater site during the first 1.5 years of the study.","container-title":"Wetlands","DOI":"10.1007/s13157-016-0834-8","ISSN":"1943-6246","issue":"6","journalAbbreviation":"Wetlands","language":"en","page":"1167-1181","source":"Springer Link","title":"Fate of soil organic carbon during wetland loss","volume":"36","author":[{"family":"Lane","given":"Robert R."},{"family":"Mack","given":"Sarah K."},{"family":"Day","given":"John W."},{"family":"DeLaune","given":"Ronald D."},{"family":"Madison","given":"Maxine J."},{"family":"Precht","given":"Phil R."}],"issued":{"date-parts":[["2016",12,1]]}}},{"id":10584,"uris":["http://zotero.org/groups/2790555/items/XMHSNZXQ"],"itemData":{"id":10584,"type":"article-journal","container-title":"Estuaries and Coasts","DOI":"10/f94nbz","ISSN":"1559-2723, 1559-2731","journalAbbreviation":"Estuar Coasts.","language":"en","note":"31 citations (Crossref) [2023-01-23]","source":"CrossRef","title":"A landscape-scale assessment of above- and belowground primary production in coastal wetlands: implications for climate change-induced community shifts","title-short":"A Landscape-Scale Assessment of Above- and Belowground Primary Production in Coastal Wetlands","URL":"http://link.springer.com/10.1007/s12237-016-0177-y","author":[{"family":"Stagg","given":"Camille L."},{"family":"Schoolmaster","given":"Donald R."},{"family":"Piazza","given":"Sarai C."},{"family":"Snedden","given":"Gregg"},{"family":"Steyer","given":"Gregory D."},{"family":"Fischenich","given":"Craig J."},{"family":"McComas","given":"Robert W."}],"accessed":{"date-parts":[["2016",11,11]]},"issued":{"date-parts":[["2016"]]}}},{"id":10426,"uris":["http://zotero.org/groups/2790555/items/JE82RSU9"],"itemData":{"id":10426,"type":"article-journal","abstract":"Coastal wetlands can serve as a considerable sink for carbon (C) gases. However, the capacity for wetlands to serve as more permanent C and N sinks over the long term is less clear given the time dependence of sediment deposition, organic matter decomposition, and anthropogenic land use change. In this study, we compare the short-term (decadal scale) and long-term (millennial scale) C and N accumulation rates estimated using 137Cs and radiocarbon dating of vibracores collected from a freshwater coastal wetland in the Louisiana Mississippi River deltaic plain (Atchafalaya River delta). The mean short-term (60</w:instrText>
            </w:r>
            <w:r w:rsidR="00E62A89">
              <w:rPr>
                <w:rFonts w:ascii="Times New Roman" w:hAnsi="Times New Roman" w:cs="Times New Roman"/>
                <w:sz w:val="18"/>
                <w:szCs w:val="18"/>
              </w:rPr>
              <w:instrText> </w:instrText>
            </w:r>
            <w:r w:rsidR="00E62A89">
              <w:rPr>
                <w:sz w:val="18"/>
                <w:szCs w:val="18"/>
              </w:rPr>
              <w:instrText>yrs) sediment accumulation rate was 1.4</w:instrText>
            </w:r>
            <w:r w:rsidR="00E62A89">
              <w:rPr>
                <w:rFonts w:ascii="Times New Roman" w:hAnsi="Times New Roman" w:cs="Times New Roman"/>
                <w:sz w:val="18"/>
                <w:szCs w:val="18"/>
              </w:rPr>
              <w:instrText> </w:instrText>
            </w:r>
            <w:r w:rsidR="00E62A89">
              <w:rPr>
                <w:sz w:val="18"/>
                <w:szCs w:val="18"/>
              </w:rPr>
              <w:instrText>cm/yr while the mean rate of long-term (100</w:instrText>
            </w:r>
            <w:r w:rsidR="00E62A89">
              <w:rPr>
                <w:rFonts w:cs="Palatino Linotype"/>
                <w:sz w:val="18"/>
                <w:szCs w:val="18"/>
              </w:rPr>
              <w:instrText>–</w:instrText>
            </w:r>
            <w:r w:rsidR="00E62A89">
              <w:rPr>
                <w:sz w:val="18"/>
                <w:szCs w:val="18"/>
              </w:rPr>
              <w:instrText>1000</w:instrText>
            </w:r>
            <w:r w:rsidR="00E62A89">
              <w:rPr>
                <w:rFonts w:ascii="Times New Roman" w:hAnsi="Times New Roman" w:cs="Times New Roman"/>
                <w:sz w:val="18"/>
                <w:szCs w:val="18"/>
              </w:rPr>
              <w:instrText> </w:instrText>
            </w:r>
            <w:r w:rsidR="00E62A89">
              <w:rPr>
                <w:sz w:val="18"/>
                <w:szCs w:val="18"/>
              </w:rPr>
              <w:instrText>yrs) sediment accumulation was an order of magnitude lower at 0.12</w:instrText>
            </w:r>
            <w:r w:rsidR="00E62A89">
              <w:rPr>
                <w:rFonts w:ascii="Times New Roman" w:hAnsi="Times New Roman" w:cs="Times New Roman"/>
                <w:sz w:val="18"/>
                <w:szCs w:val="18"/>
              </w:rPr>
              <w:instrText> </w:instrText>
            </w:r>
            <w:r w:rsidR="00E62A89">
              <w:rPr>
                <w:sz w:val="18"/>
                <w:szCs w:val="18"/>
              </w:rPr>
              <w:instrText>cm/yr. Annual rates of C and N accumulated over the past several thousand years were approximately 10% of that over the past 60</w:instrText>
            </w:r>
            <w:r w:rsidR="00E62A89">
              <w:rPr>
                <w:rFonts w:ascii="Times New Roman" w:hAnsi="Times New Roman" w:cs="Times New Roman"/>
                <w:sz w:val="18"/>
                <w:szCs w:val="18"/>
              </w:rPr>
              <w:instrText> </w:instrText>
            </w:r>
            <w:r w:rsidR="00E62A89">
              <w:rPr>
                <w:sz w:val="18"/>
                <w:szCs w:val="18"/>
              </w:rPr>
              <w:instrText xml:space="preserve">years after correcting for bulk density. These results are similar to other coastal wetlands and suggest that time scale must be considered in determining the relative permanence of C and N storage in coastal wetland soils. This difference is especially important for assessing the role of C cycling in relation to global change models and N cycling related to water quality in accurately quantifying the role of coastal deltaic fresh water wetlands in regulating these biogeochemical cycles.","container-title":"Organic Geochemistry","DOI":"10.1016/j.orggeochem.2018.06.007","ISSN":"0146-6380","journalAbbreviation":"Org Geochem.","page":"67-73","source":"ScienceDirect","title":"Differences in long-term vs short-term carbon and nitrogen sequestration in a coastal river delta wetland: Implications for global budgets","title-short":"Differences in long-term vs short-term carbon and nitrogen sequestration in a coastal river delta wetland","volume":"123","author":[{"family":"DeLaune","given":"R. D."},{"family":"White","given":"J. R."},{"family":"Elsey-Quirk","given":"T."},{"family":"Roberts","given":"H. H."},{"family":"Wang","given":"D. Q."}],"issued":{"date-parts":[["2018",9,1]]}}},{"id":10546,"uris":["http://zotero.org/groups/2790555/items/CJG8IXXX"],"itemData":{"id":10546,"type":"article-journal","container-title":"AGU Biogeosciences","DOI":"10/grmtwt","note":"6 citations (Crossref) [2023-01-23]","title":"Long-term carbon sinks in marsh soils of the Mississippi River Deltaic Plain are at risk to wetland loss","volume":"126","author":[{"family":"Baustian","given":"Melissa M"},{"family":"Stagg","given":"Camille L."},{"family":"Perry","given":"Carey Lynn"},{"family":"Moss","given":"Leland"},{"family":"Carruthers","given":"Tim"}],"issued":{"date-parts":[["2021"]]}}},{"id":10741,"uris":["http://zotero.org/groups/2790555/items/CABPF8YH"],"itemData":{"id":10741,"type":"report","abstract":"This dataset contains vertical profiles of soil bulk density, percent organic matter, percent total carbon and cesium-137 activity from the surface down to 50-60 cm deep at 25 marsh locations across Breton Sound basin, Louisiana. These data will provide information related to rates of vertical accretion, organic and mineral accumulation and carbon burial in wetland soils across a large portion of the Mississippi River delta plain.","genre":"data release","note":"type: dataset\nDOI: 10.5066/P9XWAXOT\n\nSuggested citation:\nSnedden, G.A., 2021, Soil properties and soil radioisotope activity across Breton Sound basin wetlands (2008-2013): U.S. Geological Survey data release, https://doi.org/10.5066/P9XWAXOT.","publisher":"U.S. Geological Survey","source":"DOI.org (Datacite)","title":"Soil properties and soil radioisotope activity across Breton Sound basin wetlands (2008-2013)","URL":"https://doi.org/10.5066/P9XWAXOT","author":[{"family":"Snedden","given":"Gregg"}],"accessed":{"date-parts":[["2021",9,15]]},"issued":{"date-parts":[["2021"]]}}},{"id":49718,"uris":["http://zotero.org/groups/2790555/items/4XIU2CM5"],"itemData":{"id":49718,"type":"article-journal","container-title":"Science of The Total Environment","DOI":"10/grpfj6","ISSN":"00489697","journalAbbreviation":"Sci. Total Environ.","language":"en","page":"141566","source":"DOI.org (Crossref)","title":"Plant biomass and rates of carbon dioxide uptake are enhanced by successful restoration of tidal connectivity in salt marshes","volume":"750","author":[{"family":"Wang","given":"Faming"},{"family":"Eagle","given":"Meagan"},{"family":"Kroeger","given":"Kevin D."},{"family":"Spivak","given":"Amanda C."},{"family":"Tang","given":"Jianwu"}],"issued":{"date-parts":[["2021",1]]}}},{"id":53648,"uris":["http://zotero.org/groups/4743814/items/J4SRXCJT"],"itemData":{"id":53648,"type":"article-journal","abstract":"Coastal Louisiana is experiencing a significant loss of coastal wetland area due to increasing sea level rise, subsidence, sediment starvation and marsh collapse. The construction of large scale Mississippi River sediment diversions is currently being planned in an effort to help combat coastal wetlands losses at a rate of &gt;50 km−2 y−1. The Wax Lake Delta (WLD) is currently being used as a model for evaluating potential land gain from large scale diversions of Mississippi River water and sediment. In this study, we determine the impact of the WLD diversion on plant production at newly formed islands within the delta and adjacent, mainland freshwater marshes. Plant aboveground productivity, sediment nutrient status and short term accretion were measured at three locations on a transect at each of three fresh water marsh sites along Hog Bayou and at six newly formed emerging island sites in the delta. Spring flooding has resulted in a greater increase in plant production and consequently, greater carbon sequestration potential in adjacent mainland marshes compared to the newly formed island sites, which contain less total carbon (C), nitrogen (N), and phosphorus (P) in the sediment. While sediment diversions are predicted to create land, as seen in island formation in the WLD, the greatest benefit of river sediment diversions from a carbon credit perspective might be to the adjacent freshwater mainland marshes for several reasons. Both greater plant production and sediment C accumulation are two important factors for marsh stability, while perhaps even more critical, is the prevention of the loss of stored sediment C in the marsh profile. This stored C would be lost without the introduction of freshwater, nutrients and sediment through river sediment diversion efforts.","container-title":"Estuarine, Coastal and Shelf Science","DOI":"10.1016/j.ecss.2016.05.010","ISSN":"0272-7714","journalAbbreviation":"Estuar Coast Shelf Sci.","language":"en","page":"83-89","source":"ScienceDirect","title":"Influence of the Wax Lake Delta sediment diversion on aboveground plant productivity and carbon storage in deltaic island and mainland coastal marshes","volume":"177","author":[{"family":"DeLaune","given":"R. D."},{"family":"Sasser","given":"C. E."},{"family":"Evers-Hebert","given":"E."},{"family":"White","given":"J. R."},{"family":"Roberts","given":"H. H."}],"issued":{"date-parts":[["2016",8,5]]}}}],"schema":"https://github.com/citation-style-language/schema/raw/master/csl-citation.json"} </w:instrText>
            </w:r>
            <w:r>
              <w:rPr>
                <w:sz w:val="18"/>
                <w:szCs w:val="18"/>
              </w:rPr>
              <w:fldChar w:fldCharType="separate"/>
            </w:r>
            <w:r w:rsidR="00E62A89" w:rsidRPr="00E62A89">
              <w:rPr>
                <w:rFonts w:cs="Times New Roman"/>
                <w:sz w:val="18"/>
                <w:szCs w:val="24"/>
              </w:rPr>
              <w:t>[9,24–46]</w:t>
            </w:r>
            <w:r>
              <w:rPr>
                <w:sz w:val="18"/>
                <w:szCs w:val="18"/>
              </w:rPr>
              <w:fldChar w:fldCharType="end"/>
            </w:r>
          </w:p>
        </w:tc>
      </w:tr>
      <w:tr w:rsidR="002F7B48" w14:paraId="3DC31A9D" w14:textId="77777777" w:rsidTr="00A45FD6">
        <w:tc>
          <w:tcPr>
            <w:cnfStyle w:val="001000000000" w:firstRow="0" w:lastRow="0" w:firstColumn="1" w:lastColumn="0" w:oddVBand="0" w:evenVBand="0" w:oddHBand="0" w:evenHBand="0" w:firstRowFirstColumn="0" w:firstRowLastColumn="0" w:lastRowFirstColumn="0" w:lastRowLastColumn="0"/>
            <w:tcW w:w="833" w:type="pct"/>
          </w:tcPr>
          <w:p w14:paraId="09BDA27D" w14:textId="77777777" w:rsidR="002F7B48" w:rsidRDefault="002F7B48" w:rsidP="00A45FD6">
            <w:pPr>
              <w:pStyle w:val="MDPI42tablebody"/>
            </w:pPr>
            <w:r>
              <w:t>Intermediate Marsh</w:t>
            </w:r>
          </w:p>
        </w:tc>
        <w:tc>
          <w:tcPr>
            <w:tcW w:w="833" w:type="pct"/>
          </w:tcPr>
          <w:p w14:paraId="4B0F43B7"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-24.1 ± 2.3</w:t>
            </w:r>
          </w:p>
        </w:tc>
        <w:tc>
          <w:tcPr>
            <w:tcW w:w="833" w:type="pct"/>
          </w:tcPr>
          <w:p w14:paraId="23A5A710"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-6.2 ± 1.1</w:t>
            </w:r>
          </w:p>
        </w:tc>
        <w:tc>
          <w:tcPr>
            <w:tcW w:w="833" w:type="pct"/>
          </w:tcPr>
          <w:p w14:paraId="2506D3A7"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44.6 ± 15.2</w:t>
            </w:r>
          </w:p>
        </w:tc>
        <w:tc>
          <w:tcPr>
            <w:tcW w:w="834" w:type="pct"/>
          </w:tcPr>
          <w:p w14:paraId="11F2620C"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14.3 ± 5.7</w:t>
            </w:r>
          </w:p>
        </w:tc>
        <w:tc>
          <w:tcPr>
            <w:tcW w:w="834" w:type="pct"/>
          </w:tcPr>
          <w:p w14:paraId="1AA81890" w14:textId="1E8068E6" w:rsidR="002F7B48" w:rsidRPr="000E21DC" w:rsidRDefault="002F7B48" w:rsidP="00A45FD6">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fldChar w:fldCharType="begin"/>
            </w:r>
            <w:r w:rsidR="00E62A89">
              <w:rPr>
                <w:sz w:val="18"/>
                <w:szCs w:val="18"/>
              </w:rPr>
              <w:instrText xml:space="preserve"> ADDIN ZOTERO_ITEM CSL_CITATION {"citationID":"28SQkEbW","properties":{"formattedCitation":"[9,26,30,31,41,43,44,47\\uc0\\u8211{}55]","plainCitation":"[9,26,30,31,41,43,44,47–55]","noteIndex":0},"citationItems":[{"id":9219,"uris":["http://zotero.org/groups/2790555/items/NF9I4XBK"],"itemData":{"id":9219,"type":"article-journal","container-title":"Ecology","DOI":"10.2307/1938780","ISSN":"00129658","issue":"4","language":"en","page":"760-769","source":"DOI.org (Crossref)","title":"Aboveground production of seven marsh plant species in coastal Louisiana","volume":"59","author":[{"family":"Hopkinson","given":"Charles S."},{"family":"Gosselink","given":"James G."},{"family":"Parrando","given":"Rolando T."}],"issued":{"date-parts":[["1978",7]]}}},{"id":"lMvYmy5j/RNJHFU34","uris":["http://zotero.org/groups/254879/items/9ISWTKRQ"],"itemData":{"id":29636,"type":"article-journal","abstract":"Production and mortality of six marsh macrophytes were measured in Louisiana, USA\nusing phenometricm ethods.T he Williams-Murdocthe chniquee stimatesa nnualp roductionf rom measurements\nof individual culm height, mass, growth, and longevity. Annual mortality was estimated\nfrom bimonthly field measurements of culm height, mass, and death rate as a function of height, and\ndensity. Annual production estimates averaged 1.8 times higher than annual mortality estimates although\nin a steady-state system the rates should be about equal. A probable and correctable reason\nfor the discrepancy is discussed. These estimates are higher than those calculated from Smalley's\nmethodb ut lower than those obtainedf rom the Wiegert-Evansp aired-plott echnique.T he validityo f\nvarious techniques as applied to wetlands is discussed.\nKey words: coastal marshes; Distichlis; Juncus; Louisiana; phenometric; primary production;\nSagittaria;S partina;w etlands.","container-title":"Ecology","DOI":"10.2307/1936828","ISSN":"00129658","issue":"5","page":"1091-1098","source":"CrossRef","title":"Production of coastal Louisiana marsh plants calculated from phenometric techniques","URL":"http://www.jstor.org/stable/1936828?origin=crossref","volume":"61","author":[{"family":"Hopkinson","given":"Charles S."},{"family":"Gosselink","given":"J. G."},{"family":"Parrondo","given":"R. T."}],"accessed":{"date-parts":[["2014",12,16]]},"issued":{"date-parts":[["1980"]]}}},{"id":10414,"uris":["http://zotero.org/groups/2790555/items/7VQ9YYPE"],"itemData":{"id":10414,"type":"article-journal","abstract":"This article is in Free Access Publication and may be downloaded using the “Download Full Text PDF” link at right.","container-title":"Limnology and Oceanography","DOI":"10.4319/lo.1983.28.3.0494","ISSN":"1939-5590","issue":"3","journalAbbreviation":"Limnol. Oceanogr.","language":"en","page":"494-502","source":"Wiley Online Library","title":"Sedimentation, accretion, and subsidence in marshes of Barataria Basin, Louisiana","volume":"28","author":[{"family":"Hatton","given":"R. S."},{"family":"DeLaune","given":"R. D."},{"family":"Patrick","given":"W. H."}],"issued":{"date-parts":[["1983",5,1]]}}},{"id":10754,"uris":["http://zotero.org/groups/2790555/items/GXQTAGHB"],"itemData":{"id":10754,"type":"article-journal","abstract":"The freshwater floating marsh surrounding Lake Boeuf, LA, is a diverse plant community dominated by Panicum hemitomon Schult. (maidencane), with the ferns Thelypteris palustris Schott. and Osmunda regalis L. and the perennial vines Vigna luteola (Jacq.) Benth. and Polygonum sagittatum L. Using the method of Lomnicki et al., we determined net aboveground primary production to be </w:instrText>
            </w:r>
            <w:r w:rsidR="00E62A89">
              <w:rPr>
                <w:rFonts w:ascii="Cambria Math" w:hAnsi="Cambria Math" w:cs="Cambria Math"/>
                <w:sz w:val="18"/>
                <w:szCs w:val="18"/>
              </w:rPr>
              <w:instrText>∼</w:instrText>
            </w:r>
            <w:r w:rsidR="00E62A89">
              <w:rPr>
                <w:sz w:val="18"/>
                <w:szCs w:val="18"/>
              </w:rPr>
              <w:instrText xml:space="preserve"> 1960 g m</w:instrText>
            </w:r>
            <w:r w:rsidR="00E62A89">
              <w:rPr>
                <w:rFonts w:cs="Palatino Linotype"/>
                <w:sz w:val="18"/>
                <w:szCs w:val="18"/>
              </w:rPr>
              <w:instrText>−</w:instrText>
            </w:r>
            <w:r w:rsidR="00E62A89">
              <w:rPr>
                <w:sz w:val="18"/>
                <w:szCs w:val="18"/>
              </w:rPr>
              <w:instrText>2y</w:instrText>
            </w:r>
            <w:r w:rsidR="00E62A89">
              <w:rPr>
                <w:rFonts w:cs="Palatino Linotype"/>
                <w:sz w:val="18"/>
                <w:szCs w:val="18"/>
              </w:rPr>
              <w:instrText>−</w:instrText>
            </w:r>
            <w:r w:rsidR="00E62A89">
              <w:rPr>
                <w:sz w:val="18"/>
                <w:szCs w:val="18"/>
              </w:rPr>
              <w:instrText xml:space="preserve">1 dry weight. The turnover rate, based on the mean longevity of tagged maidencane culms, was 1.21 crops per year.","container-title":"Aquatic Botany","DOI":"10.1016/0304-3770(84)90090-1","ISSN":"0304-3770","issue":"3","journalAbbreviation":"Aquat. Bot.","language":"en","page":"245-255","source":"ScienceDirect","title":"Vegetation and primary production in a floating freshwater marsh in Louisiana","volume":"20","author":[{"family":"Sasser","given":"Charles E."},{"family":"Gosselink","given":"James G."}],"issued":{"date-parts":[["1984",12,1]]}}},{"id":10481,"uris":["http://zotero.org/groups/2790555/items/N76EZPLH"],"itemData":{"id":10481,"type":"article-journal","abstract":"During two growing seasons, the monthly biomass was determined for the dominant plants at three tidal marshes within the lower Pearl River basin, Louisiana. There were differences between the two growing seasons in ecological dominance and production. Ten species (Spartina patens, Sagittaria lancifolia, Phyla nodiflora, Peltandra virginica, Vigna luteola, Saururus cernuus, Polygonum sagittatum, Panicum gymnocarpon, and Eleocharis spp.) accounted for 98% of the marsh productivity. Using the Smalley method, net aboveground primary production was 1241 g/m2/yr for the freshwater marsh, 1745 g/m2/yr for the intermediate salinity marsh, and 2259 g/m2/yr for the brackish marsh. The peak total biomass for the freshwater marsh was 1205 g/m2, for the intermediate marsh it was 1103 g/m2, and for the brackish marsh it was 3089 g/m2. By summing the annual live standing biomass for each species, primary production estimates for each marsh site were lower than those calculated by the Smalley method: 1190 g/m2/yr for the freshwater marsh, 964 g/m2/yr for the intermediate marsh, and 1121 g/m2/yr for the brackish marsh.","container-title":"Castanea","ISSN":"0008-7475","issue":"3","note":"publisher: Southern Appalachian Botanical Society","page":"215-224","source":"JSTOR","title":"Productivity of the Marshes at the Mouth of the Pearl River, Louisiana","volume":"53","author":[{"family":"White","given":"David A."},{"family":"Simmons","given":"Michael J."}],"issued":{"date-parts":[["1988"]]}}},{"id":9510,"uris":["http://zotero.org/groups/2790555/items/FVVU6R4R"],"itemData":{"id":9510,"type":"article-journal","container-title":"Estuarine, Coastal and Shelf Science","DOI":"10/dhx9q2","ISSN":"02727714","issue":"1","journalAbbreviation":"Estuar Coast Shelf Sci.","language":"en","page":"57-69","source":"DOI.org (Crossref)","title":"Wetland soil formation in the rapidly subsiding Mississippi River Deltaic Plain: Mineral and organic matter relationships","title-short":"Wetland soil formation in the rapidly subsiding Mississippi River Deltaic Plain","volume":"31","author":[{"family":"Nyman","given":"J.A."},{"family":"Delaune","given":"R. D."},{"family":"Patrick","given":"W.H."}],"issued":{"date-parts":[["1990",7]]}}},{"id":9409,"uris":["http://zotero.org/groups/2790555/items/434DZK5Y"],"itemData":{"id":9409,"type":"article-journal","abstract":"Methane emissions fromthree wetland habitats in theMississippi River deltaic plain\nwere measured over a three year period. Flux data collected indicate that each habitat was a net\nsource of methane to the atmosphere throughout the year. Average emission from a Taxodium\ndistichum / Nyssa aquatica (bald cypress / water tupelo) swamp forest was 146 </w:instrText>
            </w:r>
            <w:r w:rsidR="00E62A89">
              <w:rPr>
                <w:rFonts w:ascii="Cambria Math" w:hAnsi="Cambria Math" w:cs="Cambria Math"/>
                <w:sz w:val="18"/>
                <w:szCs w:val="18"/>
              </w:rPr>
              <w:instrText>⬚</w:instrText>
            </w:r>
            <w:r w:rsidR="00E62A89">
              <w:rPr>
                <w:sz w:val="18"/>
                <w:szCs w:val="18"/>
              </w:rPr>
              <w:instrText xml:space="preserve"> 199 mg CH4\nm</w:instrText>
            </w:r>
            <w:r w:rsidR="00E62A89">
              <w:rPr>
                <w:rFonts w:ascii="Cambria Math" w:hAnsi="Cambria Math" w:cs="Cambria Math"/>
                <w:sz w:val="18"/>
                <w:szCs w:val="18"/>
              </w:rPr>
              <w:instrText>⬚⬚</w:instrText>
            </w:r>
            <w:r w:rsidR="00E62A89">
              <w:rPr>
                <w:sz w:val="18"/>
                <w:szCs w:val="18"/>
              </w:rPr>
              <w:instrText>2d</w:instrText>
            </w:r>
            <w:r w:rsidR="00E62A89">
              <w:rPr>
                <w:rFonts w:ascii="Cambria Math" w:hAnsi="Cambria Math" w:cs="Cambria Math"/>
                <w:sz w:val="18"/>
                <w:szCs w:val="18"/>
              </w:rPr>
              <w:instrText>⬚⬚</w:instrText>
            </w:r>
            <w:r w:rsidR="00E62A89">
              <w:rPr>
                <w:sz w:val="18"/>
                <w:szCs w:val="18"/>
              </w:rPr>
              <w:instrText xml:space="preserve">1 while emissions from a Sagittaria lancifolia (bulltongue) freshwater marsh averaged\n251 </w:instrText>
            </w:r>
            <w:r w:rsidR="00E62A89">
              <w:rPr>
                <w:rFonts w:ascii="Cambria Math" w:hAnsi="Cambria Math" w:cs="Cambria Math"/>
                <w:sz w:val="18"/>
                <w:szCs w:val="18"/>
              </w:rPr>
              <w:instrText>⬚</w:instrText>
            </w:r>
            <w:r w:rsidR="00E62A89">
              <w:rPr>
                <w:sz w:val="18"/>
                <w:szCs w:val="18"/>
              </w:rPr>
              <w:instrText xml:space="preserve"> 188 mg CH4 m</w:instrText>
            </w:r>
            <w:r w:rsidR="00E62A89">
              <w:rPr>
                <w:rFonts w:ascii="Cambria Math" w:hAnsi="Cambria Math" w:cs="Cambria Math"/>
                <w:sz w:val="18"/>
                <w:szCs w:val="18"/>
              </w:rPr>
              <w:instrText>⬚⬚</w:instrText>
            </w:r>
            <w:r w:rsidR="00E62A89">
              <w:rPr>
                <w:sz w:val="18"/>
                <w:szCs w:val="18"/>
              </w:rPr>
              <w:instrText>2d</w:instrText>
            </w:r>
            <w:r w:rsidR="00E62A89">
              <w:rPr>
                <w:rFonts w:ascii="Cambria Math" w:hAnsi="Cambria Math" w:cs="Cambria Math"/>
                <w:sz w:val="18"/>
                <w:szCs w:val="18"/>
              </w:rPr>
              <w:instrText>⬚⬚</w:instrText>
            </w:r>
            <w:r w:rsidR="00E62A89">
              <w:rPr>
                <w:sz w:val="18"/>
                <w:szCs w:val="18"/>
              </w:rPr>
              <w:instrText xml:space="preserve">1. Methane flux from a Spartina patens / Sagittaria lancifolia\nintermediate marsh was significantly higher, 912 </w:instrText>
            </w:r>
            <w:r w:rsidR="00E62A89">
              <w:rPr>
                <w:rFonts w:ascii="Cambria Math" w:hAnsi="Cambria Math" w:cs="Cambria Math"/>
                <w:sz w:val="18"/>
                <w:szCs w:val="18"/>
              </w:rPr>
              <w:instrText>⬚</w:instrText>
            </w:r>
            <w:r w:rsidR="00E62A89">
              <w:rPr>
                <w:sz w:val="18"/>
                <w:szCs w:val="18"/>
              </w:rPr>
              <w:instrText xml:space="preserve"> 923 mg CH4 m</w:instrText>
            </w:r>
            <w:r w:rsidR="00E62A89">
              <w:rPr>
                <w:rFonts w:ascii="Cambria Math" w:hAnsi="Cambria Math" w:cs="Cambria Math"/>
                <w:sz w:val="18"/>
                <w:szCs w:val="18"/>
              </w:rPr>
              <w:instrText>⬚⬚</w:instrText>
            </w:r>
            <w:r w:rsidR="00E62A89">
              <w:rPr>
                <w:sz w:val="18"/>
                <w:szCs w:val="18"/>
              </w:rPr>
              <w:instrText>2d</w:instrText>
            </w:r>
            <w:r w:rsidR="00E62A89">
              <w:rPr>
                <w:rFonts w:ascii="Cambria Math" w:hAnsi="Cambria Math" w:cs="Cambria Math"/>
                <w:sz w:val="18"/>
                <w:szCs w:val="18"/>
              </w:rPr>
              <w:instrText>⬚⬚</w:instrText>
            </w:r>
            <w:r w:rsidR="00E62A89">
              <w:rPr>
                <w:sz w:val="18"/>
                <w:szCs w:val="18"/>
              </w:rPr>
              <w:instrText xml:space="preserve">1. Seasonal variation\nwas significant with emissions being higher in the late summer and early fall. Significant\ndiurnal emissions were observed from the Sagittaria lancifolia marsh site. Soil temperature (5\nand 10 cm depths) was found to be significantly correlated with methane emission from the\nthree sites.","container-title":"Biogeochemistry","DOI":"10/bqvkjw","issue":"3","page":"227–236","source":"Google Scholar","title":"Methane flux from Mississippi River deltaic plain wetlands","volume":"37","author":[{"family":"Alford","given":"Douglas P."},{"family":"Delaune","given":"Ronald D."},{"family":"Lindau","given":"Charles W."}],"issued":{"date-parts":[["1997"]]}}},{"id":9223,"uris":["http://zotero.org/groups/2790555/items/S2WVV2A9"],"itemData":{"id":9223,"type":"thesis","genre":"Thesis","publisher":"University of Southwestern Louisiana","title":"Accretion, Sedimentation, and Nutrient Accumulation Rates as Influenced by Manipulations in Marsh Hydrology in the Chenier Plain, Louisiana","author":[{"family":"Foret","given":"John D."}],"issued":{"date-parts":[["1997"]]}}},{"id":9222,"uris":["http://zotero.org/groups/2790555/items/QW6K5B6M"],"itemData":{"id":9222,"type":"thesis","genre":"Dissertation","publisher":"University of Louisiana at Lafayette","title":"Nutrient Limitation of Tidal Marshes on the Chenier Plain, Louisiana","author":[{"family":"Foret","given":"John David"}],"issued":{"date-parts":[["2001"]]}}},{"id":9226,"uris":["http://zotero.org/groups/2790555/items/INZJRJHX"],"itemData":{"id":9226,"type":"article-journal","abstract":"Subsidence is a primary factor governing marsh deterioration in Mississippi River deltaic plain coastal marshes. Marsh surface-water level relationships are maintained primarily through soil organic matter accumulation and inorganic sediment input. In this study we examined the role of soil organic matter accumulation in maintaining marsh elevation in a brackish Spartina patens marsh. Measured rates of soil organic accumulation were compared to plant biomass production and soil respiration (carbon dioxide and methane emission) at the study sites. The study demonstrated the importance of plant biomass production to soil organic carbon accumulation in maintaining viable Spartina patens marshes in sediment-deficient coastal environments. The role of Mississippi River freshwater reintroduction in maintaining conditions for organic accretion is discussed.","container-title":"Water, Air, &amp; Soil Pollution: Focus","DOI":"10.1023/A:1022136328105","journalAbbreviation":"Water Air Soil Pollut. Focus.","page":"167-179","source":"ResearchGate","title":"The role of soil organic carbon in maintaining surface elevation in rapidly subsiding U.S. Gulf of Mexico coastal marshes","volume":"3","author":[{"family":"Delaune","given":"Ronald"},{"family":"Pezeshki","given":"S."}],"issued":{"date-parts":[["2003",1,1]]}}},{"id":9956,"uris":["http://zotero.org/groups/2790555/items/USE6KAK3"],"itemData":{"id":9956,"type":"article-journal","container-title":"Marine Ecology Progress Series","DOI":"10/dj4tpv","ISSN":"0171-8630, 1616-1599","journalAbbreviation":"Mar Ecol Prog Ser.","language":"en","page":"73-82","source":"CrossRef","title":"Multiple levels of nitrogen applied to an oligohaline marsh identify a plant community response sequence to eutrophication","volume":"417","author":[{"family":"Graham","given":"Sa"},{"family":"Mendelssohn","given":"Ia"}],"issued":{"date-parts":[["2010",11,4]]}}},{"id":10584,"uris":["http://zotero.org/groups/2790555/items/XMHSNZXQ"],"itemData":{"id":10584,"type":"article-journal","container-title":"Estuaries and Coasts","DOI":"10/f94nbz","ISSN":"1559-2723, 1559-2731","journalAbbreviation":"Estuar Coasts.","language":"en","note":"31 citations (Crossref) [2023-01-23]","source":"CrossRef","title":"A landscape-scale assessment of above- and belowground primary production in coastal wetlands: implications for climate change-induced community shifts","title-short":"A Landscape-Scale Assessment of Above- and Belowground Primary Production in Coastal Wetlands","URL":"http://link.springer.com/10.1007/s12237-016-0177-y","author":[{"family":"Stagg","given":"Camille L."},{"family":"Schoolmaster","given":"Donald R."},{"family":"Piazza","given":"Sarai C."},{"family":"Snedden","given":"Gregg"},{"family":"Steyer","given":"Gregory D."},{"family":"Fischenich","given":"Craig J."},{"family":"McComas","given":"Robert W."}],"accessed":{"date-parts":[["2016",11,11]]},"issued":{"date-parts":[["2016"]]}}},{"id":10847,"uris":["http://zotero.org/groups/2790555/items/7GR7ZW7I"],"itemData":{"id":10847,"type":"article-journal","abstract":"Wetland plants are subject to a range of physical stresses (e.g. inundation, salinity) that affect their productivity or health, which in turn may translate into wetland soils that vary in resistance to physical perturbations in the coastal setting. A primary goal of this study was to test a newly developed instrument designed to measure in-situ resistance to shear failure (soil strength) of marsh soils. The Wetland Soil Strength Tester (WSST) was used at 11 marsh types in coastal Louisiana, where soil bulk density ranged from organic to mineral (0.02–1.24 g cm−3). Based on analyses of live and dead components of both above and belowground biomass, live belowground biomass explained the most variation in marsh soil strength among the vegetation types. The WSST was capable of detecting in-situ live root biomass differences for 8 of 11 marsh types, where only the young deltaic marsh types were not significant. For all the sample plots (n = 227), an increase of 10-Nm soil strength corresponded to an increase of 200 g m−2 of live belowground biomass (R2 = 0.35, p &lt; 0.0001). WSST measurements, combined with other monitoring data, may help in the assessment of wetland condition.","container-title":"Wetlands","DOI":"10.1007/s13157-017-0977-2","ISSN":"0277-5212, 1943-6246","issue":"2","journalAbbreviation":"Wetlands","language":"en","page":"401-409","source":"DOI.org (Crossref)","title":"Relationships of marsh soil strength to belowground vegetation biomass in Louisiana coastal marshes","volume":"38","author":[{"family":"Sasser","given":"C. E."},{"family":"Evers-Hebert","given":"E."},{"family":"Holm","given":"G. O."},{"family":"Milan","given":"B."},{"family":"Sasser","given":"J. B."},{"family":"Peterson","given":"E. F."},{"family":"DeLaune","given":"R. D."}],"issued":{"date-parts":[["2018",4]]}}},{"id":10546,"uris":["http://zotero.org/groups/2790555/items/CJG8IXXX"],"itemData":{"id":10546,"type":"article-journal","container-title":"AGU Biogeosciences","DOI":"10/grmtwt","note":"6 citations (Crossref) [2023-01-23]","title":"Long-term carbon sinks in marsh soils of the Mississippi River Deltaic Plain are at risk to wetland loss","volume":"126","author":[{"family":"Baustian","given":"Melissa M"},{"family":"Stagg","given":"Camille L."},{"family":"Perry","given":"Carey Lynn"},{"family":"Moss","given":"Leland"},{"family":"Carruthers","given":"Tim"}],"issued":{"date-parts":[["2021"]]}}},{"id":9220,"uris":["http://zotero.org/groups/2790555/items/YQYGKV4G"],"itemData":{"id":9220,"type":"thesis","event-place":"Baton Rouge, Louisiana","genre":"Master of Science","publisher":"Louisiana State University, School of Renewable Natural Resources","publisher-place":"Baton Rouge, Louisiana","title":"Effects of Marsh Management in Coastal Marsh Impoundments on Marsh Vertical Accretion in the Face of Sea Level Rise.","URL":"https://digitalcommons.lsu.edu/gradschool_theses/5298","author":[{"family":"Graham","given":"Scott"}],"issued":{"date-parts":[["2021"]]}}},{"id":10741,"uris":["http://zotero.org/groups/2790555/items/CABPF8YH"],"itemData":{"id":10741,"type":"report","abstract":"This dataset contains vertical profiles of soil bulk density, percent organic matter, percent total carbon and cesium-137 activity from the surface down to 50-60 cm deep at 25 marsh locations across Breton Sound basin, Louisiana. These data will provide information related to rates of vertical accretion, organic and mineral accumulation and carbon burial in wetland soils across a large portion of the Mississippi River delta plain.","genre":"data release","note":"type: dataset\nDOI: 10.5066/P9XWAXOT\n\nSuggested citation:\nSnedden, G.A., 2021, Soil properties and soil radioisotope activity across Breton Sound basin wetlands (2008-2013): U.S. Geological Survey data release, https://doi.org/10.5066/P9XWAXOT.","publisher":"U.S. Geological Survey","source":"DOI.org (Datacite)","title":"Soil properties and soil radioisotope activity across Breton Sound basin wetlands (2008-2013)","URL":"https://doi.org/10.5066/P9XWAXOT","author":[{"family":"Snedden","given":"Gregg"}],"accessed":{"date-parts":[["2021",9,15]]},"issued":{"date-parts":[["2021"]]}}}],"schema":"https://github.com/citation-style-language/schema/raw/master/csl-citation.json"} </w:instrText>
            </w:r>
            <w:r>
              <w:rPr>
                <w:sz w:val="18"/>
                <w:szCs w:val="18"/>
              </w:rPr>
              <w:fldChar w:fldCharType="separate"/>
            </w:r>
            <w:r w:rsidR="00E62A89" w:rsidRPr="00E62A89">
              <w:rPr>
                <w:rFonts w:cs="Times New Roman"/>
                <w:sz w:val="18"/>
                <w:szCs w:val="24"/>
              </w:rPr>
              <w:t>[9,26,30,31,41,43,44,47–55]</w:t>
            </w:r>
            <w:r>
              <w:rPr>
                <w:sz w:val="18"/>
                <w:szCs w:val="18"/>
              </w:rPr>
              <w:fldChar w:fldCharType="end"/>
            </w:r>
          </w:p>
        </w:tc>
      </w:tr>
      <w:tr w:rsidR="002F7B48" w14:paraId="47664078" w14:textId="77777777" w:rsidTr="00A45F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00E0CBC3" w14:textId="77777777" w:rsidR="002F7B48" w:rsidRDefault="002F7B48" w:rsidP="00A45FD6">
            <w:pPr>
              <w:pStyle w:val="MDPI42tablebody"/>
            </w:pPr>
            <w:r>
              <w:t>Brackish Marsh</w:t>
            </w:r>
          </w:p>
        </w:tc>
        <w:tc>
          <w:tcPr>
            <w:tcW w:w="833" w:type="pct"/>
          </w:tcPr>
          <w:p w14:paraId="4AF59955"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-46.5 ± 5.5</w:t>
            </w:r>
          </w:p>
        </w:tc>
        <w:tc>
          <w:tcPr>
            <w:tcW w:w="833" w:type="pct"/>
          </w:tcPr>
          <w:p w14:paraId="4B083323"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-9.2 ± 1.1</w:t>
            </w:r>
          </w:p>
        </w:tc>
        <w:tc>
          <w:tcPr>
            <w:tcW w:w="833" w:type="pct"/>
          </w:tcPr>
          <w:p w14:paraId="149EA22E"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8.1 ± 3.2</w:t>
            </w:r>
          </w:p>
        </w:tc>
        <w:tc>
          <w:tcPr>
            <w:tcW w:w="834" w:type="pct"/>
          </w:tcPr>
          <w:p w14:paraId="24C077BC"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-47.6 ± 20.4</w:t>
            </w:r>
          </w:p>
        </w:tc>
        <w:tc>
          <w:tcPr>
            <w:tcW w:w="834" w:type="pct"/>
          </w:tcPr>
          <w:p w14:paraId="06BE238B" w14:textId="43401B1A" w:rsidR="002F7B48" w:rsidRPr="000E21DC" w:rsidRDefault="002F7B48" w:rsidP="00A45FD6">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fldChar w:fldCharType="begin"/>
            </w:r>
            <w:r w:rsidR="00E62A89">
              <w:rPr>
                <w:sz w:val="18"/>
                <w:szCs w:val="18"/>
              </w:rPr>
              <w:instrText xml:space="preserve"> ADDIN ZOTERO_ITEM CSL_CITATION {"citationID":"30s8KFBx","properties":{"formattedCitation":"[25\\uc0\\u8211{}32,34\\uc0\\u8211{}41,43,44,47\\uc0\\u8211{}50,54\\uc0\\u8211{}65]","plainCitation":"[25–32,34–41,43,44,47–50,54–65]","noteIndex":0},"citationItems":[{"id":9219,"uris":["http://zotero.org/groups/2790555/items/NF9I4XBK"],"itemData":{"id":9219,"type":"article-journal","container-title":"Ecology","DOI":"10.2307/1938780","ISSN":"00129658","issue":"4","language":"en","page":"760-769","source":"DOI.org (Crossref)","title":"Aboveground production of seven marsh plant species in coastal Louisiana","volume":"59","author":[{"family":"Hopkinson","given":"Charles S."},{"family":"Gosselink","given":"James G."},{"family":"Parrando","given":"Rolando T."}],"issued":{"date-parts":[["1978",7]]}}},{"id":10280,"uris":["http://zotero.org/groups/2790555/items/PIGNT79Q"],"itemData":{"id":10280,"type":"article-journal","abstract":"Net primary production and decomposition of the 4 dominant salt marsh plants found in Louisiana were determined. Live and dead standing crops were calculated by the harvest method over an annual cycle. Litterbags were used to estimate loss rates of vegetation from the marsh. Peak standing crops were: 1164 g/m^2 for Distichlis spicata, 2194 g/m^2 for Spartina patens, 1959 g/m^2 for Juncus roemerianus and 1473 g/m^2 for Spartina alterniflora. Net production estimates using the Smalley (1958) method were from 1291 g^.m^(-2). yr^(-1) for D. spicata, 1342 g^.m^(-2)^.yr^(-1) for S. patens. 1740 g^.m^(-2)^.yr^(-1) for J. roemerianus and 1527 g^.m^(-2)^.yr^(-1) for S. alterniflora. Using the Wiegert and Evans' (1964) method net production for the 4 species was: 1162 g^.m^(-2)^.yr^(-1), D. spicata; 1428 g^.m^(-2)^.yr^(-1), S. patens; 1806 g^.m^(-2)^.yr^(-1), J. roemerianus and 2895 g^.m^(-2)@?yr^(-1) for S. alterniflora. It is estimated that these 4 species of Louisiana marshland plants produce 146 x 10^5 metric tons/yr of plant material. This accounts for approximately one-half of 17,050 km^2 of marshes in the state. In general production was higher for this Louisiana marsh than reported in Atlantic Coast marshes. Also, decomposition rates were considerably higher. Spartina alterniflora decomposed most rapidal with 100% removal in 7 mo; 24%/yr for D. spicata, 36%/yr for S. patens and 20%/yr for J. roemerianus. In additional a belowrgound standing crop analysis was undertaken on new S. alterniflora roots.","container-title":"Ecology","DOI":"10.2307/1938779","ISSN":"00129658","issue":"4","page":"751","source":"CrossRef","title":"Productivity and decomposition of the dominant salt marsh plants in Louisiana","volume":"59","author":[{"family":"White","given":"David A."},{"family":"Weiss","given":"T. Edward"},{"family":"Trapani","given":"John M."},{"family":"Thien","given":"Leonard B."}],"issued":{"date-parts":[["1978"]]}}},{"id":"lMvYmy5j/RNJHFU34","uris":["http://zotero.org/groups/254879/items/9ISWTKRQ"],"itemData":{"id":29636,"type":"article-journal","abstract":"Production and mortality of six marsh macrophytes were measured in Louisiana, USA\nusing phenometricm ethods.T he Williams-Murdocthe chniquee stimatesa nnualp roductionf rom measurements\nof individual culm height, mass, growth, and longevity. Annual mortality was estimated\nfrom bimonthly field measurements of culm height, mass, and death rate as a function of height, and\ndensity. Annual production estimates averaged 1.8 times higher than annual mortality estimates although\nin a steady-state system the rates should be about equal. A probable and correctable reason\nfor the discrepancy is discussed. These estimates are higher than those calculated from Smalley's\nmethodb ut lower than those obtainedf rom the Wiegert-Evansp aired-plott echnique.T he validityo f\nvarious techniques as applied to wetlands is discussed.\nKey words: coastal marshes; Distichlis; Juncus; Louisiana; phenometric; primary production;\nSagittaria;S partina;w etlands.","container-title":"Ecology","DOI":"10.2307/1936828","ISSN":"00129658","issue":"5","page":"1091-1098","source":"CrossRef","title":"Production of coastal Louisiana marsh plants calculated from phenometric techniques","URL":"http://www.jstor.org/stable/1936828?origin=crossref","volume":"61","author":[{"family":"Hopkinson","given":"Charles S."},{"family":"Gosselink","given":"J. G."},{"family":"Parrondo","given":"R. T."}],"accessed":{"date-parts":[["2014",12,16]]},"issued":{"date-parts":[["1980"]]}}},{"id":9232,"uris":["http://zotero.org/groups/2790555/items/SLE2HXHQ"],"itemData":{"id":9232,"type":"article-journal","container-title":"American Midland Naturalist","DOI":"10.2307/2425135","ISSN":"00030031","issue":"1","journalAbbreviation":"Am. Midl. Nat.","page":"65","source":"DOI.org (Crossref)","title":"Productivity of four marsh sites surrounding Lake Pontchartrain, Louisiana","volume":"106","author":[{"family":"Cramer","given":"Glenn W."},{"family":"Day","given":"John W."},{"family":"Conner","given":"William H."}],"issued":{"date-parts":[["1981",7]]}}},{"id":9722,"uris":["http://zotero.org/groups/2790555/items/LXDB7QGA"],"itemData":{"id":9722,"type":"article-journal","abstract":"A \nseasonal \nstudy \nof \nmethane release \nfrom \nadjoining \nsalt, \nbrackish \nand  fresh \nmarsh sediment and \nthe \nadjacent \nopen  water \nareas \nin  Louisiana’s \nBarataria \nBasin \nindicates \nthat \nmethane emission \nis \na  significant  process \nin \nthe \ncarbon \nand \nenergy \nflow \nof \nthe  ecosystem.  Methane \nemission  was \ninversely \nrelated  to  salinity  and  sulfate \nconcentration, \nwith \nmethane increasing \nand \nsalinity  and \nsulfate  decreasing \nwith \nincreasing \ndistance \nfrom \nthe \ncoast. \nThe \nannual \namounts \nof \nmethane \nevolved  were \n4.3, \n73 \nand \n160 \ng \nC \nm-2 \nfor  the \nsalt, \nbrackish  and \nfresh \nmarshes, \nrespectively. \nIn \nvitro \nexperiments \nshow \nthat \nmethane \nproduction \nis \nsensitive \nto \nthe \naddition \nof \nsulfate, \nhigh \nconcentrations \n(10 \nmM \nSO,) \ninhibiting methane evolution","container-title":"Tellus B: Chemical and Physical Meteorology","DOI":"10/gh4wht","ISSN":"1600-0889","issue":"1","journalAbbreviation":"Tellus B: Chem. Phys. Meteorol.","language":"en","page":"8-15","source":"CrossRef","title":"Methane release from Gulf coast wetlands","volume":"35","author":[{"family":"DeLaune","given":"Ronald D."},{"family":"Smith","given":"Chris J."},{"family":"Patrick","given":"William H."}],"issued":{"date-parts":[["1983",1]]}}},{"id":10414,"uris":["http://zotero.org/groups/2790555/items/7VQ9YYPE"],"itemData":{"id":10414,"type":"article-journal","abstract":"This article is in Free Access Publication and may be downloaded using the “Download Full Text PDF” link at right.","container-title":"Limnology and Oceanography","DOI":"10.4319/lo.1983.28.3.0494","ISSN":"1939-5590","issue":"3","journalAbbreviation":"Limnol. Oceanogr.","language":"en","page":"494-502","source":"Wiley Online Library","title":"Sedimentation, accretion, and subsidence in marshes of Barataria Basin, Louisiana","volume":"28","author":[{"family":"Hatton","given":"R. S."},{"family":"DeLaune","given":"R. D."},{"family":"Patrick","given":"W. H."}],"issued":{"date-parts":[["1983",5,1]]}}},{"id":10337,"uris":["http://zotero.org/groups/2790555/items/VU4FU7JL"],"itemData":{"id":10337,"type":"article-journal","abstract":"Direct measurements of CO2 fluxes were made in salt, brackish and freshwater marshes and parallel adjacent open water areas in Barataria Basin, Louisiana. Vertical flux density was determined by monitoring the accumulation of CO2 in aluminum chambers placed over the water or sediment surfaces. Annual CO2 fluxes were 418, 180 and 618 g Cm−2 from the salt, brackish and freshwater marsh, respectively. Water bodies adjacent to the marsh evolved 103, 54 and 242 g CO2-Cm−2yr−1 to the atmosphere from saline, brackish and freshwater lakes, respectively. The role these marshes play in serving as a major carbon sink was determined from the carbon content of the sediment, vertical accretion rates and the bulk density of the sediment. Accretion rates were calculated from the depth in the sediment of the 1963 horizon, the year of peak 137Cs fallout. Net carbon accumulation was essentially the same in all three marshes; 183, 296 and 224 g Cm−2yr−1 from the salt, brackish and fresh marsh, respectively. Data presented suggest a limited net export of carbon from these coastal marshes. A large percentage of fixed carbon remained on the marsh, being immobilized in accretionary processes or lost to the atmosphere as CO2.","container-title":"Estuarine, Coastal and Shelf Science","DOI":"10/ffk8tt","journalAbbreviation":"Estuar Coast Shelf Sci.","page":"21-29","title":"Carbon dioxide emission and carbon accumulation in coastal wetlands","volume":"17","author":[{"family":"Smith","given":"C.J."},{"family":"DeLaune","given":"R. D."},{"family":"Patrick Jr","given":"W.H."}],"issued":{"date-parts":[["1983"]]}}},{"id":10473,"uris":["http://zotero.org/groups/2790555/items/MRYBTS8L"],"itemData":{"id":10473,"type":"article-journal","abstract":"Nitrous oxide evolution may contribute to partial destruction of the ozone layer in the stratosphere. A two year study of the release of NzO from adjoining salt, brackish, and fresh marsh sediment indicates that the annual emission was 3 1, 48, and 55 mg N mm2respectively. Emission from open water area was less than the corresponding emission from the marsh sediment. In vilro experiments indicate that the N20 emission was increased when the sediment was drained for extended periods of time. The addition of NO; significantly increased the rate of NZO evolution, indicating that a large potential for de&amp;r&amp;cation exists in the anoxic sediment. Appreciable losses of NzO would only be expected when the marshes receive an extraneous source of nitrate such as sewage and/or wastewater. The contribution of the Gulf Coast wetlands to the atmospheric NzO balance is estimated to be 3.3 X lo9 g NZO. The maximum average daily emission was equivalent to I .5 g N,O-N ha-‘, which is less than the measured emission from uncultivated soils (MOSIER etal.,1981) but greater than the estimates from noncropped land (CAST, 1976).","container-title":"Geochimica et Cosmochimica Acta","DOI":"10/fvxsvc","ISSN":"00167037","issue":"10","journalAbbreviation":"Geochimica et Cosmochimica Acta","language":"en","page":"1805-1814","source":"DOI.org (Crossref)","title":"Nitrous oxide emission from Gulf Coast wetlands","volume":"47","author":[{"family":"Smith","given":"C.J."},{"family":"DeLaune","given":"R.D."},{"family":"Patrick","given":"W.H."}],"issued":{"date-parts":[["1983",10]]}}},{"id":10789,"uris":["http://zotero.org/groups/2790555/items/MVYKWVLM"],"itemData":{"id":10789,"type":"article-journal","abstract":"A large percentage of the annual plant biomass production in interdistributary basins of the Mississippi River delta plain either remains on the marsh in the form of organic-rich sediment (peat) or is lost to the atmosphere as carbon dioxide and methane. Peat is formed due to vertical accretion as the marsh surface is maintained relative to a mean water level. The rate of accretion determined from Cs-137 dating averaged 0.85 cm and 0.95 cm/yr for the fresh and brackish peat deposits respectively. However, increase in water level, obtained from analysis of tide gauge data, was estimated to be in order of 60-1.0 cm/yr. The rapid rate of peat accumulation (254-296 g C/sq m/yr) is attributed to increases in water level due to subsidence resulting from the consolidation of Mississippi River deltaic deposits. 28 references, 5 figures, 1 table.","container-title":"Southeast. Geol.; (United States)","language":"English","note":"Institution: Louisiana State Univ., Baton Rouge","source":"www.osti.gov","title":"Carbon cycle and the rate of vertical accumulation of peat in the Mississippi River deltaic plain","URL":"https://www.osti.gov/biblio/5230563","volume":"25:2","author":[{"family":"Delaune","given":"R. D."},{"family":"Smith","given":"C. J."}],"accessed":{"date-parts":[["2022",3,29]]},"issued":{"date-parts":[["1984",10,1]]}}},{"id":10754,"uris":["http://zotero.org/groups/2790555/items/GXQTAGHB"],"itemData":{"id":10754,"type":"article-journal","abstract":"The freshwater floating marsh surrounding Lake Boeuf, LA, is a diverse plant community dominated by Panicum hemitomon Schult. (maidencane), with the ferns Thelypteris palustris Schott. and Osmunda regalis L. and the perennial vines Vigna luteola (Jacq.) Benth. and Polygonum sagittatum L. Using the method of Lomnicki et al., we determined net aboveground primary production to be </w:instrText>
            </w:r>
            <w:r w:rsidR="00E62A89">
              <w:rPr>
                <w:rFonts w:ascii="Cambria Math" w:hAnsi="Cambria Math" w:cs="Cambria Math"/>
                <w:sz w:val="18"/>
                <w:szCs w:val="18"/>
              </w:rPr>
              <w:instrText>∼</w:instrText>
            </w:r>
            <w:r w:rsidR="00E62A89">
              <w:rPr>
                <w:sz w:val="18"/>
                <w:szCs w:val="18"/>
              </w:rPr>
              <w:instrText xml:space="preserve"> 1960 g m</w:instrText>
            </w:r>
            <w:r w:rsidR="00E62A89">
              <w:rPr>
                <w:rFonts w:cs="Palatino Linotype"/>
                <w:sz w:val="18"/>
                <w:szCs w:val="18"/>
              </w:rPr>
              <w:instrText>−</w:instrText>
            </w:r>
            <w:r w:rsidR="00E62A89">
              <w:rPr>
                <w:sz w:val="18"/>
                <w:szCs w:val="18"/>
              </w:rPr>
              <w:instrText>2y</w:instrText>
            </w:r>
            <w:r w:rsidR="00E62A89">
              <w:rPr>
                <w:rFonts w:cs="Palatino Linotype"/>
                <w:sz w:val="18"/>
                <w:szCs w:val="18"/>
              </w:rPr>
              <w:instrText>−</w:instrText>
            </w:r>
            <w:r w:rsidR="00E62A89">
              <w:rPr>
                <w:sz w:val="18"/>
                <w:szCs w:val="18"/>
              </w:rPr>
              <w:instrText xml:space="preserve">1 dry weight. The turnover rate, based on the mean longevity of tagged maidencane culms, was 1.21 crops per year.","container-title":"Aquatic Botany","DOI":"10.1016/0304-3770(84)90090-1","ISSN":"0304-3770","issue":"3","journalAbbreviation":"Aquat. Bot.","language":"en","page":"245-255","source":"ScienceDirect","title":"Vegetation and primary production in a floating freshwater marsh in Louisiana","volume":"20","author":[{"family":"Sasser","given":"Charles E."},{"family":"Gosselink","given":"James G."}],"issued":{"date-parts":[["1984",12,1]]}}},{"id":10743,"uris":["http://zotero.org/groups/2790555/items/EXVKQYCU"],"itemData":{"id":10743,"type":"article-journal","container-title":"Marine ecology progress series. Oldendorf","issue":"3","journalAbbreviation":"Mar Ecol Prog Ser","page":"255–260","source":"Google Scholar","title":"Carbon flow in coastal Louisiana. Marine Ecology Progress Series","volume":"24","author":[{"family":"Feijtel","given":"T. C."},{"family":"DeLaune","given":"R. D."},{"family":"Patrick Jr","given":"W. H."}],"issued":{"date-parts":[["1985"]]}}},{"id":10481,"uris":["http://zotero.org/groups/2790555/items/N76EZPLH"],"itemData":{"id":10481,"type":"article-journal","abstract":"During two growing seasons, the monthly biomass was determined for the dominant plants at three tidal marshes within the lower Pearl River basin, Louisiana. There were differences between the two growing seasons in ecological dominance and production. Ten species (Spartina patens, Sagittaria lancifolia, Phyla nodiflora, Peltandra virginica, Vigna luteola, Saururus cernuus, Polygonum sagittatum, Panicum gymnocarpon, and Eleocharis spp.) accounted for 98% of the marsh productivity. Using the Smalley method, net aboveground primary production was 1241 g/m2/yr for the freshwater marsh, 1745 g/m2/yr for the intermediate salinity marsh, and 2259 g/m2/yr for the brackish marsh. The peak total biomass for the freshwater marsh was 1205 g/m2, for the intermediate marsh it was 1103 g/m2, and for the brackish marsh it was 3089 g/m2. By summing the annual live standing biomass for each species, primary production estimates for each marsh site were lower than those calculated by the Smalley method: 1190 g/m2/yr for the freshwater marsh, 964 g/m2/yr for the intermediate marsh, and 1121 g/m2/yr for the brackish marsh.","container-title":"Castanea","ISSN":"0008-7475","issue":"3","note":"publisher: Southern Appalachian Botanical Society","page":"215-224","source":"JSTOR","title":"Productivity of the Marshes at the Mouth of the Pearl River, Louisiana","volume":"53","author":[{"family":"White","given":"David A."},{"family":"Simmons","given":"Michael J."}],"issued":{"date-parts":[["1988"]]}}},{"id":9510,"uris":["http://zotero.org/groups/2790555/items/FVVU6R4R"],"itemData":{"id":9510,"type":"article-journal","container-title":"Estuarine, Coastal and Shelf Science","DOI":"10/dhx9q2","ISSN":"02727714","issue":"1","journalAbbreviation":"Estuar Coast Shelf Sci.","language":"en","page":"57-69","source":"DOI.org (Crossref)","title":"Wetland soil formation in the rapidly subsiding Mississippi River Deltaic Plain: Mineral and organic matter relationships","title-short":"Wetland soil formation in the rapidly subsiding Mississippi River Deltaic Plain","volume":"31","author":[{"family":"Nyman","given":"J.A."},{"family":"Delaune","given":"R. D."},{"family":"Patrick","given":"W.H."}],"issued":{"date-parts":[["1990",7]]}}},{"id":10482,"uris":["http://zotero.org/groups/2790555/items/BFPTQJ6M"],"itemData":{"id":10482,"type":"article-journal","container-title":"Journal of Vegetation Science","DOI":"10/fttvvw","ISSN":"11009233, 16541103","issue":"3","journalAbbreviation":"J. Veg. Sci.","language":"en","page":"331-338","source":"DOI.org (Crossref)","title":"A comparative study of above-ground productivity of dominant U.S. Gulf Coast marsh species","volume":"2","author":[{"family":"Pezeshki","given":"S. R."},{"family":"DeLaune","given":"R. D."}],"issued":{"date-parts":[["1991",6]]}}},{"id":10145,"uris":["http://zotero.org/groups/2790555/items/7KNUSHLC"],"itemData":{"id":10145,"type":"article-journal","abstract":"Recent accretion was measured by the feldspar marker horizon method in two gravity-drained, managed, marsh impoundments and unmanaged reference marshes located on the rapidly subsiding coast of Louisiana. Water level management was designed to limit hydrologic exchange to the managed marsh by regulating the direction and rate of water flows. During a drawdown-flooding water management cycle, the unmanaged ref- erence marshes had significantly higher vertical accretion rates, higher soil bulk density and soil mineral matter content, lower soil organic matter content, and higher rates of organic matter accumulation than the managed marsh. The rate of mineral matter accu- mulation was higher in both reference marshes, but was significantly higher in only one. Spatial variability in accumulation rates was low when analyzed in one managed marsh site, suggesting a primarily autochthonous source of matter. In contrast, the associated reference marsh apparently received allochthonous material that settled out in a distinct spatial pattern as water velocity decreased. The impoundment marshes experienced an accretion deficit of one full order of magnitude (0.1 vs. 1.0 cm/yr) based on comparison of accretion and sea level rise data, while the unmanaged reference marshes experienced a five-fold smaller deficit or no deficit. These data suggest that the gravity-drained im- poundments likely have a shorter life expectancy than the reference marshes in the rapidly subsiding Louisiana coast.","container-title":"Ecological Applications","DOI":"10/cpnctx","ISSN":"10510761","issue":"1","journalAbbreviation":"Ecol Appl .","page":"166","source":"CrossRef","title":"Recent accretion in two managed marsh impoundments in coastal Louisiana","volume":"4","author":[{"family":"Cahoon","given":"Donald R."}],"issued":{"date-parts":[["1994",2]]}}},{"id":9653,"uris":["http://zotero.org/groups/2790555/items/NHIYSPK4"],"itemData":{"id":9653,"type":"article-journal","abstract":"We studied organic matter cycling in two Gulf Coast tidal, nonsaline marsh sites where subsidence causes\nmarine intrusion and rapid submergence, which mimics increased sea-level rise. The sites experienced equally rapid\nsubmergence but different degrees of marine intrusion. Vegetation was hummocked and much of the marsh lacked\nrooted vegetation. Aboveground standing crop and production, as measured by sequential harvesting, were low relative\nto other Gulf Coast Spartina patens marshes. Soil bulk density was lower than reported for healthy S. alterniflora growth\nbut that may be unimportant at the current, moderate sulfate levels. Belowground production, as measured by sequential\nharvesting, was extremely fast within hummocks, but much of the marsh received little or no bclowground inputs.\nAboveground production was slower at the more saline site (681 g m -z yr l) than at the le~ saline site (1,252 g m 2\nyr t). Belowground production over the entire marsh surface averaged 1,401 g m -2 yr ~ at the less saline site and 585 g\nm ~ yr l at the more saline site. Respiration, as measured by CO.2 emissions in the field and corrected for CH4 emissious,\nwas slower at the less saline site (956 g m -2 yr ~) than at the more saline site (1,438 g m -~ yr t), reflecting greater\ncontributions by S. alterniflora at the more saline site which is known to decompose more rapidly than S. patens. Burial\nof organic matter was faster at the less saline site (796 g m -~ yr ~) than at the more saline site (434 g m 2 yr l), likely\nin response to faster production and slower decomposition at the less saline site. Thus vertic',d accretion was faster at\nthe less saline site (1.3 cm yr l) than at the more saline site (0.85 cm yr i); slower vertical accretion increased flooding\nat the more saline site. More organic matter was available for export at the less saline site (1,377 g m -z yr t) than at the\nmore saline site (98 g m -~ yr t). These data indicated that organic matter production decreased and burial increased in\nresponse to greenhouse-like conditions brought on by subsidence.","container-title":"Estuaries","DOI":"10/dknpj9","issue":"1B","note":"18","page":"207-218","title":"Organic matter fluxes and marsh stability in a rapidly submerging estuarine marsh","title-short":"Organic matter fluxes and marsh stability in a rapidly submerging estuarine marsh","volume":"18","author":[{"family":"Nyman","given":"J. Andrew"},{"family":"DeLaune","given":"R. D."},{"family":"Pezeshki","given":"S. R."},{"family":"Patrick","given":"W. H.","suffix":"Jr."}],"issued":{"date-parts":[["1995"]]}}},{"id":9223,"uris":["http://zotero.org/groups/2790555/items/S2WVV2A9"],"itemData":{"id":9223,"type":"thesis","genre":"Thesis","publisher":"University of Southwestern Louisiana","title":"Accretion, Sedimentation, and Nutrient Accumulation Rates as Influenced by Manipulations in Marsh Hydrology in the Chenier Plain, Louisiana","author":[{"family":"Foret","given":"John D."}],"issued":{"date-parts":[["1997"]]}}},{"id":9281,"uris":["http://zotero.org/groups/2790555/items/XYAX93E9"],"itemData":{"id":9281,"type":"report","abstract":"This report is preliminary and has not been reviewed for conformity-with U.S. Geological Survey editorial standards (or with the North American Stratigraphic Code). Any use of trade, product, or firm names is for descriptive purposes only and does not imply endorsement by the U.S. Government.","collection-title":"Mississippi Basin Carbon Project Process Studies","genre":"Open-File Report","number":"98-36","page":"66","publisher":"U.S. Geological Survey","source":"CiteSeer","title":"Carbon Storage and Late Holocene Chronostratigraphy of a Mississippi River Deltaic Marsh, St. Bernard Parish, Louisiana","URL":"https://pubs.usgs.gov/of/1998/0036/report.pdf","author":[{"family":"Markewich","given":"Walsh"},{"family":"Britsch","given":"Louis D."},{"family":"Buell","given":"Gary R."},{"family":"Dillon","given":"Douglas L."},{"family":"Fraticelli","given":"Carmen M."},{"family":"Fries","given":"Terry L."},{"family":"Markewich","given":"Helaine Walsh"},{"family":"Mcgeehin","given":"John P."},{"family":"Pracht","given":"Jodi B."},{"family":"Robbins","given":"John A."},{"family":"Samuel","given":"Bruce M."},{"family":"Wrenn","given":"John H."}],"issued":{"date-parts":[["1998"]]}}},{"id":19648,"uris":["http://zotero.org/groups/235630/items/Z5WFZ7TC"],"itemData":{"id":19648,"type":"article-journal","abstract":"Wetland degradation and loss is the result of a combination of natural causes and anthropogenic activities and is a serious problem in coastal Louisiana, where approximately 80% of the total US coastal wetland loss since the 1930's has occurred. One method currently used to address this wetland loss problem is structural marsh management, which is the use of levees and water control structures to control hydroperiod. The effects of structural marsh management on two managed marshes in Southern Louisiana (Unit 4 of the Rockefeller Wildlife Refuge and the Fina LaTerre Mitigation Bank) were evaluated by comparing the soils and the dominant emergent marsh vegetation (&lt;i&gt;Spartina patens&lt;/i&gt;) of the two managed marshes with those of two nearby unmanaged marshes. Soil redox potential, water depth, interstitial water sulfide concentration, salinity, NH_4-N and elemental concentrations of Na, K, Ca, Mg, P, Fe and Zn were measured four times during 1989 which was a drawdown year. Net and total CO_2 exchange rate, primary productivity, leaf area, stem density, and live, dead and total aboveground biomass were also measured. The managed marsh at Rockefeller had lower water levels, significantly less reduced surface and 15 cm deep soils and significantly lower interstitial sulfide concentrations and salinity levels. Na, K, Mg and Ca concentrations reflected the same pattern as salinity. Live aboveground biomass, primary productivity and leaf area were 3–4 times greater in the managed marsh. This indicates that marsh management improved soil conditions and provided an environment favorable to more vigorous plant growth. The management scheme at Fina LaTerre was also successful at maintaining lower water levels than in the adjacent unmanaged area. However, surface soils were more reduced and interstitial salinity higher, on average, in the managed marsh indicating generally poorer water circulation. Primary productivity was 50% less and stem density, leaf area, net CO_2 and total CO_2 exchange rates were significantly lower in the managed marsh, compared to the nearby reference marsh. Conditions in the managed marsh indicate that the management scheme was not successful at improving soil conditions when compared to those in the adjacent unmanaged marsh. This study indicates that structural marsh management is not the universal answer to problems faced by Louisiana's coastal wetlands, but may be of value in specific situations.","container-title":"Wetlands Ecology and Management","issue":"4","journalAbbreviation":"Wetl. Ecol. Manag.","page":"193–218","source":"Google Scholar","title":"The effect of water level management on the soils and vegetation of two coastal Louisiana marshes","volume":"7","author":[{"family":"Flynn","given":"K. M."},{"family":"Mendelssohn","given":"I. A."},{"family":"Wilsey","given":"B. J."}],"issued":{"date-parts":[["1999",12]]}}},{"id":10364,"uris":["http://zotero.org/groups/2790555/items/49MYUQN5"],"itemData":{"id":10364,"type":"article-journal","abstract":"Coastal marshes accrete vertically in response to sea-level rise and subsidence. Inadequate accretion and subsequent conversion of coastal\nmarshes to open water generally is attributed to inadequate mineral sedimentation because mineral sedimentation is widely assumed to control\naccretion. Using 137Cs dating to determine vertical accretion, mineral sedimentation, and organic matter accumulation, we found that accretion\nvaried with organic accumulation rather than mineral sedimentation across a wide range of conditions in coastal Louisiana, including stable\nmarshes where soil was 80% mineral matter. These results agreed with previous research, but no mechanism had been proposed to explain accretion\nvia vegetative growth. In an exploratory greenhouse experiment, we found that flooding stimulated root growth above the marsh surface.\nThese results indicated the need for additional work to determine if flooding controls accretion in some marshes by stimulating root growth on\nthe marsh surface, rather than by mineral accumulation on the marsh surface. Restoration or management that focus on mineral sedimentation\nmay be ineffective where a relationship between accretion and mineral sedimentation is assumed rather than tested.","container-title":"Estuarine, Coastal and Shelf Science","DOI":"10/d3wjmw","ISSN":"0272-7714","journalAbbreviation":"Estuar Coast Shelf Sci.","note":"3","page":"370-380","title":"Marsh vertical accretion via vegetative growth","title-short":"Marsh vertical accretion via vegetative growth","volume":"69","author":[{"family":"Nyman","given":"J. Andrew"},{"family":"Walters","given":"Russel J."},{"family":"Delaune","given":"Ronald D."},{"family":"Patrick Jr","given":"William H."}],"issued":{"date-parts":[["2006"]]}}},{"id":10081,"uris":["http://zotero.org/groups/2790555/items/CJ7DLS6H"],"itemData":{"id":10081,"type":"article-journal","abstract":"Gulf of Mexico (GOM) coastal wetlands contribute to human well-being by providing many ecosystem services. The GOM region continues to experience substantial losses of coastal wetlands, but the magnitude of reduction in ecosystem services resulting from the loss of GOM coastal wetlands is unknown. To gain an appreciation of the impact of GOM coastal wetland loss on ecosystem services, recent literature was reviewed to derive quantitative estimates of ecosystem services provided by GOM coastal wetlands. GOM coastal wetlands provide essential habitat for the production of juvenile shrimp, which supports the GOM’s most valuable commercial fishery; protect coastal communities from storm surge; improve water quality by removing nitrogen from surface waters; and are valuable sinks for greenhouse gases due to high rates of carbon sequestration combined with low rates of methane emission. Using 1998 to 2004 as a baseline, the potential loss of ecosystem services associated with loss of coastal wetlands is presented. Additional research is needed to quantify wetland services at multiple geospatial and socioeconomic scales, to determine the effect of wetland loss on ecosystem services, and to demonstrate the impact of future management decisions on the capacity of GOM coastal wetlands to provide services that affect human well-being.","container-title":"Wetlands","DOI":"10.1007/s13157-010-0132-9","ISSN":"0277-5212, 1943-6246","issue":"1","journalAbbreviation":"Wetlands","language":"en","page":"179-193","source":"link.springer.com","title":"Estimating the provision of ecosystem services by Gulf of Mexico coastal wetlands","volume":"31","author":[{"family":"Engle","given":"Virginia D."}],"issued":{"date-parts":[["2011",1,12]]}}},{"id":9485,"uris":["http://zotero.org/groups/2790555/items/WYNYW2H5"],"itemData":{"id":9485,"type":"report","abstract":"Hurricanes Katrina and Rita made landfall in 2005,\nsubjecting the coastal marsh communities of Louisiana to\nvarious degrees of exposure. We collected data after the\nstorms at 30 sites within fresh (12), brackish/intermediate\n(12), and saline (6) marshes to document the effects of\nsaltwater storm surge and sedimentation on marsh community\ndynamics. The 30 sites were comprised of 15 pairs. Most\npairs contained one site where data collection occurred\nhistorically (that is, prestorms) and one Coastwide Reference\nMonitoring System site. Data were collected from spring\n2006 to fall 2007 on vegetative species composition,\npercentage of vegetation cover, aboveground and belowground\nbiomass, and canopy reflectance, along with discrete\nporewater salinity, hourly surface-water salinity, and water\nlevel. Where available, historical data acquired before\nHurricanes Katrina and Rita were used to compare conditions\nand changes in ecological trajectories before and after the\nhurricanes. Sites experiencing direct and indirect hurricane\ninfluences (referred to in this report as levels of influence)\nwere also identified, and the effects of hurricane influence\nwere tested on vegetation and porewater data. Within fresh\nmarshes, porewater salinity was greater in directly impacted\nareas, and this heightened salinity was reflected in decreased\naboveground and belowground biomass and increased cover\nof disturbance species in the directly impacted sites. At the\nbrackish/intermediate marsh sites, vegetation variables and\nporewater salinity were similar in directly and indirectly\nimpacted areas, but porewater salinity was higher than\nexpected throughout the study. Interestingly, directly impacted\nsaline marsh sites had lower porewater salinity than indirectly\nimpacted sites, but aboveground biomass was greater at the\ndirectly impacted sites.\nBecause of the variable and site-specific nature of\nhurricane influences, we present case studies to help define\npostdisturbance baseline conditions in fresh, brackish/\nintermediate, and saline marshes. In fresh marshes, the\nmechanism of hurricane influence varied across the landscape.\nIn the western region, saltwater storm surge inundated\nfreshwater marshes and remained for weeks, effectively\ncausing damage that reset the vegetation community. This\nis in contrast to the direct physical disturbance of the storm\nsurge in the eastern region, which flipped and relocated\nmarsh mats, thereby stressing the vegetation communities\nand providing an opportunity for disturbance species to\ncolonize. In the brackish/intermediate marsh, disturbance\nspecies took advantage of the opportunity provided by shifting\nspecies composition caused by physical and saltwater-induced\nperturbations, although this shift is likely to be short lived.\nSaline marsh sites were not negatively impacted to a severe\ndegree by the hurricanes. Species composition of vegetation\nin saline marshes was not affected, and sediment deposition\nappeared to increase vegetative productivity.\nThe coastal landscape of Louisiana is experiencing high\nrates of land loss resulting from natural and anthropogenic\ncauses and is experiencing subsidence rates greater than\n10.0 millimeters per year (mm yr-1); therefore, it is important\nto understand how hurricanes influence sedimentation and soil\nproperties. We document long-term vertical accretion rates and\naccumulation rates of organic matter, bulk density, carbon and\nnitrogen. Analyses using caesium-137 to calculate long-term\nvertical accretion rates suggest that accretion under impounded\nconditions is less than in nonimpounded conditions in the\nbrackish marsh of the chenier plain. Our data also support previous studies indicating that accumulation rates of organic\nmatter explain much of the variability associated with vertical\naccretion in brackish/intermediate and saline marshes. In\nfresh marshes, more of the variability associated with vertical\naccretion was explained by mineral accumulation than in the\nother marsh types. The marsh types in this study span a wide\ndistribution of nutrient accumulation rates but exhibit similar\nupper limits of carbon (200 grams per square meter per year\n[g m-2 yr-1]) and nitrogen (10–14 g m-2 yr-1) accumulation.\nInformation regarding site-specific soil properties is provided\nthrough soil profiles, and short-term elevation change and\naccretion are also reported for sites where historical data\ncollection occurred.\nThis study provides new ecological baseline conditions\nfollowing Hurricanes Katrina and Rita and an assessment\nof site-specific hurricane impacts, recovery, and potential\nchanges in ecological trajectories. Paired with the ongoing\ndata collection through the Coastwide Reference Monitoring\nSystem program, this study should provide useful information\nfor resource managers and modelers that can be used for\ncomparisons of conditions occurring after future landscapescale\ndisturbances.","event-place":"Reston, Virginia","genre":"Open-File Report","number":"2011-1094","page":"126","publisher":"U.S. Geological Survey","publisher-place":"Reston, Virginia","title":"Geomorphic and ecological effects of Hurricanes Katrina and Rita on coastal Louisiana marsh communities","author":[{"family":"Piazza","given":"Sarai C."},{"family":"Steyer","given":"Gregory D."},{"family":"Cretini","given":"Kari F."},{"family":"Sasser","given":"Charles E."},{"family":"Visser","given":"Jenneke M."},{"family":"Holm","given":"Guerry O."},{"family":"Sharp","given":"Leigh Anne"},{"family":"Evers","given":"D. Elaine"},{"family":"Meriwether","given":"John R."}],"issued":{"date-parts":[["2011"]]}}},{"id":9229,"uris":["http://zotero.org/groups/2790555/items/H8X7D9PD"],"itemData":{"id":9229,"type":"article-journal","container-title":"Estuaries and Coasts","DOI":"10.1007/s12237-012-9581-0","ISSN":"1559-2723, 1559-2731","issue":"4","journalAbbreviation":"Estuar Coasts.","language":"en","page":"665-682","source":"DOI.org (Crossref)","title":"Vegetation and soil dynamics of a Louisiana estuary receiving pulsed Mississippi River water following Hurricane Katrina","volume":"36","author":[{"family":"Day","given":"John W"},{"family":"Lane","given":"Robert"},{"family":"Moerschbaecher","given":"Matthew"},{"family":"DeLaune","given":"Ronald"},{"family":"Mendelssohn","given":"Irving"},{"family":"Baustian","given":"Joseph"},{"family":"Twilley","given":"Robert"}],"issued":{"date-parts":[["2013",7]]}}},{"id":9724,"uris":["http://zotero.org/groups/2790555/items/BDB9KLHF"],"itemData":{"id":9724,"type":"article-journal","abstract":"Marsh soil accretion processes were examined at 12 locations in fresh and brackish marshes in Louisiana's\nnorthern Barataria Basin estuary. Soil accretion rate determined from 137Cs ranged from 0.59 to 1.03 cm yr−1.\nSoil structure and accretion were controlled primarily by organic matter accumulation rather than mineral sediment\ndeposition with water and entrapped gases occupying themajority of the soil volume ranging from92 to\n95%. Organicmatter accumulation ranged from328 to 580 g m−2 yr−1whilemineral accumulation ranged from\n78 to 380 g m−2 yr−1 Such organic-based fresh and brackish marsh soil are more fragile than mineral based\nmarsh soils and are subject to impact by salt water intrusion and hurricane storm surge forces. The Davis Pond\ndiversion is a conduit between the Mississippi River and the coastal marshes of Barataria basin currently\nreintroducing river water into the basin leading to lower basin salinities This hydrologic management measure\nshould benefit and extend the stability of the studied marsh sites encouraging continued vegetation growth and\nsoil organic matter accumulation. Accrual of organic matter is necessary to prevent drowning of the marsh\nwhich is subject to both the global eustatic sea level rise (1–2 mm yr−1) and significant local subsidence\n(~10 mm yr−1). This high rate of relative sea level rise can lead to open water/ponding and subsequent erosion\nof the surrounding marsh due to flooding and salinity stress.","container-title":"Catena","DOI":"10/f4x7v6","ISSN":"03418162","page":"139-144","title":"Freshwater diversions as an ecosystem management tool for maintaining soil organic matter accretion in coastal marshes","title-short":"Freshwater diversions as an ecosystem management tool for maintaining soil organic matter accretion in coastal marshes","volume":"107","author":[{"family":"DeLaune","given":"R. D."},{"family":"Kongchum","given":"M."},{"family":"White","given":"John R."},{"family":"Jugsujinda","given":"A."}],"issued":{"date-parts":[["2013"]]}}},{"id":10657,"uris":["http://zotero.org/groups/2790555/items/C5W79SJ9"],"itemData":{"id":10657,"type":"article-journal","abstract":"Studies on carbon stock in salt marsh sediments have increased since the review by Chmura et al. (2003). However, uncertainties exist in estimating global carbon storage in these vulnerable coastal habitats, thus hindering the assessment of their importance. Combining direct data and indirect estimation, this study compiled studies involving 143 sites across the Southern and Northern hemispheres, and provides an updated estimate of the global average carbon accumulation rate (CAR) at 244.7 g C m−2 yr−1 in salt marsh sediments. Based on region-speciﬁc CAR and estimates of salt marsh area in various geographic regions between 40◦ S to 69.7◦ N, total CAR in global salt marsh sediments is estimated at </w:instrText>
            </w:r>
            <w:r w:rsidR="00E62A89">
              <w:rPr>
                <w:rFonts w:ascii="Cambria Math" w:hAnsi="Cambria Math" w:cs="Cambria Math"/>
                <w:sz w:val="18"/>
                <w:szCs w:val="18"/>
              </w:rPr>
              <w:instrText>∼</w:instrText>
            </w:r>
            <w:r w:rsidR="00E62A89">
              <w:rPr>
                <w:sz w:val="18"/>
                <w:szCs w:val="18"/>
              </w:rPr>
              <w:instrText>10.2 Tg C yr</w:instrText>
            </w:r>
            <w:r w:rsidR="00E62A89">
              <w:rPr>
                <w:rFonts w:cs="Palatino Linotype"/>
                <w:sz w:val="18"/>
                <w:szCs w:val="18"/>
              </w:rPr>
              <w:instrText>−</w:instrText>
            </w:r>
            <w:r w:rsidR="00E62A89">
              <w:rPr>
                <w:sz w:val="18"/>
                <w:szCs w:val="18"/>
              </w:rPr>
              <w:instrText xml:space="preserve">1. Latitude, tidal range and elevation appear to be important drivers for CAR of salt marsh sediments, with considerable variation among different biogeographic regions. The data indicate that while the capacity for carbon sequestration by salt marsh sediments ranked the ﬁrst amongst coastal wetland and forested terrestrial ecosystems, their carbon budget was the smallest due to their limited and declining global areal extent. However, some uncertainties remain for our global estimate owing to limited data availability.","container-title":"Biogeosciences","DOI":"10/f6kbg6","ISSN":"1726-4189","issue":"18","journalAbbreviation":"Biogeosciences","language":"en","page":"5057-5071","source":"DOI.org (Crossref)","title":"Updated estimates of carbon accumulation rates in coastal marsh sediments","volume":"11","author":[{"family":"Ouyang","given":"X."},{"family":"Lee","given":"S. Y."}],"issued":{"date-parts":[["2014",9,19]]}}},{"id":9285,"uris":["http://zotero.org/groups/2790555/items/RV97975Q"],"itemData":{"id":9285,"type":"article-journal","abstract":"Sulfate from seawater inhibits methane production\nin tidal wetlands, and by extension, salinity has\nbeen used as a general predictor of methane emissions.\nWith the need to reduce methane flux uncertainties from\ntidal wetlands, eddy covariance (EC) techniques provide\nan integrated methane budget. The goals of this study\nwere to: 1) establish methane emissions from natural,\nfreshwater and brackish wetlands in Louisiana based\non EC; and 2) determine if EC estimates conform to a\nmethane-salinity relationship derived from temperate tidal\nwetlands with chamber sampling. Annual estimates of\nmethane emissions from this study were 62.3 g CH4/m2/\nyr and 13.8 g CH4/m2/yr for the freshwater and brackish\n(8–10 psu) sites, respectively. If it is assumed that\nlong-term, annual soil carbon sequestration rates of natural\nmarshes are ~200 g C/m2/yr (7.3 tCO2e/ha/yr),\nhealthy brackish marshes could be expected to act as a\nnet radiative sink, equivalent to less than one-half the\nsoil carbon accumulation rate after subtracting methane\nemissions (4.1 tCO2e/ha/yr). Carbon sequestration rates\nwould need case-by-case assessment, but the EC methane\nemissions estimates in this study conformed well to\nan existing salinity-methane model that should serve as\na basis for establishing emission factors for wetland\ncarbon offset projects.","container-title":"Wetlands","DOI":"10/f8ptzg","ISSN":"0277-5212, 1943-6246","language":"en","page":"401-413","source":"CrossRef","title":"Ecosystem level methane fluxes from tidal freshwater and brackish marshes of the Mississippi River Delta: implications for coastal wetland carbon projects","title-short":"Ecosystem Level Methane Fluxes from Tidal Freshwater and Brackish Marshes of the Mississippi River Delta","volume":"36","author":[{"family":"Holm","given":"Guerry O."},{"family":"Perez","given":"Brian C."},{"family":"McWhorter","given":"David E."},{"family":"Krauss","given":"Ken W."},{"family":"Johnson","given":"Darren J."},{"family":"Raynie","given":"Richard C."},{"family":"Killebrew","given":"Charles J."}],"issued":{"date-parts":[["2016"]]}}},{"id":9804,"uris":["http://zotero.org/groups/2790555/items/5NYYKUP8"],"itemData":{"id":9804,"type":"article-journal","container-title":"Journal of Geophysical Research: Biogeosciences","DOI":"10/grpfpm","ISSN":"21698953","issue":"6","journalAbbreviation":"J Geophys Res Biogeosci.","language":"en","page":"1503-1521","source":"CrossRef","title":"Component greenhouse gas fluxes and radiative balance from two deltaic marshes in Louisiana: pairing chamber techniques and eddy covariance","title-short":"Component greenhouse gas fluxes and radiative balance from two deltaic marshes in Louisiana","volume":"121","author":[{"family":"Krauss","given":"Ken W."},{"family":"Holm","given":"Guerry O."},{"family":"Perez","given":"Brian C."},{"family":"McWhorter","given":"David E."},{"family":"Cormier","given":"Nicole"},{"family":"Moss","given":"Rebecca F."},{"family":"Johnson","given":"Darren J."},{"family":"Neubauer","given":"Scott C."},{"family":"Raynie","given":"Richard C."}],"issued":{"date-parts":[["2016",6]]}}},{"id":10400,"uris":["http://zotero.org/groups/2790555/items/ZSSS7UAT"],"itemData":{"id":10400,"type":"article-journal","abstract":"We carried out a 1.5-year study of the fate of organic carbon during experimental wetland loss using an herbicide at freshwater, brackish and saltwater emergent wetlands. Total carbon stocks in the upper 50 cm of the soil horizon were 15.0 ± 0.5 kg C/m2 (222.8 mt CO2e/ac) at the freshwater site, 11.1 ± 0.9 kg C/m2 (164.7 mt CO2e/ac) at the brackish site, and 8.5 ± 1.4 kg C/m2 (125.7 mt CO2e/ac) at the saltwater site. There were no significant differences detected in decomposition between the treatment and reference plots, which had 39.4 to 41.5 % material remaining by the end of the study at the three sites. The plots treated with herbicide had decreased elevation of −4.24 cm, −1.56 cm and −1.48 cm at the freshwater, brackish and saltwater sites, respectively, which equate to a mass loss of soil organic carbon of 1273 g C/m2, 389 g C/m2 and 207 g C/m2, respectively. Results indicate statistically greater greenhouse gasses were emitted at the brackish and saltwater plots treated with herbicide compared to the reference plots, with up to 4.2 mt CO2e/ac emitted at the brackish site and 3.1 mt CO2e/ac emitted at the saltwater site during the first 1.5 years of the study.","container-title":"Wetlands","DOI":"10.1007/s13157-016-0834-8","ISSN":"1943-6246","issue":"6","journalAbbreviation":"Wetlands","language":"en","page":"1167-1181","source":"Springer Link","title":"Fate of soil organic carbon during wetland loss","volume":"36","author":[{"family":"Lane","given":"Robert R."},{"family":"Mack","given":"Sarah K."},{"family":"Day","given":"John W."},{"family":"DeLaune","given":"Ronald D."},{"family":"Madison","given":"Maxine J."},{"family":"Precht","given":"Phil R."}],"issued":{"date-parts":[["2016",12,1]]}}},{"id":10584,"uris":["http://zotero.org/groups/2790555/items/XMHSNZXQ"],"itemData":{"id":10584,"type":"article-journal","container-title":"Estuaries and Coasts","DOI":"10/f94nbz","ISSN":"1559-2723, 1559-2731","journalAbbreviation":"Estuar Coasts.","language":"en","note":"31 citations (Crossref) [2023-01-23]","source":"CrossRef","title":"A landscape-scale assessment of above- and belowground primary production in coastal wetlands: implications for climate change-induced community shifts","title-short":"A Landscape-Scale Assessment of Above- and Belowground Primary Production in Coastal Wetlands","URL":"http://link.springer.com/10.1007/s12237-016-0177-y","author":[{"family":"Stagg","given":"Camille L."},{"family":"Schoolmaster","given":"Donald R."},{"family":"Piazza","given":"Sarai C."},{"family":"Snedden","given":"Gregg"},{"family":"Steyer","given":"Gregory D."},{"family":"Fischenich","given":"Craig J."},{"family":"McComas","given":"Robert W."}],"accessed":{"date-parts":[["2016",11,11]]},"issued":{"date-parts":[["2016"]]}}},{"id":10847,"uris":["http://zotero.org/groups/2790555/items/7GR7ZW7I"],"itemData":{"id":10847,"type":"article-journal","abstract":"Wetland plants are subject to a range of physical stresses (e.g. inundation, salinity) that affect their productivity or health, which in turn may translate into wetland soils that vary in resistance to physical perturbations in the coastal setting. A primary goal of this study was to test a newly developed instrument designed to measure in-situ resistance to shear failure (soil strength) of marsh soils. The Wetland Soil Strength Tester (WSST) was used at 11 marsh types in coastal Louisiana, where soil bulk density ranged from organic to mineral (0.02–1.24 g cm−3). Based on analyses of live and dead components of both above and belowground biomass, live belowground biomass explained the most variation in marsh soil strength among the vegetation types. The WSST was capable of detecting in-situ live root biomass differences for 8 of 11 marsh types, where only the young deltaic marsh types were not significant. For all the sample plots (n = 227), an increase of 10-Nm soil strength corresponded to an increase of 200 g m−2 of live belowground biomass (R2 = 0.35, p &lt; 0.0001). WSST measurements, combined with other monitoring data, may help in the assessment of wetland condition.","container-title":"Wetlands","DOI":"10.1007/s13157-017-0977-2","ISSN":"0277-5212, 1943-6246","issue":"2","journalAbbreviation":"Wetlands","language":"en","page":"401-409","source":"DOI.org (Crossref)","title":"Relationships of marsh soil strength to belowground vegetation biomass in Louisiana coastal marshes","volume":"38","author":[{"family":"Sasser","given":"C. E."},{"family":"Evers-Hebert","given":"E."},{"family":"Holm","given":"G. O."},{"family":"Milan","given":"B."},{"family":"Sasser","given":"J. B."},{"family":"Peterson","given":"E. F."},{"family":"DeLaune","given":"R. D."}],"issued":{"date-parts":[["2018",4]]}}},{"id":10493,"uris":["http://zotero.org/groups/2790555/items/CHHTE2NC"],"itemData":{"id":10493,"type":"article-journal","abstract":"Coastal wetlands are large reservoirs of soil carbon (C). However, the annual C accumulation rates contributing to the C storage in these systems have yet to be spatially estimated on a large scale. We synthesized C accumulation rate (CAR) in tidal wetlands of the conterminous United States (US), upscaled the CAR to national scale, and predicted trends based on climate change scenarios. Here, we show that the mean CAR is 161.8 ± 6 g Cm−2 yr−1, and the conterminous US tidal wetlands sequestrate 4.2–5.0 Tg C yr−1. Relative sea level rise (RSLR) largely regulates the CAR. The tidal wetland CAR is projected to increase in this century and continue their C sequestration capacity in all climate change scenarios, suggesting a strong resilience to sea level rise. These results serve as a baseline assessment of C accumulation in tidal wetlands of US, and indicate a significant C sink throughout this century.","container-title":"Nature Communications","DOI":"10/gjjpsz","ISSN":"2041-1723","issue":"1","journalAbbreviation":"Nat Commun","language":"en","note":"Bandiera_abtest: a\nCc_license_type: cc_by\nCg_type: Nature Research Journals\nnumber: 1\nPrimary_atype: Research\npublisher: Nature Publishing Group\nSubject_term: Biogeochemistry;Carbon cycle;Climate-change ecology;Wetlands ecology\nSubject_term_id: biogeochemistry;carbon-cycle;climate-change-ecology;wetlands-ecology","page":"5434","source":"www.nature.com","title":"Tidal wetland resilience to sea level rise increases their carbon sequestration capacity in United States","volume":"10","author":[{"family":"Wang","given":"Faming"},{"family":"Lu","given":"Xiaoliang"},{"family":"Sanders","given":"Christian J."},{"family":"Tang","given":"Jianwu"}],"issued":{"date-parts":[["2019",11,28]]}}},{"id":10546,"uris":["http://zotero.org/groups/2790555/items/CJG8IXXX"],"itemData":{"id":10546,"type":"article-journal","container-title":"AGU Biogeosciences","DOI":"10/grmtwt","note":"6 citations (Crossref) [2023-01-23]","title":"Long-term carbon sinks in marsh soils of the Mississippi River Deltaic Plain are at risk to wetland loss","volume":"126","author":[{"family":"Baustian","given":"Melissa M"},{"family":"Stagg","given":"Camille L."},{"family":"Perry","given":"Carey Lynn"},{"family":"Moss","given":"Leland"},{"family":"Carruthers","given":"Tim"}],"issued":{"date-parts":[["2021"]]}}},{"id":9220,"uris":["http://zotero.org/groups/2790555/items/YQYGKV4G"],"itemData":{"id":9220,"type":"thesis","event-place":"Baton Rouge, Louisiana","genre":"Master of Science","publisher":"Louisiana State University, School of Renewable Natural Resources","publisher-place":"Baton Rouge, Louisiana","title":"Effects of Marsh Management in Coastal Marsh Impoundments on Marsh Vertical Accretion in the Face of Sea Level Rise.","URL":"https://digitalcommons.lsu.edu/gradschool_theses/5298","author":[{"family":"Graham","given":"Scott"}],"issued":{"date-parts":[["2021"]]}}},{"id":10741,"uris":["http://zotero.org/groups/2790555/items/CABPF8YH"],"itemData":{"id":10741,"type":"report","abstract":"This dataset contains vertical profiles of soil bulk density, percent organic matter, percent total carbon and cesium-137 activity from the surface down to 50-60 cm deep at 25 marsh locations across Breton Sound basin, Louisiana. These data will provide information related to rates of vertical accretion, organic and mineral accumulation and carbon burial in wetland soils across a large portion of the Mississippi River delta plain.","genre":"data release","note":"type: dataset\nDOI: 10.5066/P9XWAXOT\n\nSuggested citation:\nSnedden, G.A., 2021, Soil properties and soil radioisotope activity across Breton Sound basin wetlands (2008-2013): U.S. Geological Survey data release, https://doi.org/10.5066/P9XWAXOT.","publisher":"U.S. Geological Survey","source":"DOI.org (Datacite)","title":"Soil properties and soil radioisotope activity across Breton Sound basin wetlands (2008-2013)","URL":"https://doi.org/10.5066/P9XWAXOT","author":[{"family":"Snedden","given":"Gregg"}],"accessed":{"date-parts":[["2021",9,15]]},"issued":{"date-parts":[["2021"]]}}}],"schema":"https://github.com/citation-style-language/schema/raw/master/csl-citation.json"} </w:instrText>
            </w:r>
            <w:r>
              <w:rPr>
                <w:sz w:val="18"/>
                <w:szCs w:val="18"/>
              </w:rPr>
              <w:fldChar w:fldCharType="separate"/>
            </w:r>
            <w:r w:rsidR="00E62A89" w:rsidRPr="00E62A89">
              <w:rPr>
                <w:rFonts w:cs="Times New Roman"/>
                <w:sz w:val="18"/>
                <w:szCs w:val="24"/>
              </w:rPr>
              <w:t>[25–32,34–41,43,44,47–50,54–65]</w:t>
            </w:r>
            <w:r>
              <w:rPr>
                <w:sz w:val="18"/>
                <w:szCs w:val="18"/>
              </w:rPr>
              <w:fldChar w:fldCharType="end"/>
            </w:r>
          </w:p>
        </w:tc>
      </w:tr>
      <w:tr w:rsidR="002F7B48" w14:paraId="6BC21B2F" w14:textId="77777777" w:rsidTr="00A45FD6">
        <w:tc>
          <w:tcPr>
            <w:cnfStyle w:val="001000000000" w:firstRow="0" w:lastRow="0" w:firstColumn="1" w:lastColumn="0" w:oddVBand="0" w:evenVBand="0" w:oddHBand="0" w:evenHBand="0" w:firstRowFirstColumn="0" w:firstRowLastColumn="0" w:lastRowFirstColumn="0" w:lastRowLastColumn="0"/>
            <w:tcW w:w="833" w:type="pct"/>
          </w:tcPr>
          <w:p w14:paraId="38C4258B" w14:textId="77777777" w:rsidR="002F7B48" w:rsidRDefault="002F7B48" w:rsidP="00A45FD6">
            <w:pPr>
              <w:pStyle w:val="MDPI42tablebody"/>
            </w:pPr>
            <w:r>
              <w:t>SAV</w:t>
            </w:r>
          </w:p>
        </w:tc>
        <w:tc>
          <w:tcPr>
            <w:tcW w:w="833" w:type="pct"/>
          </w:tcPr>
          <w:p w14:paraId="57E11931"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-5.1 ± 0.31</w:t>
            </w:r>
          </w:p>
        </w:tc>
        <w:tc>
          <w:tcPr>
            <w:tcW w:w="833" w:type="pct"/>
          </w:tcPr>
          <w:p w14:paraId="71904284"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-11.7 ± 6.1</w:t>
            </w:r>
          </w:p>
        </w:tc>
        <w:tc>
          <w:tcPr>
            <w:tcW w:w="833" w:type="pct"/>
          </w:tcPr>
          <w:p w14:paraId="4654BA5D"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3.2 ± 0.79</w:t>
            </w:r>
          </w:p>
        </w:tc>
        <w:tc>
          <w:tcPr>
            <w:tcW w:w="834" w:type="pct"/>
          </w:tcPr>
          <w:p w14:paraId="3B7E57BA" w14:textId="77777777" w:rsidR="002F7B48" w:rsidRDefault="002F7B48" w:rsidP="00A45FD6">
            <w:pPr>
              <w:pStyle w:val="MDPI42tablebody"/>
              <w:cnfStyle w:val="000000000000" w:firstRow="0" w:lastRow="0" w:firstColumn="0" w:lastColumn="0" w:oddVBand="0" w:evenVBand="0" w:oddHBand="0" w:evenHBand="0" w:firstRowFirstColumn="0" w:firstRowLastColumn="0" w:lastRowFirstColumn="0" w:lastRowLastColumn="0"/>
            </w:pPr>
            <w:r>
              <w:t xml:space="preserve">-13.6 ± 7.9 </w:t>
            </w:r>
          </w:p>
        </w:tc>
        <w:tc>
          <w:tcPr>
            <w:tcW w:w="834" w:type="pct"/>
          </w:tcPr>
          <w:p w14:paraId="78F86185" w14:textId="16AF6414" w:rsidR="002F7B48" w:rsidRPr="000E21DC" w:rsidRDefault="002F7B48" w:rsidP="00A45FD6">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fldChar w:fldCharType="begin"/>
            </w:r>
            <w:r w:rsidR="00E62A89">
              <w:rPr>
                <w:sz w:val="18"/>
                <w:szCs w:val="18"/>
              </w:rPr>
              <w:instrText xml:space="preserve"> ADDIN ZOTERO_ITEM CSL_CITATION {"citationID":"opa7G4Ou","properties":{"formattedCitation":"[66\\uc0\\u8211{}68,68\\uc0\\u8211{}78]","plainCitation":"[66–68,68–78]","noteIndex":0},"citationItems":[{"id":36663,"uris":["http://zotero.org/groups/2790555/items/MZL8QT3B"],"itemData":{"id":36663,"type":"article-journal","abstract":"We sampled nekton (ﬁshes and decapod crustaceans) in submerged aquatic vegetation (SAV) (Potamogeton nodosus, Najas guadalupensis), in emergent marsh vegetation (Sagittaria spp. and Scirpus americanus), and over unvegetated bottom associated with three islands in the Atchafalaya River Delta, Louisiana. The purpose of our study was to quantify nekton densities in these major aquatic habitat types and to document the relative importance of these areas to numerically dominant aquatic organisms. We collected a total of 33 species of ﬁshes and 7 species of crustaceans in 298 1-m2 throw trap samples taken over three seasons: summer (July and August 1994), fall (September and October 1994), and spring (May and June 1995). Fishes numerically accounted for </w:instrText>
            </w:r>
            <w:r w:rsidR="00E62A89">
              <w:rPr>
                <w:rFonts w:ascii="Cambria" w:hAnsi="Cambria" w:cs="Cambria"/>
                <w:sz w:val="18"/>
                <w:szCs w:val="18"/>
              </w:rPr>
              <w:instrText>Ͼ</w:instrText>
            </w:r>
            <w:r w:rsidR="00E62A89">
              <w:rPr>
                <w:sz w:val="18"/>
                <w:szCs w:val="18"/>
              </w:rPr>
              <w:instrText xml:space="preserve"> 65% of the total organisms collected. Vegetated areas generally supported much higher nekton densities than unvegetated sites, although bay anchovies Anchoa mitchilli were more abundant over unvegetated bottom than in most vegetated habitat types. Among vegetation types, most species showed no apparent preference between SAV and marsh. However, inland silversides Menidia beryllina and freshwater gobies Gobionellus shufeldti were most abundant in Scirpus marsh in summer, and blue crabs Callinectes sapidus were most abundant in SAV (Potamogeton) in spring. Several species (sheepshead minnow Cyprinodon variegatus, rainwater killiﬁsh Lucania parva, and blue crab) apparently selected the vegetated backmarsh of islands (opposite of riverside) over streamside Scirpus marsh. Freshwater gobies, in contrast, were most abundant in streamside Scirpus marsh. Densities of juvenile blue crabs were high (up to 17 m</w:instrText>
            </w:r>
            <w:r w:rsidR="00E62A89">
              <w:rPr>
                <w:rFonts w:ascii="Cambria" w:hAnsi="Cambria" w:cs="Cambria"/>
                <w:sz w:val="18"/>
                <w:szCs w:val="18"/>
              </w:rPr>
              <w:instrText>Ϫ</w:instrText>
            </w:r>
            <w:r w:rsidR="00E62A89">
              <w:rPr>
                <w:sz w:val="18"/>
                <w:szCs w:val="18"/>
              </w:rPr>
              <w:instrText xml:space="preserve">2) in vegetated delta habitat types and comparable to values reported from more saline regions of Gulf Coast estuaries. Shallow vegetated habitat types of the Atchafalaya River Delta and other tidal freshwater systems of the Gulf Coast may be important nursery areas for blue crabs and other estuarine species.","container-title":"Estuaries","DOI":"10/btp3d4","ISSN":"01608347","issue":"2","journalAbbreviation":"Estuaries","language":"en","note":"56 citations (Crossref) [2023-01-23]","page":"184","source":"DOI.org (Crossref)","title":"Nekton Use of Submerged Aquatic Vegetation, Marsh, and Shallow Unvegetated Bottom in the Atchafalaya River Delta, a Louisiana Tidal Freshwater Ecosystem","volume":"24","author":[{"family":"Castellanos","given":"David L."},{"family":"Rozas","given":"Lawrence P."}],"issued":{"date-parts":[["2001",4]]}}},{"id":36479,"uris":["http://zotero.org/groups/2790555/items/HGDMWPXL"],"itemData":{"id":36479,"type":"article-journal","abstract":"Coastal ecosystems are dynamic and productive areas that are vulnerable to effects of global climate change. Despite their potentially limited spatial extent, submerged aquatic vegetation (SAV) beds function in coastal ecosystems as foundation species, and perform important ecological services. However, limited understanding of the factors controlling SAV distribution and abundance across multiple salinity zones (fresh, intermediate, brackish, and saline) in the northern Gulf of Mexico restricts the ability of models to accurately predict resource availability. We sampled 384 potential coastal SAV sites across the northern Gulf of Mexico in 2013 and 2014, and examined community and species-specific SAV distribution and biomass in relation to year, salinity, turbidity, and water depth. After two years of sampling, 14 species of SAV were documented, with three species (coontail [Ceratophyllum demersum], Eurasian watermilfoil [Myriophyllum spicatum], and widgeon grass [Ruppia maritima]) accounting for 54% of above-ground biomass collected. Salinity and water depth were dominant drivers of species assemblages but had little effect on SAV biomass. Predicted changes in salinity and water depths along the northern Gulf of Mexico coast will likely alter SAV production and species assemblages, shifting to more saline and depth-tolerant assemblages, which in turn may affect habitat and food resources for associated faunal species.","container-title":"Journal of the Southeastern Association of Fish and Wildlife Agencies","language":"en","page":"8","source":"Zotero","title":"Establishing a Baseline of Estuarine Submerged Aquatic Vegetation Resources Across Salinity Zones Within Coastal Areas of the Northern Gulf of Mexico","author":[{"family":"Hillmann","given":"Eva R"},{"family":"DeMarco","given":"Kristin Elise"},{"family":"Peyre","given":"Megan La"}],"issued":{"date-parts":[["2016"]]}}},{"id":36482,"uris":["http://zotero.org/groups/4743814/items/AKNJF27U"],"itemData":{"id":36482,"type":"article-journal","abstract":"Submerged aquatic vegetation (SAV) thrives across the estuarine salinity gradient providing valuable ecosystem services. Within the saline portion of estuaries, seagrass areas are frequently cited as hotspots for their role in capturing and retaining organic carbon (Corg). Non-seagrass SAV, located in the fresh to brackish estuarine areas, may also retain significant soil Corg, yet their role remains unquantified. Given rapidly occurring landscape and salinity changes due to human and natural disturbances, landscape level carbon pool estimates from estuarine SAV habitat blue carbon estimates are needed. We assessed Corg stocks in SAV habitat soils from estuarine freshwater to saline habitats (interior deltaic) to saline barrier islands (Chandeleur Island) within the Mississippi River Delta Plain (MRDP), Louisiana, USA. SAV habitats contain Corg stocks equivalent to those reported for other estuarine vegetation types (seagrass, salt marsh, mangrove). Interior deltaic SAV Corg stocks (231.6 ± 19.5 Mg Corg ha−1) were similar across the salinity gradient, and significantly higher than at barrier island sites (56.6 ± 10.4 Mg Corg ha−1). Within the MRDP, shallow water SAV habitat covers up to an estimated 28,000 ha, indicating that soil Corg storage is potentially 6.4 ± 0.1 Tg representing an unaccounted Corg pool. Extrapolated across Louisiana, and the Gulf of Mexico, this represents a major unaccounted pool of soil Corg. As marshes continue to erode, the ability of coastal SAV habitat to offset some of the lost carbon sequestration may be valuable. Our estimates of Corg sequestration rates indicated that conversion of eroding marsh to potential SAV habitat may help to offset the reduction of Corg sequestration rates. Across Louisiana, we estimated SAV to offset this loss by as much as 79,000 Mg C yr−1 between the 1960s and 2000s.","container-title":"Science of The Total Environment","DOI":"10.1016/j.scitotenv.2020.137217","ISSN":"0048-9697","journalAbbreviation":"Sci Total Environ","language":"en","page":"137217","source":"ScienceDirect","title":"Estuarine submerged aquatic vegetation habitat provides organic carbon storage across a shifting landscape","volume":"717","author":[{"family":"Hillmann","given":"Eva R."},{"family":"Rivera-Monroy","given":"Victor H."},{"family":"Nyman","given":"J. Andrew"},{"family":"La Peyre","given":"Megan K."}],"issued":{"date-parts":[["2020",5,15]]}}},{"id":36482,"uris":["http://zotero.org/groups/4743814/items/AKNJF27U"],"itemData":{"id":36482,"type":"article-journal","abstract":"Submerged aquatic vegetation (SAV) thrives across the estuarine salinity gradient providing valuable ecosystem services. Within the saline portion of estuaries, seagrass areas are frequently cited as hotspots for their role in capturing and retaining organic carbon (Corg). Non-seagrass SAV, located in the fresh to brackish estuarine areas, may also retain significant soil Corg, yet their role remains unquantified. Given rapidly occurring landscape and salinity changes due to human and natural disturbances, landscape level carbon pool estimates from estuarine SAV habitat blue carbon estimates are needed. We assessed Corg stocks in SAV habitat soils from estuarine freshwater to saline habitats (interior deltaic) to saline barrier islands (Chandeleur Island) within the Mississippi River Delta Plain (MRDP), Louisiana, USA. SAV habitats contain Corg stocks equivalent to those reported for other estuarine vegetation types (seagrass, salt marsh, mangrove). Interior deltaic SAV Corg stocks (231.6 ± 19.5 Mg Corg ha−1) were similar across the salinity gradient, and significantly higher than at barrier island sites (56.6 ± 10.4 Mg Corg ha−1). Within the MRDP, shallow water SAV habitat covers up to an estimated 28,000 ha, indicating that soil Corg storage is potentially 6.4 ± 0.1 Tg representing an unaccounted Corg pool. Extrapolated across Louisiana, and the Gulf of Mexico, this represents a major unaccounted pool of soil Corg. As marshes continue to erode, the ability of coastal SAV habitat to offset some of the lost carbon sequestration may be valuable. Our estimates of Corg sequestration rates indicated that conversion of eroding marsh to potential SAV habitat may help to offset the reduction of Corg sequestration rates. Across Louisiana, we estimated SAV to offset this loss by as much as 79,000 Mg C yr−1 between the 1960s and 2000s.","container-title":"Science of The Total Environment","DOI":"10.1016/j.scitotenv.2020.137217","ISSN":"0048-9697","journalAbbreviation":"Sci Total Environ","language":"en","page":"137217","source":"ScienceDirect","title":"Estuarine submerged aquatic vegetation habitat provides organic carbon storage across a shifting landscape","volume":"717","author":[{"family":"Hillmann","given":"Eva R."},{"family":"Rivera-Monroy","given":"Victor H."},{"family":"Nyman","given":"J. Andrew"},{"family":"La Peyre","given":"Megan K."}],"issued":{"date-parts":[["2020",5,15]]}}},{"id":49732,"uris":["http://zotero.org/groups/4743814/items/XN7DBCNI"],"itemData":{"id":49732,"type":"article-journal","abstract":"CH4 emissions have been widely studied in various wetlands, such as boreal peatlands, rice paddies, and tropical swamps. However, little investigation has been carried out for CH4 emissions from lakes or wetlands in arid regions where these freshwaters play a vital role in providing ecosystem services for local people. To quantify the spatial and temporal variations of CH4 ﬂux and understand its key controlling factors in shallow lakes in arid regions of Western China, CH4 ﬂuxes from Wuliangsu Lake were measured at different vegetation zones and water depths with a static chamber technique during a growing season from April to October in 2003. Results showed that the average emission ﬂux of CH4 from submerged plant (Potamogeton pectinatus) growing zones was 2.16 mg CH4 mÀ2 hÀ1, which was 85.8% lower than that from emergent macrophyte (Phragmites australis) growing zones. CH4 emissions increased with increasing water depth in Phragmites Community. Signiﬁcant seasonal and diurnal variations of CH4 emission were observed for P. australis during the plant growth stage, for P. pectinatus growing zones, however, the variations were minor. In addition to vegetation cover and water depth, bottom silt temperature and light intensity were also important factors inﬂuencing seasonal and diurnal variations of CH4 ﬂux from Phargmites growing zone.","container-title":"Atmospheric Environment","DOI":"10.1016/j.atmosenv.2005.03.045","ISSN":"13522310","issue":"25","journalAbbreviation":"Atmos. Environ.","language":"en","page":"4479-4487","source":"DOI.org (Crossref)","title":"Seasonal and diurnal variations in methane emissions from Wuliangsu Lake in arid regions of China","volume":"39","author":[{"family":"Duan","given":"Xiaonan"},{"family":"Wang","given":"Xiaoke"},{"family":"Mu","given":"Yujing"},{"family":"Ouyang","given":"Zhiyun"}],"issued":{"date-parts":[["2005",8]]}}},{"id":49727,"uris":["http://zotero.org/groups/4743814/items/HN6APLCE"],"itemData":{"id":49727,"type":"article-journal","abstract":"We measured methane (CH4) emissions in the Luanhaizi wetland, a typical alpine wetland on the Qinghai-Tibetan Plateau, China, during the plant growth season (early July to mid-September) in 2002. Our aim was to quantify the spatial and temporal variation of CH4 ﬂux and to elucidate key factors in this variation. Static chamber measurements of CH4 ﬂux were made in four vegetation zones along a gradient of water depth. There were three emergent-plant zones (Hippuris-dominated; Scirpus-dominated; and Carex-dominated) and one submerged-plant zone (Potamogeton-dominated). The smallest CH4 ﬂux (seasonal mean ¼ 33.1 mg CH4 m22 d21) was observed in the Potamogetondominated zone, which occupied about 74% of the total area of the wetland. The greatest CH4 ﬂux (seasonal mean ¼ 214 mg CH4 m22 d21) was observed in the Hippuris-dominated zone, in the second-deepest water area. CH4 ﬂux from three zones (excluding the Carex-dominated zone) showed a marked diurnal change and decreased dramatically under dark conditions. Light intensity had a major inﬂuence on the temporal variation in CH4 ﬂux, at least in three of the zones. Methane ﬂuxes from all zones increased during the growing season with increasing aboveground biomass. CH4 ﬂux from the Scirpus-dominated zone was signiﬁcantly lower than in the other emergent-plant zones despite the large biomass, because the root and rhizome intake ports for CH4 transport in the dominant species were distributed in shallower and more oxidative soil than occupied in the other zones. Spatial and temporal variation in CH4 ﬂux from the alpine wetland was determined by the vegetation zone. Among the dominant species in each zone, there were variations in the density and biomass of shoots, gas-transport system, and root– rhizome architecture. The CH4 ﬂux from a typical alpine wetland on the Qinghai-Tibetan Plateau was as high as those of other boreal and alpine wetlands.","container-title":"Soil Biology and Biochemistry","DOI":"10.1016/j.soilbio.2003.12.009","ISSN":"00380717","issue":"5","journalAbbreviation":"Soil Biol. Biochem.","language":"en","page":"737-748","source":"DOI.org (Crossref)","title":"Methane emissions from different vegetation zones in a Qinghai-Tibetan Plateau wetland","volume":"36","author":[{"family":"Hirota","given":"Mitsuru"},{"family":"Tang","given":"Yanhong"},{"family":"Hu","given":"Qiwu"},{"family":"Hirata","given":"Shigeki"},{"family":"Kato","given":"Tomomichi"},{"family":"Mo","given":"Wenhong"},{"family":"Cao","given":"Guangmin"},{"family":"Mariko","given":"Shigeru"}],"issued":{"date-parts":[["2004",5]]}}},{"id":49725,"uris":["http://zotero.org/groups/4743814/items/R5884EIS"],"itemData":{"id":49725,"type":"article-journal","abstract":"Submerged macrophytes are important primary producers for shallow lake systems. So far, their overall role in regulating lake methane ﬂux is a subject of debate because the oxygen produced by their roots can promote methane oxidation in the sediment but they can also enhance methanogenesis through organic substrate production. In this study, we used the eddy covariance method to investigate the temporal dynamics of the CH4 ﬂux in a habitat of submerged macrophytes in Lake Taihu. The results show that the nighttime CH4 ﬂux is on average 33% higher than the daytime ﬂux, although a clear diurnal pattern is evident only in the spring. At the daily to the seasonal time scale, the sediment temperature is the main driver of the CH4 ﬂux variations, implying higher methane production in the sediment at higher temperatures. The annual CH4 emission (6.12 g C m−2 yr−1) is much higher than the published whole-lake mean ﬂux (1.12 g C m−2 yr−1) and that reported previously in the eutrophic phytoplankton zone of the lake (1.35 g C m−2 yr−1), indicating that the net effect of the submerged macrophytes is to enhance methane emission. At the annual time scale, 3.5% of the carbon gained by the net ecosystem production is lost to the atmosphere in the form of CH4.","container-title":"Science of The Total Environment","DOI":"10.1016/j.scitotenv.2019.03.466","ISSN":"00489697","journalAbbreviation":"Sci Total Environ.","language":"en","page":"400-409","source":"DOI.org (Crossref)","title":"Methane flux dynamics in a submerged aquatic vegetation zone in a subtropical lake","volume":"672","author":[{"family":"Zhang","given":"Mi"},{"family":"Xiao","given":"Qitao"},{"family":"Zhang","given":"Zhen"},{"family":"Gao","given":"Yunqiu"},{"family":"Zhao","given":"Jiayu"},{"family":"Pu","given":"Yini"},{"family":"Wang","given":"Wei"},{"family":"Xiao","given":"Wei"},{"family":"Liu","given":"Shoudong"},{"family":"Lee","given":"Xuhui"}],"issued":{"date-parts":[["2019",7]]}}},{"id":45853,"uris":["http://zotero.org/users/9669115/items/DZGPZFL6"],"itemData":{"id":45853,"type":"article-journal","abstract":"The Everglades Stormwater Treatment Areas (STAs) are a complex of large constructed wetlands that are an integral component of the State and Federal efforts to restore the Everglades ecosystem. The overall objective of this study was to determine the accumulation rates of macro-elements including carbon (C), nitrogen (N), phosphorus (P), sulfur (S), and associated secondary elements including calcium (Ca), magnesium (Mg), aluminum (Al), and iron (Fe) in two Everglades STAs over their periods of operation. The study was conducted in STA-2 with parallel flow-ways consisting of emergent aquatic vegetation (EAV) and submerged aquatic vegetation (SAV) and the Western flow-way of STA-3/4 with EAV and SAV cells operated in series. Elemental accumulation rates were determined in the unconsolidated surficial sediments (floc) and recently accreted soil (RAS) that have accumulated on top of the antecedent soil over the 14- and 10-yr periods of operation for STA-2 and STA-3/4, respectively. Flow-ways with SAV were more efficient than EAV in accreting mineral matter, resulting in increased bulk density and higher accumulation rates of elements. Average C accumulation in the floc and RAS of SAV flow-ways was 320 g·m−2·yr−1 with approximately equal proportions of inorganic and organic C, while in the EAV flow-ways accumulation rates of C ranged from 116 to 147 g·m−2·yr−1 with mostly organic C. Phosphorus accumulation rates were approximately 2–3 times higher in SAV than in EAV flow-ways. Differences in accumulation of elements between SAV and EAV were largest for Ca with 17–42 times more Ca in SAV than EAV systems. This suggests that in the SAV systems, possible occlusion of macro-elements and metals during CaCO3 precipitation facilitated accretion of material with high mineral content. In EAV, biomass turnover and associated biotic processes regulated organic matter accumulation rates. The spatial accumulation patterns of P, C, and N in the EAV areas of STA-2 and STA-3/4 were similar to those observed in the EAV areas of the natural wetlands in Water Conservation Areas, suggesting that constructed wetland systems function similarly to natural wetlands dominated by EAV areas in retaining and storing macro- and secondary elements.","container-title":"Ecosphere","DOI":"10.1002/ecs2.3787","ISSN":"2150-8925","issue":"11","language":"en","note":"_eprint: https://onlinelibrary.wiley.com/doi/pdf/10.1002/ecs2.3787","page":"e03787","source":"Wiley Online Library","title":"Long-term accumulation of macro- and secondary elements in subtropical treatment wetlands","volume":"12","author":[{"family":"Reddy","given":"K. R."},{"family":"Hu","given":"Jing"},{"family":"Villapando","given":"Odi"},{"family":"Bhomia","given":"Rupesh K."},{"family":"Vardanyan","given":"Lilit"},{"family":"Osborne","given":"Todd"}],"issued":{"date-parts":[["2021"]]}}},{"id":49734,"uris":["http://zotero.org/groups/4743814/items/83QCLSTN"],"itemData":{"id":49734,"type":"article-journal","abstract":"Temperatures have been rising throughout recent decades and are predicted to rise further in the coming century. Global warming affects carbon cycling in freshwater ecosystems, which both emit and bury substantial amounts of carbon on a global scale. Currently, most studies focus on the effect of warming on overall carbon emissions from freshwater ecosystems, while net effects on carbon budgets may strongly depend on burial in sediments. Here, we tested whether year-round warming increases the production, sedimentation, or decomposition of particulate organic carbon and eventually alters the carbon burial in a typical shallow freshwater system. We performed an indoor experiment in eight mesocosms dominated by the common submerged aquatic plant Myriophyllum spicatum testing two temperature treatments: a temperate seasonal temperature control and a warmed (+4°C) treatment (n = 4). During a full experimental year, the carbon stock in plant biomass, dissolved organic carbon in the water column, sedimented organic matter, and decomposition of plant detritus were measured. Our results showed that year-round warming nearly doubled the final carbon stock in plant biomass from 6.9 ± 1.1 g C in the control treatment to 12.8 ± 0.6 g C (mean ± SE), mainly due to a prolonged growing season in autumn. DOC concentrations did not differ between the treatments, but organic carbon sedimentation increased by 60% from 96 ± 9.6 to 152 ± 16 g C m−2 yaer−1 (mean ± SE) from control to warm treatments. Enhanced decomposition of plant detritus in the warm treatment, however, compensated for the increased sedimentation. As a result, net carbon burial was 40 ± 5.7 g C m−2 year−1 in both temperature treatments when fluxes were combined into a carbon budget model. These results indicate that warming can increase the turnover of organic carbon in shallow macrophyte-dominated systems, while not necessarily affecting net carbon burial on a system scale.","container-title":"Global Change Biology","DOI":"10.1111/gcb.14387","ISSN":"1365-2486","issue":"11","journalAbbreviation":"Global Change Biol.","language":"en","note":"_eprint: https://onlinelibrary.wiley.com/doi/pdf/10.1111/gcb.14387","page":"5231-5242","source":"Wiley Online Library","title":"Warming enhances sedimentation and decomposition of organic carbon in shallow macrophyte-dominated systems with zero net effect on carbon burial","volume":"24","author":[{"family":"Velthuis","given":"Mandy"},{"family":"Kosten","given":"Sarian"},{"family":"Aben","given":"Ralf"},{"family":"Kazanjian","given":"Garabet"},{"family":"Hilt","given":"Sabine"},{"family":"Peeters","given":"Edwin T. H. M."},{"family":"Donk","given":"Ellen","non-dropping-particle":"van"},{"family":"Bakker","given":"Elisabeth S."}],"issued":{"date-parts":[["2018"]]}}},{"id":49573,"uris":["http://zotero.org/groups/4743814/items/FSAKLAM4"],"itemData":{"id":49573,"type":"article-journal","abstract":"High fisheries production within estuaries is associated with coastal upwelling, tidal mixing, and land-based runoff facing increasing impacts from climate and human activities. Active river deltas receive large riverine inflows compared to inactive river deltas, providing contrasting estuaries to compare impacts of river inflow on estuarine nekton. We quantified nekton assemblages and stable isotopes (δ13C, δ15N) of commercially important blue crab Callinectes sapidus Rathbun, 1896 within an active and inactive delta in coastal Louisiana to explore the impacts of differing riverine inflow. Crustaceans dominated estuarine assemblages, differing only by season and not delta type, with summer and fall supporting highest densities. Fish density and assemblages differed by the interaction of season and delta due to differences during the 2019 record high spring river inflow. During this period, the active delta supported reduced fish densities and richness compared to the inactive delta. Nekton densities across deltas and seasons reflect a combination of species life history characteristics and habitat conditions. The high spring river discharge in 2019 impacted habitat availability (reduced presence of submerged aquatic vegetation), water conditions (decreased temperature and salinity), and potentially displaced nekton to unsampled habitat areas (i.e. interior marsh surface) within the active delta. While differences in nekton density and assemblages were only evident during the high spring river discharge, δ15N values of blue crabs were approximately 1.5 times higher in the active delta, potentially indicating more terrestrial influence. Understanding how altered inflow impacts environmental variables supporting estuarine nekton production remains critical for supporting management within these hydrologically managed regions.","container-title":"Aquatic Biology","DOI":"10.3354/ab00748","ISSN":"1864-7782, 1864-7790","journalAbbreviation":"Aquat. Biol.","language":"en","page":"1-18","source":"DOI.org (Crossref)","title":"Nekton community dynamics within active and inactive deltas in a major river estuary: potential implications for altered hydrology regimes","title-short":"Nekton community dynamics within active and inactive deltas in a major river estuary","volume":"31","author":[{"family":"Taylor","given":"Cb"},{"family":"Nyman","given":"Ja"},{"family":"La Peyre","given":"Mk"}],"issued":{"date-parts":[["2022",2,24]]}}},{"id":20469,"uris":["http://zotero.org/groups/235630/items/QGQMXZ6Z"],"itemData":{"id":20469,"type":"article-journal","abstract":"We evaluated the influence of marsh terracing on\nwaterbirds in Louisiana’s Chenier Plain. Terracing is a\nnovel technique used to slow coastal marsh loss. Terracing\nincreases marsh edge and is assumed to slow erosion,\ndecrease pond depth, and encourage vegetation production.\nFrom April to September 2005, we monitored waterbirds in\npaired terraced and unterraced ponds in three sites\ndominated by Spartina patens. We additionally sampled\nsubmerged aquatic vegetation (SAV) biomass, nekton\ndensity, and water quality. Waterbird density and species\nrichness were 3.8 and 1.4 times greater, respectively, in\nterraced ponds. By foraging guild, probers, aerial foragers,\nand dabbling foragers were more abundant in terraced\nponds. Waders were frequently more abundant in terraced\nponds. Diver density did not differ significantly between\npond types. Terracing increased marsh edge in ponds 3.5\ntimes. Nekton and SAV were more abundant in edge habitat\nthan in open water, but water quality, water depth, SAV, and\nnekton did not differ significantly between pond types\nand did not influence bird density. Bird densities were\nhigher in ponds with greater proportions of marsh edge,\npossibly because they are morphologically constrained to\nforage in shallow water or because of abundant food near\nedges.","container-title":"Wetlands","DOI":"10.1007/s13157-009-0009-y","ISSN":"0277-5212, 1943-6246","issue":"1","language":"en","page":"125-135","source":"CrossRef","title":"Marsh terraces in coastal Louisiana increase marsh edge and densities of waterbirds","title-short":"Marsh terraces in coastal Louisiana increase marsh edge and densities of waterbirds","volume":"30","author":[{"family":"O’Connell","given":"Jessica L."},{"family":"Nyman","given":"John A."}],"issued":{"date-parts":[["2010",2]]}}},{"id":16669,"uris":["http://zotero.org/groups/635493/items/TJMFY7F7"],"itemData":{"id":16669,"type":"article-journal","abstract":"Spatial and temporal variability characterize submerged aquatic vegetation (SAV) assemblages, but understanding the complex interactions of environmental drivers of SAV assemblages remains elusive. We documented SAV composition and biomass across a salinity gradient in a coastal estuary over 12 mo. Ten macrophyte species were identified. The dominant species, Ceratophyllum demersum and Myriophyllum spicatum, accounted for over 40% of total biomass. Only Ruppia maritima occurred across the salinity gradient. Salinity, water depth and clarity delineated 3 assemblages: a saline assemblage, and 2 groups of fresher-water species, one associated with deeper water and lower water clarity and the other associated with shallow water and higher water clarity. These assemblages exhibited intra-annual variation, with at least 5 times more biomass in late spring/mid-summer compared to early winter. This pattern was consistent across the estuary, although the difference between peak and low biomass varied by habitat type; brackish exhibited the greatest magnitude. This variation is likely due to higher variation in salinity and the species composition of this habitat. As climate change and coastal restoration impact timing and range of salinity, water depth and clarity in this region, these data can be used to help inform predictive models and management decisions.","container-title":"Aquatic Biology","DOI":"10.3354/ab00719","ISSN":"1864-7782, 1864-7790","journalAbbreviation":"Aquat. Biol.","language":"en","page":"175-186","source":"DOI.org (Crossref)","title":"Salinity and water clarity dictate seasonal variability in coastal submerged aquatic vegetation in subtropical estuarine environments","volume":"28","author":[{"family":"Hillmann","given":"Er"},{"family":"DeMarco","given":"K"},{"family":"La Peyre","given":"Mk"}],"issued":{"date-parts":[["2019",11,28]]}}},{"id":49715,"uris":["http://zotero.org/groups/4743814/items/CUWV3NHL"],"itemData":{"id":49715,"type":"article-journal","abstract":"A primary goal of many coastal restoration programs is to increase nekton habitat in terms of both quantity and quality. Using shallow water ponds rehabilitated with a technique called marsh terracing, we examined the quality of nekton habitat created, using and comparing several metrics including nekton density and diversity, functional group composition, and weight-length relationships as indirect measures of habitat quality. We examined three paired terraced and unterraced marsh ponds in southwest Louisiana. Nekton, submerged aquatic vegetation (SAV), and soil and water quality variables were sampled bimonthly from April 2004 through April 2005 at four subtidal habitat types: terraced nearshore, terraced open water, unterraced nearshore, and unterraced open water. Results indicate that terraced ponds had increased the habitat value of degrading unterraced ponds over open water areas for estuarine nekton; nekton density and richness were similar between terraced and unterraced nearshore habitat types, but greater at all nearshore as compared to open water sites. Analysis of the distribution of nekton functional groups and weight:length ratios indicates the terraced and unterraced pond habitats were not functioning similarly: distribution of nekton functional groups differed significantly between habitat types with greater percentages of benthic-oriented species at unterraced open water habitats and higher percentage of open water species in terraced ponds as compared to unterraced ponds, and two of the six numerically dominant fish species had greater weight-length relationships in unterraced ponds as compared to terraced ponds. This lack of functional equivalency may be attributed to environmental differences between terraced and unterraced ponds such as water depth or SAV biomass, or the relatively young age of the terraces studied, which may not have allowed for the development of some critical habitat variables, such as soil organic matter that was found to be significantly lower in terraced versus unterraced ponds (p , 0.05). To properly assess the ecological equivalency of restored or rehabilitated sites for nekton requires that we move beyond measures of nekton density, biomass, and diversity and incorporate measures of functional equivalency, including habitat measures.","container-title":"Estuaries and Coasts","DOI":"10.1007/BF03036518","ISSN":"1559-2723, 1559-2731","issue":"3","journalAbbreviation":"Estuar Coasts.","language":"en","page":"526-536","source":"DOI.org (Crossref)","title":"Assessing functional equivalency of nekton habitat in enhanced habitats: Comparison of terraced and unterraced marsh ponds","title-short":"Assessing functional equivalency of nekton habitat in enhanced habitats","volume":"30","author":[{"family":"La Peyre","given":"Megan K."},{"family":"Gossman","given":"Bryan"},{"family":"Nyman","given":"John A."}],"issued":{"date-parts":[["2007",6]]}}},{"id":19040,"uris":["http://zotero.org/groups/235630/items/AT5299HR"],"itemData":{"id":19040,"type":"article-journal","container-title":"Remote Sensing of Environment","DOI":"10.1016/j.rse.2014.04.003","ISSN":"00344257","language":"en","page":"166-180","source":"CrossRef","title":"Evaluation of sensor types and environmental controls on mapping biomass of coastal marsh emergent vegetation","volume":"149","author":[{"family":"Byrd","given":"Kristin B."},{"family":"O'Connell","given":"Jessica L."},{"family":"Di Tommaso","given":"Stefania"},{"family":"Kelly","given":"Maggi"}],"issued":{"date-parts":[["2014",6]]}}}],"schema":"https://github.com/citation-style-language/schema/raw/master/csl-citation.json"} </w:instrText>
            </w:r>
            <w:r>
              <w:rPr>
                <w:sz w:val="18"/>
                <w:szCs w:val="18"/>
              </w:rPr>
              <w:fldChar w:fldCharType="separate"/>
            </w:r>
            <w:r w:rsidR="00E62A89" w:rsidRPr="00E62A89">
              <w:rPr>
                <w:rFonts w:cs="Times New Roman"/>
                <w:sz w:val="18"/>
                <w:szCs w:val="24"/>
              </w:rPr>
              <w:t>[66–68,68–78]</w:t>
            </w:r>
            <w:r>
              <w:rPr>
                <w:sz w:val="18"/>
                <w:szCs w:val="18"/>
              </w:rPr>
              <w:fldChar w:fldCharType="end"/>
            </w:r>
          </w:p>
        </w:tc>
      </w:tr>
      <w:tr w:rsidR="002F7B48" w14:paraId="03ED8C38" w14:textId="77777777" w:rsidTr="00A45F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1099BB42" w14:textId="77777777" w:rsidR="002F7B48" w:rsidRDefault="002F7B48" w:rsidP="00A45FD6">
            <w:pPr>
              <w:pStyle w:val="MDPI42tablebody"/>
            </w:pPr>
            <w:r>
              <w:t xml:space="preserve">Open Water </w:t>
            </w:r>
          </w:p>
        </w:tc>
        <w:tc>
          <w:tcPr>
            <w:tcW w:w="833" w:type="pct"/>
          </w:tcPr>
          <w:p w14:paraId="74B19D14"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-3.7 ± 0.0</w:t>
            </w:r>
          </w:p>
        </w:tc>
        <w:tc>
          <w:tcPr>
            <w:tcW w:w="833" w:type="pct"/>
          </w:tcPr>
          <w:p w14:paraId="5CE3FAC1"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-5.2 ± 1.8</w:t>
            </w:r>
          </w:p>
        </w:tc>
        <w:tc>
          <w:tcPr>
            <w:tcW w:w="833" w:type="pct"/>
          </w:tcPr>
          <w:p w14:paraId="3117ACEF"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0.28 ± 0.18</w:t>
            </w:r>
          </w:p>
        </w:tc>
        <w:tc>
          <w:tcPr>
            <w:tcW w:w="834" w:type="pct"/>
          </w:tcPr>
          <w:p w14:paraId="74521919" w14:textId="77777777"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pPr>
            <w:r>
              <w:t>-8.6 ± 6.3</w:t>
            </w:r>
          </w:p>
        </w:tc>
        <w:tc>
          <w:tcPr>
            <w:tcW w:w="834" w:type="pct"/>
          </w:tcPr>
          <w:p w14:paraId="0C99D0D7" w14:textId="6D3B687C" w:rsidR="002F7B48" w:rsidRDefault="002F7B48" w:rsidP="00A45FD6">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fldChar w:fldCharType="begin"/>
            </w:r>
            <w:r w:rsidR="00E62A89">
              <w:rPr>
                <w:sz w:val="18"/>
                <w:szCs w:val="18"/>
              </w:rPr>
              <w:instrText xml:space="preserve"> ADDIN ZOTERO_ITEM CSL_CITATION {"citationID":"RQXRREgH","properties":{"formattedCitation":"[3,18,25,27\\uc0\\u8211{}29,68,79]","plainCitation":"[3,18,25,27–29,68,79]","noteIndex":0},"citationItems":[{"id":36482,"uris":["http://zotero.org/groups/4743814/items/AKNJF27U"],"itemData":{"id":36482,"type":"article-journal","abstract":"Submerged aquatic vegetation (SAV) thrives across the estuarine salinity gradient providing valuable ecosystem services. Within the saline portion of estuaries, seagrass areas are frequently cited as hotspots for their role in capturing and retaining organic carbon (Corg). Non-seagrass SAV, located in the fresh to brackish estuarine areas, may also retain significant soil Corg, yet their role remains unquantified. Given rapidly occurring landscape and salinity changes due to human and natural disturbances, landscape level carbon pool estimates from estuarine SAV habitat blue carbon estimates are needed. We assessed Corg stocks in SAV habitat soils from estuarine freshwater to saline habitats (interior deltaic) to saline barrier islands (Chandeleur Island) within the Mississippi River Delta Plain (MRDP), Louisiana, USA. SAV habitats contain Corg stocks equivalent to those reported for other estuarine vegetation types (seagrass, salt marsh, mangrove). Interior deltaic SAV Corg stocks (231.6 ± 19.5 Mg Corg ha−1) were similar across the salinity gradient, and significantly higher than at barrier island sites (56.6 ± 10.4 Mg Corg ha−1). Within the MRDP, shallow water SAV habitat covers up to an estimated 28,000 ha, indicating that soil Corg storage is potentially 6.4 ± 0.1 Tg representing an unaccounted Corg pool. Extrapolated across Louisiana, and the Gulf of Mexico, this represents a major unaccounted pool of soil Corg. As marshes continue to erode, the ability of coastal SAV habitat to offset some of the lost carbon sequestration may be valuable. Our estimates of Corg sequestration rates indicated that conversion of eroding marsh to potential SAV habitat may help to offset the reduction of Corg sequestration rates. Across Louisiana, we estimated SAV to offset this loss by as much as 79,000 Mg C yr−1 between the 1960s and 2000s.","container-title":"Science of The Total Environment","DOI":"10.1016/j.scitotenv.2020.137217","ISSN":"0048-9697","journalAbbreviation":"Sci Total Environ","language":"en","page":"137217","source":"ScienceDirect","title":"Estuarine submerged aquatic vegetation habitat provides organic carbon storage across a shifting landscape","volume":"717","author":[{"family":"Hillmann","given":"Eva R."},{"family":"Rivera-Monroy","given":"Victor H."},{"family":"Nyman","given":"J. Andrew"},{"family":"La Peyre","given":"Megan K."}],"issued":{"date-parts":[["2020",5,15]]}}},{"id":9230,"uris":["http://zotero.org/groups/2790555/items/PU3S9MLK"],"itemData":{"id":9230,"type":"paper-conference","abstract":"ABSTRACT During a 14-month period in 1973-74, several functional properties were studied in a swamp forest and lake system in Louisiana. The study area forms the upper drainage basin of the Barataria Bay estuary. Properties measured were: a) productivity of the two swamp forest components, bottomland hardwood (BLH) and baldcypress-tupelo (CT); b) productivity of lake and bayou waters; c) hydrology; and d) carbon and nutrient export to the lower estuary. Productivity of the BLH site was 800 g dry wt·m–2·yr–1 for stem biomass increase, 584 for litterfall, and 200 for understory production. Similar figures for CT were 500, 620, and 20. Total above-ground net productivity was 1584 for BLH and 1140 for CT. Net daytime photosynthesis (NDP) for the lake was 1418 g 02·m–2·yr–1 and nighttime respiration (NR) was 1868 (P/R = 0.76). For the bayous NDP was 316 and NR was 446 (P/R = 0.71). Water discharge from the basin is significant year-round except during the summer when evaporation equals precipitation. Annual export to the lower estuary (calculated from water discharge and materials concentrations) was 8016 metric tons of organic C, 1047 metric tons N, and 154 metric tons P. The greater part of this export occurred during the spring, corresponding to the spring peak in biological activity in the estuary.","DOI":"10.1016/B978-0-12-751802-2.50026-6","source":"Semantic Scholar","title":"Productivity and nutrient export studies in a cypress swamp and lake system in Louisiana","author":[{"family":"Day","given":"John W"},{"family":"Butler","given":"T."},{"family":"Conner","given":"W."}],"issued":{"date-parts":[["1977"]]}}},{"id":9276,"uris":["http://zotero.org/groups/2790555/items/ZHQCSFMU"],"itemData":{"id":9276,"type":"thesis","abstract":"METHODS....................................................................................................................................... 28 SAMPLE COLLECTION ........................................................................................................ 28 DENITRIFICATION EXPERIMENTS ...................................................................................... 29 STATISTICAL ANALYSIS ...................................................................................................... 31\nRESULTS ......................................................................................................................................... 32 BACKGROUND DENITRIFICATION RATES .......................................................................... 32 POTENTIAL DENITRIFICATION RATES................................................................................ 32 RESPONSE TIME TO NITRATE LOADING ............................................................................ 33 RELATIONSHIP BETWEEN NITRATE AND DENITRIFICATION ............................................. 33 ASSOCIATIONS WITH SOIL COMPOSITION........................................................................ 35 DISCUSSION.................................................................................................................................... 36\nCONCLUSION.................................................................................................................................. 39 LITERATURE CITED ......................................................................................................................... 40","event-place":"Renewable Natural Resources","genre":"Dissertation","language":"en","publisher":"Louisiana State University","publisher-place":"Renewable Natural Resources","source":"Zotero","title":"The effect of habitat change on nutrient removal in the Atchafalaya River Basin, Louisiana","author":[{"family":"Scaroni","given":"Amy E"}],"issued":{"date-parts":[["2011"]]}}},{"id":9722,"uris":["http://zotero.org/groups/2790555/items/LXDB7QGA"],"itemData":{"id":9722,"type":"article-journal","abstract":"A \nseasonal \nstudy \nof \nmethane release \nfrom \nadjoining \nsalt, \nbrackish \nand  fresh \nmarsh sediment and \nthe \nadjacent \nopen  water \nareas \nin  Louisiana’s \nBarataria \nBasin \nindicates \nthat \nmethane emission \nis \na  significant  process \nin \nthe \ncarbon \nand \nenergy \nflow \nof \nthe  ecosystem.  Methane \nemission  was \ninversely \nrelated  to  salinity  and  sulfate \nconcentration, \nwith \nmethane increasing \nand \nsalinity  and \nsulfate  decreasing \nwith \nincreasing \ndistance \nfrom \nthe \ncoast. \nThe \nannual \namounts \nof \nmethane \nevolved  were \n4.3, \n73 \nand \n160 \ng \nC \nm-2 \nfor  the \nsalt, \nbrackish  and \nfresh \nmarshes, \nrespectively. \nIn \nvitro \nexperiments \nshow \nthat \nmethane \nproduction \nis \nsensitive \nto \nthe \naddition \nof \nsulfate, \nhigh \nconcentrations \n(10 \nmM \nSO,) \ninhibiting methane evolution","container-title":"Tellus B: Chemical and Physical Meteorology","DOI":"10/gh4wht","ISSN":"1600-0889","issue":"1","journalAbbreviation":"Tellus B: Chem. Phys. Meteorol.","language":"en","page":"8-15","source":"CrossRef","title":"Methane release from Gulf coast wetlands","volume":"35","author":[{"family":"DeLaune","given":"Ronald D."},{"family":"Smith","given":"Chris J."},{"family":"Patrick","given":"William H."}],"issued":{"date-parts":[["1983",1]]}}},{"id":10473,"uris":["http://zotero.org/groups/2790555/items/MRYBTS8L"],"itemData":{"id":10473,"type":"article-journal","abstract":"Nitrous oxide evolution may contribute to partial destruction of the ozone layer in the stratosphere. A two year study of the release of NzO from adjoining salt, brackish, and fresh marsh sediment indicates that the annual emission was 3 1, 48, and 55 mg N mm2respectively. Emission from open water area was less than the corresponding emission from the marsh sediment. In vilro experiments indicate that the N20 emission was increased when the sediment was drained for extended periods of time. The addition of NO; significantly increased the rate of NZO evolution, indicating that a large potential for de&amp;r&amp;cation exists in the anoxic sediment. Appreciable losses of NzO would only be expected when the marshes receive an extraneous source of nitrate such as sewage and/or wastewater. The contribution of the Gulf Coast wetlands to the atmospheric NzO balance is estimated to be 3.3 X lo9 g NZO. The maximum average daily emission was equivalent to I .5 g N,O-N ha-‘, which is less than the measured emission from uncultivated soils (MOSIER etal.,1981) but greater than the estimates from noncropped land (CAST, 1976).","container-title":"Geochimica et Cosmochimica Acta","DOI":"10/fvxsvc","ISSN":"00167037","issue":"10","journalAbbreviation":"Geochimica et Cosmochimica Acta","language":"en","page":"1805-1814","source":"DOI.org (Crossref)","title":"Nitrous oxide emission from Gulf Coast wetlands","volume":"47","author":[{"family":"Smith","given":"C.J."},{"family":"DeLaune","given":"R.D."},{"family":"Patrick","given":"W.H."}],"issued":{"date-parts":[["1983",10]]}}},{"id":10337,"uris":["http://zotero.org/groups/2790555/items/VU4FU7JL"],"itemData":{"id":10337,"type":"article-journal","abstract":"Direct measurements of CO2 fluxes were made in salt, brackish and freshwater marshes and parallel adjacent open water areas in Barataria Basin, Louisiana. Vertical flux density was determined by monitoring the accumulation of CO2 in aluminum chambers placed over the water or sediment surfaces. Annual CO2 fluxes were 418, 180 and 618 g Cm−2 from the salt, brackish and freshwater marsh, respectively. Water bodies adjacent to the marsh evolved 103, 54 and 242 g CO2-Cm−2yr−1 to the atmosphere from saline, brackish and freshwater lakes, respectively. The role these marshes play in serving as a major carbon sink was determined from the carbon content of the sediment, vertical accretion rates and the bulk density of the sediment. Accretion rates were calculated from the depth in the sediment of the 1963 horizon, the year of peak 137Cs fallout. Net carbon accumulation was essentially the same in all three marshes; 183, 296 and 224 g Cm−2yr−1 from the salt, brackish and fresh marsh, respectively. Data presented suggest a limited net export of carbon from these coastal marshes. A large percentage of fixed carbon remained on the marsh, being immobilized in accretionary processes or lost to the atmosphere as CO2.","container-title":"Estuarine, Coastal and Shelf Science","DOI":"10/ffk8tt","journalAbbreviation":"Estuar Coast Shelf Sci.","page":"21-29","title":"Carbon dioxide emission and carbon accumulation in coastal wetlands","volume":"17","author":[{"family":"Smith","given":"C.J."},{"family":"DeLaune","given":"R. D."},{"family":"Patrick Jr","given":"W.H."}],"issued":{"date-parts":[["1983"]]}}},{"id":10743,"uris":["http://zotero.org/groups/2790555/items/EXVKQYCU"],"itemData":{"id":10743,"type":"article-journal","container-title":"Marine ecology progress series. Oldendorf","issue":"3","journalAbbreviation":"Mar Ecol Prog Ser","page":"255–260","source":"Google Scholar","title":"Carbon flow in coastal Louisiana. Marine Ecology Progress Series","volume":"24","author":[{"family":"Feijtel","given":"T. C."},{"family":"DeLaune","given":"R. D."},{"family":"Patrick Jr","given":"W. H."}],"issued":{"date-parts":[["1985"]]}}},{"id":10567,"uris":["http://zotero.org/groups/2790555/items/G6RVTLEV"],"itemData":{"id":10567,"type":"article-journal","abstract":"Nitrogen and phosphorus cycling in a eutrophic Louisiana freshwater lake system (Lac des Allemands) was studied. Nutrients from runoff entering the lake, as well as sediment-interstitial and lake water nitrogen and phosphorus tractions, were measured seasonally. Sedimentation rates in the lake were determined using 137Csdating.","container-title":"Environmental Management","DOI":"10/dqsggm","ISSN":"0364-152X, 1432-1009","issue":"3","journalAbbreviation":"Environ Manag.","language":"en","note":"11 citations (Crossref) [2023-01-23]","page":"243-251","source":"DOI.org (Crossref)","title":"Nutrient fluxes in a eutrophic coastal Louisiana freshwater lake","volume":"9","author":[{"family":"Stow","given":"C. A."},{"family":"De Laune","given":"R. D."},{"family":"Patrick","given":"W. H."}],"issued":{"date-parts":[["1985",5]]}}}],"schema":"https://github.com/citation-style-language/schema/raw/master/csl-citation.json"} </w:instrText>
            </w:r>
            <w:r>
              <w:rPr>
                <w:sz w:val="18"/>
                <w:szCs w:val="18"/>
              </w:rPr>
              <w:fldChar w:fldCharType="separate"/>
            </w:r>
            <w:r w:rsidR="00E62A89" w:rsidRPr="00E62A89">
              <w:rPr>
                <w:rFonts w:cs="Times New Roman"/>
                <w:sz w:val="18"/>
                <w:szCs w:val="24"/>
              </w:rPr>
              <w:t>[3,18,25,27–29,68,79]</w:t>
            </w:r>
            <w:r>
              <w:rPr>
                <w:sz w:val="18"/>
                <w:szCs w:val="18"/>
              </w:rPr>
              <w:fldChar w:fldCharType="end"/>
            </w:r>
          </w:p>
        </w:tc>
      </w:tr>
    </w:tbl>
    <w:p w14:paraId="1E4747CC" w14:textId="11600908" w:rsidR="00EE46DD" w:rsidRDefault="000F3C80" w:rsidP="000F3C80">
      <w:pPr>
        <w:pStyle w:val="MDPI43tablefooter"/>
      </w:pPr>
      <w:r w:rsidRPr="000F3C80">
        <w:t>Notes: * (1) FAV habitat area was combined into fresh marsh for NECB and net flux analysis as limited information available for FAV habitat. (2) Bare ground was considered as not modeled area with carbon fluxes (e.g., ANNP, Sed/Soil accm</w:t>
      </w:r>
      <w:r w:rsidR="00643F06">
        <w:t>u</w:t>
      </w:r>
      <w:r w:rsidRPr="000F3C80">
        <w:t>., and GHG) as zero in this study.</w:t>
      </w:r>
      <w:r w:rsidR="00EE46DD">
        <w:br w:type="page"/>
      </w:r>
    </w:p>
    <w:p w14:paraId="656B66AA" w14:textId="5404D081" w:rsidR="002F7B48" w:rsidRDefault="002F7B48" w:rsidP="00814822">
      <w:pPr>
        <w:pStyle w:val="MDPI22heading2"/>
      </w:pPr>
      <w:r w:rsidRPr="000F3C80">
        <w:t>Supplement 3</w:t>
      </w:r>
      <w:r w:rsidRPr="000F3C80">
        <w:rPr>
          <w:rStyle w:val="Strong"/>
          <w:b w:val="0"/>
          <w:bCs w:val="0"/>
        </w:rPr>
        <w:t xml:space="preserve">. Hurricane Tracks for Barry 2019 and Ida 2021. </w:t>
      </w:r>
    </w:p>
    <w:p w14:paraId="1B2E1CC3" w14:textId="6748D3BF" w:rsidR="00067D6C" w:rsidRDefault="00520DFD" w:rsidP="000F3C80">
      <w:pPr>
        <w:pStyle w:val="MDPI52figure"/>
      </w:pPr>
      <w:r>
        <w:rPr>
          <w:noProof/>
        </w:rPr>
        <w:drawing>
          <wp:inline distT="0" distB="0" distL="0" distR="0" wp14:anchorId="690FEB5F" wp14:editId="1AB6E4C4">
            <wp:extent cx="5055650" cy="2913786"/>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73730" cy="2924206"/>
                    </a:xfrm>
                    <a:prstGeom prst="rect">
                      <a:avLst/>
                    </a:prstGeom>
                    <a:noFill/>
                    <a:ln>
                      <a:noFill/>
                    </a:ln>
                  </pic:spPr>
                </pic:pic>
              </a:graphicData>
            </a:graphic>
          </wp:inline>
        </w:drawing>
      </w:r>
    </w:p>
    <w:p w14:paraId="644E8423" w14:textId="221719D1" w:rsidR="00EE46DD" w:rsidRDefault="0049563B" w:rsidP="000F3C80">
      <w:pPr>
        <w:pStyle w:val="MDPI51figurecaption"/>
      </w:pPr>
      <w:r w:rsidRPr="000F3C80">
        <w:rPr>
          <w:b/>
          <w:bCs/>
        </w:rPr>
        <w:t>Figure S</w:t>
      </w:r>
      <w:r>
        <w:rPr>
          <w:b/>
          <w:bCs/>
        </w:rPr>
        <w:t>3</w:t>
      </w:r>
      <w:r w:rsidRPr="000F3C80">
        <w:rPr>
          <w:b/>
          <w:bCs/>
        </w:rPr>
        <w:t>-1.</w:t>
      </w:r>
      <w:r>
        <w:t xml:space="preserve"> </w:t>
      </w:r>
      <w:r w:rsidR="00080222">
        <w:t>T</w:t>
      </w:r>
      <w:r w:rsidR="00322A12" w:rsidRPr="00322A12">
        <w:t>racks of major hurricanes that made landfall near the Louisiana Coast during the study period of 2015-2022. The colored lines indicate the different categories of the hurricanes.</w:t>
      </w:r>
      <w:r w:rsidR="00EE46DD">
        <w:br w:type="page"/>
      </w:r>
    </w:p>
    <w:p w14:paraId="5860D299" w14:textId="77777777" w:rsidR="002F7B48" w:rsidRPr="00193B46" w:rsidRDefault="002F7B48" w:rsidP="000F3C80">
      <w:pPr>
        <w:pStyle w:val="MDPI22heading2"/>
        <w:rPr>
          <w:rStyle w:val="Strong"/>
          <w:b w:val="0"/>
          <w:bCs w:val="0"/>
        </w:rPr>
      </w:pPr>
      <w:r w:rsidRPr="00DD136B">
        <w:rPr>
          <w:rStyle w:val="Strong"/>
          <w:b w:val="0"/>
        </w:rPr>
        <w:t xml:space="preserve">Supplement </w:t>
      </w:r>
      <w:r>
        <w:rPr>
          <w:rStyle w:val="Strong"/>
          <w:b w:val="0"/>
        </w:rPr>
        <w:t xml:space="preserve">4. </w:t>
      </w:r>
      <w:r w:rsidRPr="00193B46">
        <w:rPr>
          <w:rStyle w:val="Strong"/>
          <w:b w:val="0"/>
        </w:rPr>
        <w:t xml:space="preserve">Percent </w:t>
      </w:r>
      <w:r>
        <w:rPr>
          <w:rStyle w:val="Strong"/>
          <w:b w:val="0"/>
        </w:rPr>
        <w:t>H</w:t>
      </w:r>
      <w:r w:rsidRPr="00193B46">
        <w:rPr>
          <w:rStyle w:val="Strong"/>
          <w:b w:val="0"/>
        </w:rPr>
        <w:t xml:space="preserve">abitat </w:t>
      </w:r>
      <w:r>
        <w:rPr>
          <w:rStyle w:val="Strong"/>
          <w:b w:val="0"/>
        </w:rPr>
        <w:t>C</w:t>
      </w:r>
      <w:r w:rsidRPr="00193B46">
        <w:rPr>
          <w:rStyle w:val="Strong"/>
          <w:b w:val="0"/>
        </w:rPr>
        <w:t>hanges</w:t>
      </w:r>
      <w:r>
        <w:rPr>
          <w:rStyle w:val="Strong"/>
          <w:b w:val="0"/>
        </w:rPr>
        <w:t xml:space="preserve"> at Targeted Years</w:t>
      </w:r>
    </w:p>
    <w:p w14:paraId="7F42C3C9" w14:textId="0647624A" w:rsidR="00F2470C" w:rsidRDefault="00F2470C" w:rsidP="00814822">
      <w:pPr>
        <w:pStyle w:val="MDPI51figurecaption"/>
        <w:ind w:left="0"/>
        <w:jc w:val="center"/>
        <w:rPr>
          <w:b/>
          <w:bCs/>
        </w:rPr>
      </w:pPr>
      <w:r>
        <w:rPr>
          <w:snapToGrid w:val="0"/>
        </w:rPr>
        <w:drawing>
          <wp:inline distT="0" distB="0" distL="0" distR="0" wp14:anchorId="077AE9C2" wp14:editId="241EBC64">
            <wp:extent cx="5605272" cy="5230368"/>
            <wp:effectExtent l="0" t="0" r="0" b="8890"/>
            <wp:docPr id="1821078730" name="Picture 1821078730" descr="A picture containing text, screensho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78730" name="Picture 1" descr="A picture containing text, screenshot, map&#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5272" cy="5230368"/>
                    </a:xfrm>
                    <a:prstGeom prst="rect">
                      <a:avLst/>
                    </a:prstGeom>
                    <a:noFill/>
                    <a:ln>
                      <a:noFill/>
                    </a:ln>
                  </pic:spPr>
                </pic:pic>
              </a:graphicData>
            </a:graphic>
          </wp:inline>
        </w:drawing>
      </w:r>
    </w:p>
    <w:p w14:paraId="54DA60B7" w14:textId="44CCC8DE" w:rsidR="002F7B48" w:rsidRDefault="002F7B48" w:rsidP="000F3C80">
      <w:pPr>
        <w:pStyle w:val="MDPI51figurecaption"/>
      </w:pPr>
      <w:r w:rsidRPr="000F3C80">
        <w:rPr>
          <w:b/>
          <w:bCs/>
        </w:rPr>
        <w:t>Figure S4-1.</w:t>
      </w:r>
      <w:r>
        <w:t xml:space="preserve"> V</w:t>
      </w:r>
      <w:r w:rsidRPr="00CE36CB">
        <w:t>egetation % cover for eight habitats converted from the 201</w:t>
      </w:r>
      <w:r>
        <w:t>6</w:t>
      </w:r>
      <w:r w:rsidRPr="00CE36CB">
        <w:t xml:space="preserve"> habitat map produced </w:t>
      </w:r>
      <w:r>
        <w:t>WSAV-Net using Landsat 8-OLI imagery acquired on 30 October 2016. SAV = submerged aquatic vegetation. FAV = floating aquatic vegetation.</w:t>
      </w:r>
    </w:p>
    <w:p w14:paraId="6BA1E764" w14:textId="6B459365" w:rsidR="002F7B48" w:rsidRDefault="009F1CB3" w:rsidP="000F3C80">
      <w:pPr>
        <w:pStyle w:val="MDPI52figure"/>
      </w:pPr>
      <w:r>
        <w:rPr>
          <w:noProof/>
        </w:rPr>
        <w:drawing>
          <wp:inline distT="0" distB="0" distL="0" distR="0" wp14:anchorId="1554E78C" wp14:editId="4FEFC9AF">
            <wp:extent cx="5605272" cy="5221224"/>
            <wp:effectExtent l="0" t="0" r="0" b="0"/>
            <wp:docPr id="110367824" name="Picture 110367824" descr="A picture containing text, map,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7824" name="Picture 2" descr="A picture containing text, map, screensho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5272" cy="5221224"/>
                    </a:xfrm>
                    <a:prstGeom prst="rect">
                      <a:avLst/>
                    </a:prstGeom>
                    <a:noFill/>
                    <a:ln>
                      <a:noFill/>
                    </a:ln>
                  </pic:spPr>
                </pic:pic>
              </a:graphicData>
            </a:graphic>
          </wp:inline>
        </w:drawing>
      </w:r>
    </w:p>
    <w:p w14:paraId="3D36CB82" w14:textId="77777777" w:rsidR="002F7B48" w:rsidRPr="00CE36CB" w:rsidRDefault="002F7B48" w:rsidP="000F3C80">
      <w:pPr>
        <w:pStyle w:val="MDPI51figurecaption"/>
      </w:pPr>
      <w:r w:rsidRPr="000F3C80">
        <w:rPr>
          <w:b/>
          <w:bCs/>
        </w:rPr>
        <w:t xml:space="preserve">Figure S4-2. </w:t>
      </w:r>
      <w:r>
        <w:t>V</w:t>
      </w:r>
      <w:r w:rsidRPr="00CE36CB">
        <w:t>egetation % cover for eight habitats converted from the 201</w:t>
      </w:r>
      <w:r>
        <w:t>7</w:t>
      </w:r>
      <w:r w:rsidRPr="00CE36CB">
        <w:t xml:space="preserve"> habitat map produced </w:t>
      </w:r>
      <w:r>
        <w:t>WSAV-Net using Landsat 8-OLI imagery acquired on 17 October 2017. SAV = submerged aquatic vegetation. FAV = floating aquatic vegetation.</w:t>
      </w:r>
    </w:p>
    <w:p w14:paraId="7A2A0E85" w14:textId="673479A2" w:rsidR="002F7B48" w:rsidRDefault="00701158" w:rsidP="000F3C80">
      <w:pPr>
        <w:pStyle w:val="MDPI52figure"/>
      </w:pPr>
      <w:r>
        <w:rPr>
          <w:noProof/>
        </w:rPr>
        <w:drawing>
          <wp:inline distT="0" distB="0" distL="0" distR="0" wp14:anchorId="20ED8627" wp14:editId="3924E57B">
            <wp:extent cx="5605272" cy="5221224"/>
            <wp:effectExtent l="0" t="0" r="0" b="0"/>
            <wp:docPr id="2111994302" name="Picture 2111994302" descr="A picture containing text, screensho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94302" name="Picture 3" descr="A picture containing text, screenshot, map&#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5272" cy="5221224"/>
                    </a:xfrm>
                    <a:prstGeom prst="rect">
                      <a:avLst/>
                    </a:prstGeom>
                    <a:noFill/>
                    <a:ln>
                      <a:noFill/>
                    </a:ln>
                  </pic:spPr>
                </pic:pic>
              </a:graphicData>
            </a:graphic>
          </wp:inline>
        </w:drawing>
      </w:r>
    </w:p>
    <w:p w14:paraId="3A7BEB6B" w14:textId="77777777" w:rsidR="002F7B48" w:rsidRPr="00CE36CB" w:rsidRDefault="002F7B48" w:rsidP="000F3C80">
      <w:pPr>
        <w:pStyle w:val="MDPI51figurecaption"/>
      </w:pPr>
      <w:r w:rsidRPr="000F3C80">
        <w:rPr>
          <w:b/>
          <w:bCs/>
        </w:rPr>
        <w:t>Figure S4-3.</w:t>
      </w:r>
      <w:r>
        <w:t xml:space="preserve"> V</w:t>
      </w:r>
      <w:r w:rsidRPr="00CE36CB">
        <w:t>egetation % cover for eight habitats converted from the 201</w:t>
      </w:r>
      <w:r>
        <w:t>9</w:t>
      </w:r>
      <w:r w:rsidRPr="00CE36CB">
        <w:t xml:space="preserve"> habitat map produced </w:t>
      </w:r>
      <w:r>
        <w:t>WSAV-Net using Landsat 8-OLI imagery acquired on 05 September 2019. SAV = submerged aquatic vegetation. FAV = floating aquatic vegetation.</w:t>
      </w:r>
    </w:p>
    <w:p w14:paraId="3F033F50" w14:textId="632B2413" w:rsidR="002F7B48" w:rsidRDefault="0028408C" w:rsidP="000F3C80">
      <w:pPr>
        <w:pStyle w:val="MDPI52figure"/>
      </w:pPr>
      <w:r>
        <w:rPr>
          <w:noProof/>
        </w:rPr>
        <w:drawing>
          <wp:inline distT="0" distB="0" distL="0" distR="0" wp14:anchorId="7320E47F" wp14:editId="2DB512A4">
            <wp:extent cx="5605272" cy="5221224"/>
            <wp:effectExtent l="0" t="0" r="0" b="0"/>
            <wp:docPr id="1023059362" name="Picture 1023059362" descr="A picture containing text, screensho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59362" name="Picture 4" descr="A picture containing text, screenshot, map&#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5272" cy="5221224"/>
                    </a:xfrm>
                    <a:prstGeom prst="rect">
                      <a:avLst/>
                    </a:prstGeom>
                    <a:noFill/>
                    <a:ln>
                      <a:noFill/>
                    </a:ln>
                  </pic:spPr>
                </pic:pic>
              </a:graphicData>
            </a:graphic>
          </wp:inline>
        </w:drawing>
      </w:r>
    </w:p>
    <w:p w14:paraId="02E34646" w14:textId="2684B59E" w:rsidR="002F7B48" w:rsidRPr="00CE6EAF" w:rsidRDefault="002F7B48" w:rsidP="000F3C80">
      <w:pPr>
        <w:pStyle w:val="MDPI51figurecaption"/>
      </w:pPr>
      <w:r w:rsidRPr="000F3C80">
        <w:rPr>
          <w:b/>
          <w:bCs/>
        </w:rPr>
        <w:t xml:space="preserve">Figure S4-4. </w:t>
      </w:r>
      <w:r>
        <w:t>V</w:t>
      </w:r>
      <w:r w:rsidRPr="00CE36CB">
        <w:t>egetation % cover for eight habitats converted from the 20</w:t>
      </w:r>
      <w:r>
        <w:t>21</w:t>
      </w:r>
      <w:r w:rsidRPr="00CE36CB">
        <w:t xml:space="preserve"> habitat map produced </w:t>
      </w:r>
      <w:r>
        <w:t>WSAV-Net using Landsat 8-OLI imagery acquired on 10 September 2021. SAV = submerged aquatic vegetation. FAV = floating aquatic vegetation.</w:t>
      </w:r>
    </w:p>
    <w:p w14:paraId="640BADBD" w14:textId="0913E025" w:rsidR="002F7B48" w:rsidRDefault="0028408C" w:rsidP="000F3C80">
      <w:pPr>
        <w:pStyle w:val="MDPI52figure"/>
      </w:pPr>
      <w:r>
        <w:rPr>
          <w:noProof/>
        </w:rPr>
        <w:drawing>
          <wp:inline distT="0" distB="0" distL="0" distR="0" wp14:anchorId="1C1A4598" wp14:editId="00AF90F1">
            <wp:extent cx="5605272" cy="5221224"/>
            <wp:effectExtent l="0" t="0" r="0" b="0"/>
            <wp:docPr id="630350784" name="Picture 630350784" descr="A picture containing text, map,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50784" name="Picture 5" descr="A picture containing text, map, screensho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5272" cy="5221224"/>
                    </a:xfrm>
                    <a:prstGeom prst="rect">
                      <a:avLst/>
                    </a:prstGeom>
                    <a:noFill/>
                    <a:ln>
                      <a:noFill/>
                    </a:ln>
                  </pic:spPr>
                </pic:pic>
              </a:graphicData>
            </a:graphic>
          </wp:inline>
        </w:drawing>
      </w:r>
    </w:p>
    <w:p w14:paraId="2F15225A" w14:textId="77777777" w:rsidR="002F7B48" w:rsidRPr="00CE36CB" w:rsidRDefault="002F7B48" w:rsidP="000F3C80">
      <w:pPr>
        <w:pStyle w:val="MDPI51figurecaption"/>
      </w:pPr>
      <w:r w:rsidRPr="000F3C80">
        <w:rPr>
          <w:b/>
          <w:bCs/>
        </w:rPr>
        <w:t>Figure S4-5.</w:t>
      </w:r>
      <w:r>
        <w:t xml:space="preserve"> V</w:t>
      </w:r>
      <w:r w:rsidRPr="00CE36CB">
        <w:t>egetation % cover for eight habitats converted from the 20</w:t>
      </w:r>
      <w:r>
        <w:t>22</w:t>
      </w:r>
      <w:r w:rsidRPr="00CE36CB">
        <w:t xml:space="preserve"> habitat map produced </w:t>
      </w:r>
      <w:r>
        <w:t>WSAV-Net using Landsat 8-OLI imagery acquired on 15 October 2022. SAV = submerged aquatic vegetation. FAV = floating aquatic vegetation.</w:t>
      </w:r>
    </w:p>
    <w:p w14:paraId="483D1693" w14:textId="77777777" w:rsidR="002F7B48" w:rsidRDefault="002F7B48" w:rsidP="000F3C80">
      <w:pPr>
        <w:pStyle w:val="MDPI41tablecaption"/>
      </w:pPr>
      <w:r w:rsidRPr="000F3C80">
        <w:rPr>
          <w:b/>
          <w:bCs/>
        </w:rPr>
        <w:t>Table S4.</w:t>
      </w:r>
      <w:r>
        <w:t xml:space="preserve"> Areas (in ha) of eight habitats in target years </w:t>
      </w:r>
    </w:p>
    <w:tbl>
      <w:tblPr>
        <w:tblStyle w:val="PlainTable2"/>
        <w:tblW w:w="5000" w:type="pct"/>
        <w:tblLook w:val="04A0" w:firstRow="1" w:lastRow="0" w:firstColumn="1" w:lastColumn="0" w:noHBand="0" w:noVBand="1"/>
      </w:tblPr>
      <w:tblGrid>
        <w:gridCol w:w="1784"/>
        <w:gridCol w:w="1447"/>
        <w:gridCol w:w="1447"/>
        <w:gridCol w:w="1447"/>
        <w:gridCol w:w="1447"/>
        <w:gridCol w:w="1447"/>
        <w:gridCol w:w="1447"/>
      </w:tblGrid>
      <w:tr w:rsidR="002F7B48" w14:paraId="5C966DDA" w14:textId="77777777" w:rsidTr="000F3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pct"/>
          </w:tcPr>
          <w:p w14:paraId="6A97F199" w14:textId="77777777" w:rsidR="002F7B48" w:rsidRDefault="002F7B48" w:rsidP="000F3C80">
            <w:pPr>
              <w:pStyle w:val="MDPI42tablebody"/>
            </w:pPr>
            <w:r>
              <w:t>Habitat (ha)</w:t>
            </w:r>
          </w:p>
        </w:tc>
        <w:tc>
          <w:tcPr>
            <w:tcW w:w="691" w:type="pct"/>
          </w:tcPr>
          <w:p w14:paraId="621C5F82"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2015</w:t>
            </w:r>
          </w:p>
        </w:tc>
        <w:tc>
          <w:tcPr>
            <w:tcW w:w="691" w:type="pct"/>
          </w:tcPr>
          <w:p w14:paraId="7588F1C3"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2016</w:t>
            </w:r>
          </w:p>
        </w:tc>
        <w:tc>
          <w:tcPr>
            <w:tcW w:w="691" w:type="pct"/>
          </w:tcPr>
          <w:p w14:paraId="21AFC97E"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2017</w:t>
            </w:r>
          </w:p>
        </w:tc>
        <w:tc>
          <w:tcPr>
            <w:tcW w:w="691" w:type="pct"/>
          </w:tcPr>
          <w:p w14:paraId="6FD19FCB"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2019</w:t>
            </w:r>
          </w:p>
        </w:tc>
        <w:tc>
          <w:tcPr>
            <w:tcW w:w="691" w:type="pct"/>
          </w:tcPr>
          <w:p w14:paraId="57EC115A"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2021</w:t>
            </w:r>
          </w:p>
        </w:tc>
        <w:tc>
          <w:tcPr>
            <w:tcW w:w="691" w:type="pct"/>
          </w:tcPr>
          <w:p w14:paraId="16628509"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2022</w:t>
            </w:r>
          </w:p>
        </w:tc>
      </w:tr>
      <w:tr w:rsidR="002F7B48" w14:paraId="3620E014"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pct"/>
          </w:tcPr>
          <w:p w14:paraId="12013E42" w14:textId="77777777" w:rsidR="002F7B48" w:rsidRDefault="002F7B48" w:rsidP="000F3C80">
            <w:pPr>
              <w:pStyle w:val="MDPI42tablebody"/>
            </w:pPr>
            <w:r>
              <w:t>Fresh Forested Wetland</w:t>
            </w:r>
          </w:p>
        </w:tc>
        <w:tc>
          <w:tcPr>
            <w:tcW w:w="691" w:type="pct"/>
          </w:tcPr>
          <w:p w14:paraId="54BE1955"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4,830</w:t>
            </w:r>
          </w:p>
        </w:tc>
        <w:tc>
          <w:tcPr>
            <w:tcW w:w="691" w:type="pct"/>
          </w:tcPr>
          <w:p w14:paraId="1BDEA3EE"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3,864</w:t>
            </w:r>
          </w:p>
        </w:tc>
        <w:tc>
          <w:tcPr>
            <w:tcW w:w="691" w:type="pct"/>
          </w:tcPr>
          <w:p w14:paraId="474390F7"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3,826</w:t>
            </w:r>
          </w:p>
        </w:tc>
        <w:tc>
          <w:tcPr>
            <w:tcW w:w="691" w:type="pct"/>
          </w:tcPr>
          <w:p w14:paraId="061D33B8"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3,667</w:t>
            </w:r>
          </w:p>
        </w:tc>
        <w:tc>
          <w:tcPr>
            <w:tcW w:w="691" w:type="pct"/>
          </w:tcPr>
          <w:p w14:paraId="2955C11C"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2,759</w:t>
            </w:r>
          </w:p>
        </w:tc>
        <w:tc>
          <w:tcPr>
            <w:tcW w:w="691" w:type="pct"/>
          </w:tcPr>
          <w:p w14:paraId="59DE098A"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3,552</w:t>
            </w:r>
          </w:p>
        </w:tc>
      </w:tr>
      <w:tr w:rsidR="002F7B48" w14:paraId="5A504BDF" w14:textId="77777777" w:rsidTr="000F3C80">
        <w:tc>
          <w:tcPr>
            <w:cnfStyle w:val="001000000000" w:firstRow="0" w:lastRow="0" w:firstColumn="1" w:lastColumn="0" w:oddVBand="0" w:evenVBand="0" w:oddHBand="0" w:evenHBand="0" w:firstRowFirstColumn="0" w:firstRowLastColumn="0" w:lastRowFirstColumn="0" w:lastRowLastColumn="0"/>
            <w:tcW w:w="851" w:type="pct"/>
          </w:tcPr>
          <w:p w14:paraId="26413D27" w14:textId="77777777" w:rsidR="002F7B48" w:rsidRDefault="002F7B48" w:rsidP="000F3C80">
            <w:pPr>
              <w:pStyle w:val="MDPI42tablebody"/>
            </w:pPr>
            <w:r>
              <w:t>Fresh Marsh</w:t>
            </w:r>
          </w:p>
        </w:tc>
        <w:tc>
          <w:tcPr>
            <w:tcW w:w="691" w:type="pct"/>
          </w:tcPr>
          <w:p w14:paraId="2FD3CB80"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5,625</w:t>
            </w:r>
          </w:p>
        </w:tc>
        <w:tc>
          <w:tcPr>
            <w:tcW w:w="691" w:type="pct"/>
          </w:tcPr>
          <w:p w14:paraId="6B32A82B"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5,401</w:t>
            </w:r>
          </w:p>
        </w:tc>
        <w:tc>
          <w:tcPr>
            <w:tcW w:w="691" w:type="pct"/>
          </w:tcPr>
          <w:p w14:paraId="116A5C14"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3,501</w:t>
            </w:r>
          </w:p>
        </w:tc>
        <w:tc>
          <w:tcPr>
            <w:tcW w:w="691" w:type="pct"/>
          </w:tcPr>
          <w:p w14:paraId="385B38D1"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3,473</w:t>
            </w:r>
          </w:p>
        </w:tc>
        <w:tc>
          <w:tcPr>
            <w:tcW w:w="691" w:type="pct"/>
          </w:tcPr>
          <w:p w14:paraId="1E9F83B1"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3,764</w:t>
            </w:r>
          </w:p>
        </w:tc>
        <w:tc>
          <w:tcPr>
            <w:tcW w:w="691" w:type="pct"/>
          </w:tcPr>
          <w:p w14:paraId="688BE801"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5,832</w:t>
            </w:r>
          </w:p>
        </w:tc>
      </w:tr>
      <w:tr w:rsidR="002F7B48" w14:paraId="58610B40"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pct"/>
          </w:tcPr>
          <w:p w14:paraId="557B9E39" w14:textId="77777777" w:rsidR="002F7B48" w:rsidRDefault="002F7B48" w:rsidP="000F3C80">
            <w:pPr>
              <w:pStyle w:val="MDPI42tablebody"/>
            </w:pPr>
            <w:r>
              <w:t>Intermediate Marsh</w:t>
            </w:r>
          </w:p>
        </w:tc>
        <w:tc>
          <w:tcPr>
            <w:tcW w:w="691" w:type="pct"/>
          </w:tcPr>
          <w:p w14:paraId="0271E659"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4,172</w:t>
            </w:r>
          </w:p>
        </w:tc>
        <w:tc>
          <w:tcPr>
            <w:tcW w:w="691" w:type="pct"/>
          </w:tcPr>
          <w:p w14:paraId="669E9E8D"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5,301</w:t>
            </w:r>
          </w:p>
        </w:tc>
        <w:tc>
          <w:tcPr>
            <w:tcW w:w="691" w:type="pct"/>
          </w:tcPr>
          <w:p w14:paraId="6E35663B"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5,965</w:t>
            </w:r>
          </w:p>
        </w:tc>
        <w:tc>
          <w:tcPr>
            <w:tcW w:w="691" w:type="pct"/>
          </w:tcPr>
          <w:p w14:paraId="119FE291"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4,377</w:t>
            </w:r>
          </w:p>
        </w:tc>
        <w:tc>
          <w:tcPr>
            <w:tcW w:w="691" w:type="pct"/>
          </w:tcPr>
          <w:p w14:paraId="3DC39557"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6,320</w:t>
            </w:r>
          </w:p>
        </w:tc>
        <w:tc>
          <w:tcPr>
            <w:tcW w:w="691" w:type="pct"/>
          </w:tcPr>
          <w:p w14:paraId="1344FB15"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4,763</w:t>
            </w:r>
          </w:p>
        </w:tc>
      </w:tr>
      <w:tr w:rsidR="002F7B48" w14:paraId="7941950F" w14:textId="77777777" w:rsidTr="000F3C80">
        <w:tc>
          <w:tcPr>
            <w:cnfStyle w:val="001000000000" w:firstRow="0" w:lastRow="0" w:firstColumn="1" w:lastColumn="0" w:oddVBand="0" w:evenVBand="0" w:oddHBand="0" w:evenHBand="0" w:firstRowFirstColumn="0" w:firstRowLastColumn="0" w:lastRowFirstColumn="0" w:lastRowLastColumn="0"/>
            <w:tcW w:w="851" w:type="pct"/>
          </w:tcPr>
          <w:p w14:paraId="1DF9800D" w14:textId="77777777" w:rsidR="002F7B48" w:rsidRDefault="002F7B48" w:rsidP="000F3C80">
            <w:pPr>
              <w:pStyle w:val="MDPI42tablebody"/>
            </w:pPr>
            <w:r>
              <w:t>Brackish Marsh</w:t>
            </w:r>
          </w:p>
        </w:tc>
        <w:tc>
          <w:tcPr>
            <w:tcW w:w="691" w:type="pct"/>
          </w:tcPr>
          <w:p w14:paraId="07B2387C"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2</w:t>
            </w:r>
          </w:p>
        </w:tc>
        <w:tc>
          <w:tcPr>
            <w:tcW w:w="691" w:type="pct"/>
          </w:tcPr>
          <w:p w14:paraId="5B2DA4A4"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0</w:t>
            </w:r>
          </w:p>
        </w:tc>
        <w:tc>
          <w:tcPr>
            <w:tcW w:w="691" w:type="pct"/>
          </w:tcPr>
          <w:p w14:paraId="01121F3E"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7</w:t>
            </w:r>
          </w:p>
        </w:tc>
        <w:tc>
          <w:tcPr>
            <w:tcW w:w="691" w:type="pct"/>
          </w:tcPr>
          <w:p w14:paraId="2F454413"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0</w:t>
            </w:r>
          </w:p>
        </w:tc>
        <w:tc>
          <w:tcPr>
            <w:tcW w:w="691" w:type="pct"/>
          </w:tcPr>
          <w:p w14:paraId="0F514960"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2</w:t>
            </w:r>
          </w:p>
        </w:tc>
        <w:tc>
          <w:tcPr>
            <w:tcW w:w="691" w:type="pct"/>
          </w:tcPr>
          <w:p w14:paraId="3C7896E5"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10</w:t>
            </w:r>
          </w:p>
        </w:tc>
      </w:tr>
      <w:tr w:rsidR="002F7B48" w14:paraId="5EFD7EC9"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pct"/>
          </w:tcPr>
          <w:p w14:paraId="64005C14" w14:textId="77777777" w:rsidR="002F7B48" w:rsidRDefault="002F7B48" w:rsidP="000F3C80">
            <w:pPr>
              <w:pStyle w:val="MDPI42tablebody"/>
            </w:pPr>
            <w:r>
              <w:t>Floating Aquatic Vegetation (FAV)</w:t>
            </w:r>
          </w:p>
        </w:tc>
        <w:tc>
          <w:tcPr>
            <w:tcW w:w="691" w:type="pct"/>
          </w:tcPr>
          <w:p w14:paraId="7CD96060"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1,248</w:t>
            </w:r>
          </w:p>
        </w:tc>
        <w:tc>
          <w:tcPr>
            <w:tcW w:w="691" w:type="pct"/>
          </w:tcPr>
          <w:p w14:paraId="3A533F68"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2,479</w:t>
            </w:r>
          </w:p>
        </w:tc>
        <w:tc>
          <w:tcPr>
            <w:tcW w:w="691" w:type="pct"/>
          </w:tcPr>
          <w:p w14:paraId="26B44E6D"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2,624</w:t>
            </w:r>
          </w:p>
        </w:tc>
        <w:tc>
          <w:tcPr>
            <w:tcW w:w="691" w:type="pct"/>
          </w:tcPr>
          <w:p w14:paraId="6E3176AC"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3,188</w:t>
            </w:r>
          </w:p>
        </w:tc>
        <w:tc>
          <w:tcPr>
            <w:tcW w:w="691" w:type="pct"/>
          </w:tcPr>
          <w:p w14:paraId="7AA2A4D5"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3,169</w:t>
            </w:r>
          </w:p>
        </w:tc>
        <w:tc>
          <w:tcPr>
            <w:tcW w:w="691" w:type="pct"/>
          </w:tcPr>
          <w:p w14:paraId="4C9A856D"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3,359</w:t>
            </w:r>
          </w:p>
        </w:tc>
      </w:tr>
      <w:tr w:rsidR="002F7B48" w14:paraId="2ECE2B2E" w14:textId="77777777" w:rsidTr="000F3C80">
        <w:tc>
          <w:tcPr>
            <w:cnfStyle w:val="001000000000" w:firstRow="0" w:lastRow="0" w:firstColumn="1" w:lastColumn="0" w:oddVBand="0" w:evenVBand="0" w:oddHBand="0" w:evenHBand="0" w:firstRowFirstColumn="0" w:firstRowLastColumn="0" w:lastRowFirstColumn="0" w:lastRowLastColumn="0"/>
            <w:tcW w:w="851" w:type="pct"/>
          </w:tcPr>
          <w:p w14:paraId="3DF5DD34" w14:textId="77777777" w:rsidR="002F7B48" w:rsidRDefault="002F7B48" w:rsidP="000F3C80">
            <w:pPr>
              <w:pStyle w:val="MDPI42tablebody"/>
            </w:pPr>
            <w:r>
              <w:t>SAV</w:t>
            </w:r>
          </w:p>
        </w:tc>
        <w:tc>
          <w:tcPr>
            <w:tcW w:w="691" w:type="pct"/>
          </w:tcPr>
          <w:p w14:paraId="1C33FB38"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3,255</w:t>
            </w:r>
          </w:p>
        </w:tc>
        <w:tc>
          <w:tcPr>
            <w:tcW w:w="691" w:type="pct"/>
          </w:tcPr>
          <w:p w14:paraId="11395954"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3,361</w:t>
            </w:r>
          </w:p>
        </w:tc>
        <w:tc>
          <w:tcPr>
            <w:tcW w:w="691" w:type="pct"/>
          </w:tcPr>
          <w:p w14:paraId="6024B804"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3,125</w:t>
            </w:r>
          </w:p>
        </w:tc>
        <w:tc>
          <w:tcPr>
            <w:tcW w:w="691" w:type="pct"/>
          </w:tcPr>
          <w:p w14:paraId="7BB45CBF"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688</w:t>
            </w:r>
          </w:p>
        </w:tc>
        <w:tc>
          <w:tcPr>
            <w:tcW w:w="691" w:type="pct"/>
          </w:tcPr>
          <w:p w14:paraId="51570FC9"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1,380</w:t>
            </w:r>
          </w:p>
        </w:tc>
        <w:tc>
          <w:tcPr>
            <w:tcW w:w="691" w:type="pct"/>
          </w:tcPr>
          <w:p w14:paraId="14056A5D"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2,432</w:t>
            </w:r>
          </w:p>
        </w:tc>
      </w:tr>
      <w:tr w:rsidR="002F7B48" w14:paraId="69B77CF5"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pct"/>
          </w:tcPr>
          <w:p w14:paraId="365B62CC" w14:textId="77777777" w:rsidR="002F7B48" w:rsidRDefault="002F7B48" w:rsidP="000F3C80">
            <w:pPr>
              <w:pStyle w:val="MDPI42tablebody"/>
            </w:pPr>
            <w:r>
              <w:t>Open Water</w:t>
            </w:r>
          </w:p>
        </w:tc>
        <w:tc>
          <w:tcPr>
            <w:tcW w:w="691" w:type="pct"/>
          </w:tcPr>
          <w:p w14:paraId="6AE9F2D7"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24,067</w:t>
            </w:r>
          </w:p>
        </w:tc>
        <w:tc>
          <w:tcPr>
            <w:tcW w:w="691" w:type="pct"/>
          </w:tcPr>
          <w:p w14:paraId="2C160DEE"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22,842</w:t>
            </w:r>
          </w:p>
        </w:tc>
        <w:tc>
          <w:tcPr>
            <w:tcW w:w="691" w:type="pct"/>
          </w:tcPr>
          <w:p w14:paraId="6521259F"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23,592</w:t>
            </w:r>
          </w:p>
        </w:tc>
        <w:tc>
          <w:tcPr>
            <w:tcW w:w="691" w:type="pct"/>
          </w:tcPr>
          <w:p w14:paraId="43AD2D83"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27,824</w:t>
            </w:r>
          </w:p>
        </w:tc>
        <w:tc>
          <w:tcPr>
            <w:tcW w:w="691" w:type="pct"/>
          </w:tcPr>
          <w:p w14:paraId="65B7D1E1"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25,466</w:t>
            </w:r>
          </w:p>
        </w:tc>
        <w:tc>
          <w:tcPr>
            <w:tcW w:w="691" w:type="pct"/>
          </w:tcPr>
          <w:p w14:paraId="57FB9607"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22,661</w:t>
            </w:r>
          </w:p>
        </w:tc>
      </w:tr>
      <w:tr w:rsidR="002F7B48" w14:paraId="222C03BF" w14:textId="77777777" w:rsidTr="000F3C80">
        <w:tc>
          <w:tcPr>
            <w:cnfStyle w:val="001000000000" w:firstRow="0" w:lastRow="0" w:firstColumn="1" w:lastColumn="0" w:oddVBand="0" w:evenVBand="0" w:oddHBand="0" w:evenHBand="0" w:firstRowFirstColumn="0" w:firstRowLastColumn="0" w:lastRowFirstColumn="0" w:lastRowLastColumn="0"/>
            <w:tcW w:w="851" w:type="pct"/>
          </w:tcPr>
          <w:p w14:paraId="3F41AADB" w14:textId="77777777" w:rsidR="002F7B48" w:rsidRDefault="002F7B48" w:rsidP="000F3C80">
            <w:pPr>
              <w:pStyle w:val="MDPI42tablebody"/>
            </w:pPr>
            <w:r>
              <w:t>Bareground</w:t>
            </w:r>
          </w:p>
        </w:tc>
        <w:tc>
          <w:tcPr>
            <w:tcW w:w="691" w:type="pct"/>
          </w:tcPr>
          <w:p w14:paraId="554463F5"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262</w:t>
            </w:r>
          </w:p>
        </w:tc>
        <w:tc>
          <w:tcPr>
            <w:tcW w:w="691" w:type="pct"/>
          </w:tcPr>
          <w:p w14:paraId="3BBB8406"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211</w:t>
            </w:r>
          </w:p>
        </w:tc>
        <w:tc>
          <w:tcPr>
            <w:tcW w:w="691" w:type="pct"/>
          </w:tcPr>
          <w:p w14:paraId="23C4A1BD"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821</w:t>
            </w:r>
          </w:p>
        </w:tc>
        <w:tc>
          <w:tcPr>
            <w:tcW w:w="691" w:type="pct"/>
          </w:tcPr>
          <w:p w14:paraId="497D950B"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243</w:t>
            </w:r>
          </w:p>
        </w:tc>
        <w:tc>
          <w:tcPr>
            <w:tcW w:w="691" w:type="pct"/>
          </w:tcPr>
          <w:p w14:paraId="71CBA87A"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599</w:t>
            </w:r>
          </w:p>
        </w:tc>
        <w:tc>
          <w:tcPr>
            <w:tcW w:w="691" w:type="pct"/>
          </w:tcPr>
          <w:p w14:paraId="2D0B3639" w14:textId="77777777" w:rsidR="002F7B48" w:rsidRDefault="002F7B48" w:rsidP="000F3C80">
            <w:pPr>
              <w:pStyle w:val="MDPI42tablebody"/>
              <w:cnfStyle w:val="000000000000" w:firstRow="0" w:lastRow="0" w:firstColumn="0" w:lastColumn="0" w:oddVBand="0" w:evenVBand="0" w:oddHBand="0" w:evenHBand="0" w:firstRowFirstColumn="0" w:firstRowLastColumn="0" w:lastRowFirstColumn="0" w:lastRowLastColumn="0"/>
            </w:pPr>
            <w:r>
              <w:t>850</w:t>
            </w:r>
          </w:p>
        </w:tc>
      </w:tr>
      <w:tr w:rsidR="002F7B48" w14:paraId="6A58DB3C"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pct"/>
          </w:tcPr>
          <w:p w14:paraId="0D988477" w14:textId="77777777" w:rsidR="002F7B48" w:rsidRDefault="002F7B48" w:rsidP="000F3C80">
            <w:pPr>
              <w:pStyle w:val="MDPI42tablebody"/>
            </w:pPr>
            <w:r>
              <w:t>Total</w:t>
            </w:r>
          </w:p>
        </w:tc>
        <w:tc>
          <w:tcPr>
            <w:tcW w:w="691" w:type="pct"/>
          </w:tcPr>
          <w:p w14:paraId="2F1E870C"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43,460</w:t>
            </w:r>
          </w:p>
        </w:tc>
        <w:tc>
          <w:tcPr>
            <w:tcW w:w="691" w:type="pct"/>
          </w:tcPr>
          <w:p w14:paraId="412FAB94"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43,460</w:t>
            </w:r>
          </w:p>
        </w:tc>
        <w:tc>
          <w:tcPr>
            <w:tcW w:w="691" w:type="pct"/>
          </w:tcPr>
          <w:p w14:paraId="5CD62CE6"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43,460</w:t>
            </w:r>
          </w:p>
        </w:tc>
        <w:tc>
          <w:tcPr>
            <w:tcW w:w="691" w:type="pct"/>
          </w:tcPr>
          <w:p w14:paraId="1F854F1F"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43,460</w:t>
            </w:r>
          </w:p>
        </w:tc>
        <w:tc>
          <w:tcPr>
            <w:tcW w:w="691" w:type="pct"/>
          </w:tcPr>
          <w:p w14:paraId="58390A63"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43,460</w:t>
            </w:r>
          </w:p>
        </w:tc>
        <w:tc>
          <w:tcPr>
            <w:tcW w:w="691" w:type="pct"/>
          </w:tcPr>
          <w:p w14:paraId="1F5065AA" w14:textId="77777777" w:rsidR="002F7B48" w:rsidRDefault="002F7B48" w:rsidP="000F3C80">
            <w:pPr>
              <w:pStyle w:val="MDPI42tablebody"/>
              <w:cnfStyle w:val="000000100000" w:firstRow="0" w:lastRow="0" w:firstColumn="0" w:lastColumn="0" w:oddVBand="0" w:evenVBand="0" w:oddHBand="1" w:evenHBand="0" w:firstRowFirstColumn="0" w:firstRowLastColumn="0" w:lastRowFirstColumn="0" w:lastRowLastColumn="0"/>
            </w:pPr>
            <w:r>
              <w:t>43,460</w:t>
            </w:r>
          </w:p>
        </w:tc>
      </w:tr>
    </w:tbl>
    <w:p w14:paraId="5246FBDE" w14:textId="77777777" w:rsidR="00D353C5" w:rsidRDefault="00D353C5" w:rsidP="00982F8B">
      <w:pPr>
        <w:pStyle w:val="MDPItext"/>
        <w:rPr>
          <w:rStyle w:val="Strong"/>
          <w:b w:val="0"/>
        </w:rPr>
      </w:pPr>
    </w:p>
    <w:p w14:paraId="4F0FEABC" w14:textId="6B3B054B" w:rsidR="002F7B48" w:rsidRPr="0078580D" w:rsidRDefault="002F7B48" w:rsidP="000F3C80">
      <w:pPr>
        <w:pStyle w:val="MDPI22heading2"/>
        <w:rPr>
          <w:rStyle w:val="Strong"/>
          <w:b w:val="0"/>
          <w:bCs w:val="0"/>
        </w:rPr>
      </w:pPr>
      <w:r>
        <w:rPr>
          <w:rStyle w:val="Strong"/>
          <w:b w:val="0"/>
        </w:rPr>
        <w:t>Supplement 5. Net GHG fluxes</w:t>
      </w:r>
    </w:p>
    <w:p w14:paraId="30AD1ACB" w14:textId="77777777" w:rsidR="002F7B48" w:rsidRDefault="002F7B48" w:rsidP="000F3C80">
      <w:pPr>
        <w:pStyle w:val="MDPI41tablecaption"/>
      </w:pPr>
      <w:r w:rsidRPr="000F3C80">
        <w:rPr>
          <w:b/>
          <w:bCs/>
        </w:rPr>
        <w:t>Table S5-1.</w:t>
      </w:r>
      <w:r>
        <w:t xml:space="preserve"> Net GHG fluxes (with uncertainty) for scenario </w:t>
      </w:r>
      <w:r w:rsidRPr="00814822">
        <w:rPr>
          <w:i/>
        </w:rPr>
        <w:t>without SAV</w:t>
      </w:r>
      <w:r>
        <w:t xml:space="preserve"> habitat in target years</w:t>
      </w:r>
    </w:p>
    <w:tbl>
      <w:tblPr>
        <w:tblStyle w:val="PlainTable2"/>
        <w:tblW w:w="5000" w:type="pct"/>
        <w:tblLook w:val="04A0" w:firstRow="1" w:lastRow="0" w:firstColumn="1" w:lastColumn="0" w:noHBand="0" w:noVBand="1"/>
      </w:tblPr>
      <w:tblGrid>
        <w:gridCol w:w="2138"/>
        <w:gridCol w:w="1388"/>
        <w:gridCol w:w="1388"/>
        <w:gridCol w:w="1388"/>
        <w:gridCol w:w="1388"/>
        <w:gridCol w:w="1388"/>
        <w:gridCol w:w="1388"/>
      </w:tblGrid>
      <w:tr w:rsidR="002F7B48" w14:paraId="4524789A" w14:textId="77777777" w:rsidTr="000F3C80">
        <w:trPr>
          <w:cnfStyle w:val="100000000000" w:firstRow="1" w:lastRow="0" w:firstColumn="0" w:lastColumn="0" w:oddVBand="0" w:evenVBand="0" w:oddHBand="0"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1022" w:type="pct"/>
          </w:tcPr>
          <w:p w14:paraId="7BE9B82E" w14:textId="77777777" w:rsidR="002F7B48" w:rsidRDefault="002F7B48" w:rsidP="000F3C80">
            <w:pPr>
              <w:pStyle w:val="MDPI42tablebody"/>
              <w:rPr>
                <w:b w:val="0"/>
              </w:rPr>
            </w:pPr>
            <w:r>
              <w:t xml:space="preserve">Net GHG emissions </w:t>
            </w:r>
          </w:p>
          <w:p w14:paraId="504BC621" w14:textId="77777777" w:rsidR="002F7B48" w:rsidRDefault="002F7B48" w:rsidP="000F3C80">
            <w:pPr>
              <w:pStyle w:val="MDPI42tablebody"/>
            </w:pPr>
            <w:r>
              <w:t>(×10</w:t>
            </w:r>
            <w:r>
              <w:rPr>
                <w:vertAlign w:val="superscript"/>
              </w:rPr>
              <w:t>5</w:t>
            </w:r>
            <w:r>
              <w:t xml:space="preserve"> tonne CO</w:t>
            </w:r>
            <w:r w:rsidRPr="00E26476">
              <w:rPr>
                <w:vertAlign w:val="subscript"/>
              </w:rPr>
              <w:t>2</w:t>
            </w:r>
            <w:r>
              <w:t>e yr</w:t>
            </w:r>
            <w:r w:rsidRPr="00E94674">
              <w:rPr>
                <w:vertAlign w:val="superscript"/>
              </w:rPr>
              <w:t>-1</w:t>
            </w:r>
            <w:r>
              <w:t>)</w:t>
            </w:r>
          </w:p>
        </w:tc>
        <w:tc>
          <w:tcPr>
            <w:tcW w:w="663" w:type="pct"/>
          </w:tcPr>
          <w:p w14:paraId="05FCBEED"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2015</w:t>
            </w:r>
          </w:p>
        </w:tc>
        <w:tc>
          <w:tcPr>
            <w:tcW w:w="663" w:type="pct"/>
          </w:tcPr>
          <w:p w14:paraId="4C3542E5"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2016</w:t>
            </w:r>
          </w:p>
        </w:tc>
        <w:tc>
          <w:tcPr>
            <w:tcW w:w="663" w:type="pct"/>
          </w:tcPr>
          <w:p w14:paraId="325418E5"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2017</w:t>
            </w:r>
          </w:p>
        </w:tc>
        <w:tc>
          <w:tcPr>
            <w:tcW w:w="663" w:type="pct"/>
          </w:tcPr>
          <w:p w14:paraId="5F4BCA87"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2019</w:t>
            </w:r>
          </w:p>
        </w:tc>
        <w:tc>
          <w:tcPr>
            <w:tcW w:w="663" w:type="pct"/>
          </w:tcPr>
          <w:p w14:paraId="79A585DD"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2021</w:t>
            </w:r>
          </w:p>
        </w:tc>
        <w:tc>
          <w:tcPr>
            <w:tcW w:w="663" w:type="pct"/>
          </w:tcPr>
          <w:p w14:paraId="5E0D73E8"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2022</w:t>
            </w:r>
          </w:p>
        </w:tc>
      </w:tr>
      <w:tr w:rsidR="002F7B48" w14:paraId="4660E85B" w14:textId="77777777" w:rsidTr="000F3C80">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022" w:type="pct"/>
          </w:tcPr>
          <w:p w14:paraId="23338650" w14:textId="77777777" w:rsidR="002F7B48" w:rsidRDefault="002F7B48" w:rsidP="000F3C80">
            <w:pPr>
              <w:pStyle w:val="MDPI42tablebody"/>
            </w:pPr>
            <w:r>
              <w:t>Net</w:t>
            </w:r>
          </w:p>
        </w:tc>
        <w:tc>
          <w:tcPr>
            <w:tcW w:w="663" w:type="pct"/>
          </w:tcPr>
          <w:p w14:paraId="0AB460CA"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-0.76</w:t>
            </w:r>
            <w:r>
              <w:rPr>
                <w:sz w:val="18"/>
                <w:szCs w:val="18"/>
              </w:rPr>
              <w:t xml:space="preserve"> </w:t>
            </w:r>
            <w:r w:rsidRPr="000E21DC">
              <w:rPr>
                <w:sz w:val="18"/>
                <w:szCs w:val="18"/>
              </w:rPr>
              <w:t>± 0.33</w:t>
            </w:r>
          </w:p>
        </w:tc>
        <w:tc>
          <w:tcPr>
            <w:tcW w:w="663" w:type="pct"/>
          </w:tcPr>
          <w:p w14:paraId="44F1E1ED"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-0.35</w:t>
            </w:r>
            <w:r>
              <w:rPr>
                <w:sz w:val="18"/>
                <w:szCs w:val="18"/>
              </w:rPr>
              <w:t xml:space="preserve"> </w:t>
            </w:r>
            <w:r w:rsidRPr="000E21DC">
              <w:rPr>
                <w:sz w:val="18"/>
                <w:szCs w:val="18"/>
              </w:rPr>
              <w:t>± 0.15</w:t>
            </w:r>
          </w:p>
        </w:tc>
        <w:tc>
          <w:tcPr>
            <w:tcW w:w="663" w:type="pct"/>
          </w:tcPr>
          <w:p w14:paraId="0E7511F3"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-0.56</w:t>
            </w:r>
            <w:r>
              <w:rPr>
                <w:sz w:val="18"/>
                <w:szCs w:val="18"/>
              </w:rPr>
              <w:t xml:space="preserve"> </w:t>
            </w:r>
            <w:r w:rsidRPr="000E21DC">
              <w:rPr>
                <w:sz w:val="18"/>
                <w:szCs w:val="18"/>
              </w:rPr>
              <w:t>± 0.25</w:t>
            </w:r>
          </w:p>
        </w:tc>
        <w:tc>
          <w:tcPr>
            <w:tcW w:w="663" w:type="pct"/>
          </w:tcPr>
          <w:p w14:paraId="3C3E4A61"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-0.86</w:t>
            </w:r>
            <w:r>
              <w:rPr>
                <w:sz w:val="18"/>
                <w:szCs w:val="18"/>
              </w:rPr>
              <w:t xml:space="preserve"> </w:t>
            </w:r>
            <w:r w:rsidRPr="000E21DC">
              <w:rPr>
                <w:sz w:val="18"/>
                <w:szCs w:val="18"/>
              </w:rPr>
              <w:t>± 0.37</w:t>
            </w:r>
          </w:p>
        </w:tc>
        <w:tc>
          <w:tcPr>
            <w:tcW w:w="663" w:type="pct"/>
          </w:tcPr>
          <w:p w14:paraId="3CB8406F"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-0.39 ± 0.17</w:t>
            </w:r>
          </w:p>
        </w:tc>
        <w:tc>
          <w:tcPr>
            <w:tcW w:w="663" w:type="pct"/>
          </w:tcPr>
          <w:p w14:paraId="038CA9F6"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-0.13</w:t>
            </w:r>
            <w:r>
              <w:rPr>
                <w:sz w:val="18"/>
                <w:szCs w:val="18"/>
              </w:rPr>
              <w:t xml:space="preserve"> </w:t>
            </w:r>
            <w:r w:rsidRPr="000E21DC">
              <w:rPr>
                <w:sz w:val="18"/>
                <w:szCs w:val="18"/>
              </w:rPr>
              <w:t>± 0.06</w:t>
            </w:r>
          </w:p>
        </w:tc>
      </w:tr>
      <w:tr w:rsidR="002F7B48" w14:paraId="7F3A0DA8" w14:textId="77777777" w:rsidTr="000F3C80">
        <w:tc>
          <w:tcPr>
            <w:cnfStyle w:val="001000000000" w:firstRow="0" w:lastRow="0" w:firstColumn="1" w:lastColumn="0" w:oddVBand="0" w:evenVBand="0" w:oddHBand="0" w:evenHBand="0" w:firstRowFirstColumn="0" w:firstRowLastColumn="0" w:lastRowFirstColumn="0" w:lastRowLastColumn="0"/>
            <w:tcW w:w="1022" w:type="pct"/>
          </w:tcPr>
          <w:p w14:paraId="0EBEC86C" w14:textId="77777777" w:rsidR="002F7B48" w:rsidRDefault="002F7B48" w:rsidP="000F3C80">
            <w:pPr>
              <w:pStyle w:val="MDPI42tablebody"/>
            </w:pPr>
            <w:r w:rsidRPr="00FD0F6B">
              <w:t>Fresh Forested Wetland</w:t>
            </w:r>
          </w:p>
        </w:tc>
        <w:tc>
          <w:tcPr>
            <w:tcW w:w="663" w:type="pct"/>
          </w:tcPr>
          <w:p w14:paraId="481B9726"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0.03 ± 0.01</w:t>
            </w:r>
          </w:p>
        </w:tc>
        <w:tc>
          <w:tcPr>
            <w:tcW w:w="663" w:type="pct"/>
          </w:tcPr>
          <w:p w14:paraId="65826452"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0.03 ± 0.01</w:t>
            </w:r>
          </w:p>
        </w:tc>
        <w:tc>
          <w:tcPr>
            <w:tcW w:w="663" w:type="pct"/>
          </w:tcPr>
          <w:p w14:paraId="564F7D9F"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0.03 ± 0.01</w:t>
            </w:r>
          </w:p>
        </w:tc>
        <w:tc>
          <w:tcPr>
            <w:tcW w:w="663" w:type="pct"/>
          </w:tcPr>
          <w:p w14:paraId="429322D0"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0.03 ± 0.01</w:t>
            </w:r>
          </w:p>
        </w:tc>
        <w:tc>
          <w:tcPr>
            <w:tcW w:w="663" w:type="pct"/>
          </w:tcPr>
          <w:p w14:paraId="21AB6E8A"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0.02 ± 0.01</w:t>
            </w:r>
          </w:p>
        </w:tc>
        <w:tc>
          <w:tcPr>
            <w:tcW w:w="663" w:type="pct"/>
          </w:tcPr>
          <w:p w14:paraId="48BC69F7"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0.02 ± 0.01</w:t>
            </w:r>
          </w:p>
        </w:tc>
      </w:tr>
      <w:tr w:rsidR="002F7B48" w14:paraId="09292BFA"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2" w:type="pct"/>
          </w:tcPr>
          <w:p w14:paraId="712AD991" w14:textId="77777777" w:rsidR="002F7B48" w:rsidRDefault="002F7B48" w:rsidP="000F3C80">
            <w:pPr>
              <w:pStyle w:val="MDPI42tablebody"/>
            </w:pPr>
            <w:r w:rsidRPr="00FD0F6B">
              <w:t>Fresh Marsh</w:t>
            </w:r>
          </w:p>
        </w:tc>
        <w:tc>
          <w:tcPr>
            <w:tcW w:w="663" w:type="pct"/>
          </w:tcPr>
          <w:p w14:paraId="13E9937A"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0.84</w:t>
            </w:r>
            <w:r>
              <w:rPr>
                <w:sz w:val="18"/>
                <w:szCs w:val="18"/>
              </w:rPr>
              <w:t xml:space="preserve"> </w:t>
            </w:r>
            <w:r w:rsidRPr="000E21DC">
              <w:rPr>
                <w:sz w:val="18"/>
                <w:szCs w:val="18"/>
              </w:rPr>
              <w:t>± 0.37</w:t>
            </w:r>
          </w:p>
        </w:tc>
        <w:tc>
          <w:tcPr>
            <w:tcW w:w="663" w:type="pct"/>
          </w:tcPr>
          <w:p w14:paraId="02CB7648"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0.81</w:t>
            </w:r>
            <w:r>
              <w:rPr>
                <w:sz w:val="18"/>
                <w:szCs w:val="18"/>
              </w:rPr>
              <w:t xml:space="preserve"> </w:t>
            </w:r>
            <w:r w:rsidRPr="000E21DC">
              <w:rPr>
                <w:sz w:val="18"/>
                <w:szCs w:val="18"/>
              </w:rPr>
              <w:t>± 0.35</w:t>
            </w:r>
          </w:p>
        </w:tc>
        <w:tc>
          <w:tcPr>
            <w:tcW w:w="663" w:type="pct"/>
          </w:tcPr>
          <w:p w14:paraId="52855C28"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0.53</w:t>
            </w:r>
            <w:r>
              <w:rPr>
                <w:sz w:val="18"/>
                <w:szCs w:val="18"/>
              </w:rPr>
              <w:t xml:space="preserve"> </w:t>
            </w:r>
            <w:r w:rsidRPr="000E21DC">
              <w:rPr>
                <w:sz w:val="18"/>
                <w:szCs w:val="18"/>
              </w:rPr>
              <w:t>± 0.23</w:t>
            </w:r>
          </w:p>
        </w:tc>
        <w:tc>
          <w:tcPr>
            <w:tcW w:w="663" w:type="pct"/>
          </w:tcPr>
          <w:p w14:paraId="612D469E"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0.52</w:t>
            </w:r>
            <w:r>
              <w:rPr>
                <w:sz w:val="18"/>
                <w:szCs w:val="18"/>
              </w:rPr>
              <w:t xml:space="preserve"> </w:t>
            </w:r>
            <w:r w:rsidRPr="000E21DC">
              <w:rPr>
                <w:sz w:val="18"/>
                <w:szCs w:val="18"/>
              </w:rPr>
              <w:t>± 0.23</w:t>
            </w:r>
          </w:p>
        </w:tc>
        <w:tc>
          <w:tcPr>
            <w:tcW w:w="663" w:type="pct"/>
          </w:tcPr>
          <w:p w14:paraId="20FB154F"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0.56</w:t>
            </w:r>
            <w:r>
              <w:rPr>
                <w:sz w:val="18"/>
                <w:szCs w:val="18"/>
              </w:rPr>
              <w:t xml:space="preserve"> </w:t>
            </w:r>
            <w:r w:rsidRPr="000E21DC">
              <w:rPr>
                <w:sz w:val="18"/>
                <w:szCs w:val="18"/>
              </w:rPr>
              <w:t>± 0.25</w:t>
            </w:r>
          </w:p>
        </w:tc>
        <w:tc>
          <w:tcPr>
            <w:tcW w:w="663" w:type="pct"/>
          </w:tcPr>
          <w:p w14:paraId="5B6D3F7B"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0.87</w:t>
            </w:r>
            <w:r>
              <w:rPr>
                <w:sz w:val="18"/>
                <w:szCs w:val="18"/>
              </w:rPr>
              <w:t xml:space="preserve"> </w:t>
            </w:r>
            <w:r w:rsidRPr="000E21DC">
              <w:rPr>
                <w:sz w:val="18"/>
                <w:szCs w:val="18"/>
              </w:rPr>
              <w:t>± 0.38</w:t>
            </w:r>
          </w:p>
        </w:tc>
      </w:tr>
      <w:tr w:rsidR="002F7B48" w14:paraId="5B6B967C" w14:textId="77777777" w:rsidTr="000F3C80">
        <w:tc>
          <w:tcPr>
            <w:cnfStyle w:val="001000000000" w:firstRow="0" w:lastRow="0" w:firstColumn="1" w:lastColumn="0" w:oddVBand="0" w:evenVBand="0" w:oddHBand="0" w:evenHBand="0" w:firstRowFirstColumn="0" w:firstRowLastColumn="0" w:lastRowFirstColumn="0" w:lastRowLastColumn="0"/>
            <w:tcW w:w="1022" w:type="pct"/>
          </w:tcPr>
          <w:p w14:paraId="0B88C494" w14:textId="77777777" w:rsidR="002F7B48" w:rsidRDefault="002F7B48" w:rsidP="000F3C80">
            <w:pPr>
              <w:pStyle w:val="MDPI42tablebody"/>
            </w:pPr>
            <w:r w:rsidRPr="00FD0F6B">
              <w:t>Intermediate Marsh</w:t>
            </w:r>
          </w:p>
        </w:tc>
        <w:tc>
          <w:tcPr>
            <w:tcW w:w="663" w:type="pct"/>
          </w:tcPr>
          <w:p w14:paraId="18EA226E"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0.60</w:t>
            </w:r>
            <w:r>
              <w:rPr>
                <w:sz w:val="18"/>
                <w:szCs w:val="18"/>
              </w:rPr>
              <w:t xml:space="preserve"> </w:t>
            </w:r>
            <w:r w:rsidRPr="000E21DC">
              <w:rPr>
                <w:sz w:val="18"/>
                <w:szCs w:val="18"/>
              </w:rPr>
              <w:t>± 0.26</w:t>
            </w:r>
          </w:p>
        </w:tc>
        <w:tc>
          <w:tcPr>
            <w:tcW w:w="663" w:type="pct"/>
          </w:tcPr>
          <w:p w14:paraId="6937A66F"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0.76</w:t>
            </w:r>
            <w:r>
              <w:rPr>
                <w:sz w:val="18"/>
                <w:szCs w:val="18"/>
              </w:rPr>
              <w:t xml:space="preserve"> </w:t>
            </w:r>
            <w:r w:rsidRPr="000E21DC">
              <w:rPr>
                <w:sz w:val="18"/>
                <w:szCs w:val="18"/>
              </w:rPr>
              <w:t>± 0.33</w:t>
            </w:r>
          </w:p>
        </w:tc>
        <w:tc>
          <w:tcPr>
            <w:tcW w:w="663" w:type="pct"/>
          </w:tcPr>
          <w:p w14:paraId="16F8CD50"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0.85</w:t>
            </w:r>
            <w:r>
              <w:rPr>
                <w:sz w:val="18"/>
                <w:szCs w:val="18"/>
              </w:rPr>
              <w:t xml:space="preserve"> </w:t>
            </w:r>
            <w:r w:rsidRPr="000E21DC">
              <w:rPr>
                <w:sz w:val="18"/>
                <w:szCs w:val="18"/>
              </w:rPr>
              <w:t>± 0.37</w:t>
            </w:r>
          </w:p>
        </w:tc>
        <w:tc>
          <w:tcPr>
            <w:tcW w:w="663" w:type="pct"/>
          </w:tcPr>
          <w:p w14:paraId="61E9397F"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0.63</w:t>
            </w:r>
            <w:r>
              <w:rPr>
                <w:sz w:val="18"/>
                <w:szCs w:val="18"/>
              </w:rPr>
              <w:t xml:space="preserve"> </w:t>
            </w:r>
            <w:r w:rsidRPr="000E21DC">
              <w:rPr>
                <w:sz w:val="18"/>
                <w:szCs w:val="18"/>
              </w:rPr>
              <w:t>± 0.27</w:t>
            </w:r>
          </w:p>
        </w:tc>
        <w:tc>
          <w:tcPr>
            <w:tcW w:w="663" w:type="pct"/>
          </w:tcPr>
          <w:p w14:paraId="4B4FA942"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0.90</w:t>
            </w:r>
            <w:r>
              <w:rPr>
                <w:sz w:val="18"/>
                <w:szCs w:val="18"/>
              </w:rPr>
              <w:t xml:space="preserve"> </w:t>
            </w:r>
            <w:r w:rsidRPr="000E21DC">
              <w:rPr>
                <w:sz w:val="18"/>
                <w:szCs w:val="18"/>
              </w:rPr>
              <w:t>± 0.39</w:t>
            </w:r>
          </w:p>
        </w:tc>
        <w:tc>
          <w:tcPr>
            <w:tcW w:w="663" w:type="pct"/>
          </w:tcPr>
          <w:p w14:paraId="4A1D26F0"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0.68</w:t>
            </w:r>
            <w:r>
              <w:rPr>
                <w:sz w:val="18"/>
                <w:szCs w:val="18"/>
              </w:rPr>
              <w:t xml:space="preserve"> </w:t>
            </w:r>
            <w:r w:rsidRPr="000E21DC">
              <w:rPr>
                <w:sz w:val="18"/>
                <w:szCs w:val="18"/>
              </w:rPr>
              <w:t>± 0.30</w:t>
            </w:r>
          </w:p>
        </w:tc>
      </w:tr>
      <w:tr w:rsidR="002F7B48" w14:paraId="03F85B07"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2" w:type="pct"/>
          </w:tcPr>
          <w:p w14:paraId="4978EFF5" w14:textId="77777777" w:rsidR="002F7B48" w:rsidRDefault="002F7B48" w:rsidP="000F3C80">
            <w:pPr>
              <w:pStyle w:val="MDPI42tablebody"/>
            </w:pPr>
            <w:r w:rsidRPr="00FD0F6B">
              <w:t>Brackish Marsh</w:t>
            </w:r>
          </w:p>
        </w:tc>
        <w:tc>
          <w:tcPr>
            <w:tcW w:w="663" w:type="pct"/>
          </w:tcPr>
          <w:p w14:paraId="3F9A6CD6"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224E17A0"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28ED0C59"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28FF8727"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6DF0AE52"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455C60BF"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r>
      <w:tr w:rsidR="002F7B48" w14:paraId="0AD45990" w14:textId="77777777" w:rsidTr="000F3C80">
        <w:tc>
          <w:tcPr>
            <w:cnfStyle w:val="001000000000" w:firstRow="0" w:lastRow="0" w:firstColumn="1" w:lastColumn="0" w:oddVBand="0" w:evenVBand="0" w:oddHBand="0" w:evenHBand="0" w:firstRowFirstColumn="0" w:firstRowLastColumn="0" w:lastRowFirstColumn="0" w:lastRowLastColumn="0"/>
            <w:tcW w:w="1022" w:type="pct"/>
          </w:tcPr>
          <w:p w14:paraId="69C8D4A3" w14:textId="77777777" w:rsidR="002F7B48" w:rsidRPr="00FD0F6B" w:rsidRDefault="002F7B48" w:rsidP="000F3C80">
            <w:pPr>
              <w:pStyle w:val="MDPI42tablebody"/>
            </w:pPr>
            <w:r w:rsidRPr="00FD0F6B">
              <w:t>Floating Aquatic Vegetation</w:t>
            </w:r>
            <w:r>
              <w:t xml:space="preserve"> (FAV)</w:t>
            </w:r>
          </w:p>
        </w:tc>
        <w:tc>
          <w:tcPr>
            <w:tcW w:w="663" w:type="pct"/>
          </w:tcPr>
          <w:p w14:paraId="58925ACA"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0.19</w:t>
            </w:r>
            <w:r>
              <w:rPr>
                <w:sz w:val="18"/>
                <w:szCs w:val="18"/>
              </w:rPr>
              <w:t xml:space="preserve"> </w:t>
            </w:r>
            <w:r w:rsidRPr="000E21DC">
              <w:rPr>
                <w:sz w:val="18"/>
                <w:szCs w:val="18"/>
              </w:rPr>
              <w:t>± 0.08</w:t>
            </w:r>
          </w:p>
        </w:tc>
        <w:tc>
          <w:tcPr>
            <w:tcW w:w="663" w:type="pct"/>
          </w:tcPr>
          <w:p w14:paraId="01B1CE9A"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0.37</w:t>
            </w:r>
            <w:r>
              <w:rPr>
                <w:sz w:val="18"/>
                <w:szCs w:val="18"/>
              </w:rPr>
              <w:t xml:space="preserve"> </w:t>
            </w:r>
            <w:r w:rsidRPr="000E21DC">
              <w:rPr>
                <w:sz w:val="18"/>
                <w:szCs w:val="18"/>
              </w:rPr>
              <w:t>± 0.02</w:t>
            </w:r>
          </w:p>
        </w:tc>
        <w:tc>
          <w:tcPr>
            <w:tcW w:w="663" w:type="pct"/>
          </w:tcPr>
          <w:p w14:paraId="1D4FADE8"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0.39</w:t>
            </w:r>
            <w:r>
              <w:rPr>
                <w:sz w:val="18"/>
                <w:szCs w:val="18"/>
              </w:rPr>
              <w:t xml:space="preserve"> </w:t>
            </w:r>
            <w:r w:rsidRPr="000E21DC">
              <w:rPr>
                <w:sz w:val="18"/>
                <w:szCs w:val="18"/>
              </w:rPr>
              <w:t>± 0.17</w:t>
            </w:r>
          </w:p>
        </w:tc>
        <w:tc>
          <w:tcPr>
            <w:tcW w:w="663" w:type="pct"/>
          </w:tcPr>
          <w:p w14:paraId="14CF6D76"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0.48</w:t>
            </w:r>
            <w:r>
              <w:rPr>
                <w:sz w:val="18"/>
                <w:szCs w:val="18"/>
              </w:rPr>
              <w:t xml:space="preserve"> </w:t>
            </w:r>
            <w:r w:rsidRPr="000E21DC">
              <w:rPr>
                <w:sz w:val="18"/>
                <w:szCs w:val="18"/>
              </w:rPr>
              <w:t>± 0.21</w:t>
            </w:r>
          </w:p>
        </w:tc>
        <w:tc>
          <w:tcPr>
            <w:tcW w:w="663" w:type="pct"/>
          </w:tcPr>
          <w:p w14:paraId="74A6F99E"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0.48</w:t>
            </w:r>
            <w:r>
              <w:rPr>
                <w:sz w:val="18"/>
                <w:szCs w:val="18"/>
              </w:rPr>
              <w:t xml:space="preserve"> </w:t>
            </w:r>
            <w:r w:rsidRPr="000E21DC">
              <w:rPr>
                <w:sz w:val="18"/>
                <w:szCs w:val="18"/>
              </w:rPr>
              <w:t>± 0.21</w:t>
            </w:r>
          </w:p>
        </w:tc>
        <w:tc>
          <w:tcPr>
            <w:tcW w:w="663" w:type="pct"/>
          </w:tcPr>
          <w:p w14:paraId="44C3139D"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0.50</w:t>
            </w:r>
            <w:r>
              <w:rPr>
                <w:sz w:val="18"/>
                <w:szCs w:val="18"/>
              </w:rPr>
              <w:t xml:space="preserve"> </w:t>
            </w:r>
            <w:r w:rsidRPr="000E21DC">
              <w:rPr>
                <w:sz w:val="18"/>
                <w:szCs w:val="18"/>
              </w:rPr>
              <w:t>± 0.22</w:t>
            </w:r>
          </w:p>
        </w:tc>
      </w:tr>
      <w:tr w:rsidR="002F7B48" w14:paraId="6CB4D096"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2" w:type="pct"/>
          </w:tcPr>
          <w:p w14:paraId="0F7C8F87" w14:textId="77777777" w:rsidR="002F7B48" w:rsidRDefault="002F7B48" w:rsidP="000F3C80">
            <w:pPr>
              <w:pStyle w:val="MDPI42tablebody"/>
            </w:pPr>
            <w:r w:rsidRPr="00FD0F6B">
              <w:t>SAV</w:t>
            </w:r>
          </w:p>
        </w:tc>
        <w:tc>
          <w:tcPr>
            <w:tcW w:w="663" w:type="pct"/>
          </w:tcPr>
          <w:p w14:paraId="389AF9F2"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2C7392D4"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68D4A7A7"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4130AD4D"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03753194"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41FB9CA2"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r>
      <w:tr w:rsidR="002F7B48" w14:paraId="226C5F73" w14:textId="77777777" w:rsidTr="000F3C80">
        <w:tc>
          <w:tcPr>
            <w:cnfStyle w:val="001000000000" w:firstRow="0" w:lastRow="0" w:firstColumn="1" w:lastColumn="0" w:oddVBand="0" w:evenVBand="0" w:oddHBand="0" w:evenHBand="0" w:firstRowFirstColumn="0" w:firstRowLastColumn="0" w:lastRowFirstColumn="0" w:lastRowLastColumn="0"/>
            <w:tcW w:w="1022" w:type="pct"/>
          </w:tcPr>
          <w:p w14:paraId="6FB2ED3F" w14:textId="77777777" w:rsidR="002F7B48" w:rsidRPr="00FD0F6B" w:rsidRDefault="002F7B48" w:rsidP="000F3C80">
            <w:pPr>
              <w:pStyle w:val="MDPI42tablebody"/>
            </w:pPr>
            <w:r w:rsidRPr="00FD0F6B">
              <w:t>Open Water</w:t>
            </w:r>
          </w:p>
        </w:tc>
        <w:tc>
          <w:tcPr>
            <w:tcW w:w="663" w:type="pct"/>
          </w:tcPr>
          <w:p w14:paraId="3E447350"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-2.36 ± 1.03</w:t>
            </w:r>
          </w:p>
        </w:tc>
        <w:tc>
          <w:tcPr>
            <w:tcW w:w="663" w:type="pct"/>
          </w:tcPr>
          <w:p w14:paraId="63088D6A"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-2.26</w:t>
            </w:r>
            <w:r>
              <w:rPr>
                <w:sz w:val="18"/>
                <w:szCs w:val="18"/>
              </w:rPr>
              <w:t xml:space="preserve"> </w:t>
            </w:r>
            <w:r w:rsidRPr="000E21DC">
              <w:rPr>
                <w:sz w:val="18"/>
                <w:szCs w:val="18"/>
              </w:rPr>
              <w:t>± 0.99</w:t>
            </w:r>
          </w:p>
        </w:tc>
        <w:tc>
          <w:tcPr>
            <w:tcW w:w="663" w:type="pct"/>
          </w:tcPr>
          <w:p w14:paraId="5A26150A"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-2.30 ± 1.01</w:t>
            </w:r>
          </w:p>
        </w:tc>
        <w:tc>
          <w:tcPr>
            <w:tcW w:w="663" w:type="pct"/>
          </w:tcPr>
          <w:p w14:paraId="0202124E"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-2.46</w:t>
            </w:r>
            <w:r>
              <w:rPr>
                <w:sz w:val="18"/>
                <w:szCs w:val="18"/>
              </w:rPr>
              <w:t xml:space="preserve"> </w:t>
            </w:r>
            <w:r w:rsidRPr="000E21DC">
              <w:rPr>
                <w:sz w:val="18"/>
                <w:szCs w:val="18"/>
              </w:rPr>
              <w:t>± 1.07</w:t>
            </w:r>
          </w:p>
        </w:tc>
        <w:tc>
          <w:tcPr>
            <w:tcW w:w="663" w:type="pct"/>
          </w:tcPr>
          <w:p w14:paraId="2484DC81"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-2.31</w:t>
            </w:r>
            <w:r>
              <w:rPr>
                <w:sz w:val="18"/>
                <w:szCs w:val="18"/>
              </w:rPr>
              <w:t xml:space="preserve"> </w:t>
            </w:r>
            <w:r w:rsidRPr="000E21DC">
              <w:rPr>
                <w:sz w:val="18"/>
                <w:szCs w:val="18"/>
              </w:rPr>
              <w:t>± 1.01</w:t>
            </w:r>
          </w:p>
        </w:tc>
        <w:tc>
          <w:tcPr>
            <w:tcW w:w="663" w:type="pct"/>
          </w:tcPr>
          <w:p w14:paraId="180C141D"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-2.16</w:t>
            </w:r>
            <w:r>
              <w:rPr>
                <w:sz w:val="18"/>
                <w:szCs w:val="18"/>
              </w:rPr>
              <w:t xml:space="preserve"> </w:t>
            </w:r>
            <w:r w:rsidRPr="000E21DC">
              <w:rPr>
                <w:sz w:val="18"/>
                <w:szCs w:val="18"/>
              </w:rPr>
              <w:t>± 0.09</w:t>
            </w:r>
          </w:p>
        </w:tc>
      </w:tr>
      <w:tr w:rsidR="002F7B48" w14:paraId="407788AA"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2" w:type="pct"/>
          </w:tcPr>
          <w:p w14:paraId="32967A1F" w14:textId="77777777" w:rsidR="002F7B48" w:rsidRDefault="002F7B48" w:rsidP="000F3C80">
            <w:pPr>
              <w:pStyle w:val="MDPI42tablebody"/>
            </w:pPr>
            <w:r w:rsidRPr="00FD0F6B">
              <w:t>Bareground</w:t>
            </w:r>
          </w:p>
        </w:tc>
        <w:tc>
          <w:tcPr>
            <w:tcW w:w="663" w:type="pct"/>
          </w:tcPr>
          <w:p w14:paraId="51D7CBB5"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5EAEAD6D"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6E402428"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2DB81283"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09AAE85C"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c>
          <w:tcPr>
            <w:tcW w:w="663" w:type="pct"/>
          </w:tcPr>
          <w:p w14:paraId="7CA0D0CF"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 ± 0.00</w:t>
            </w:r>
          </w:p>
        </w:tc>
      </w:tr>
    </w:tbl>
    <w:p w14:paraId="7D1F7433" w14:textId="77777777" w:rsidR="002F7B48" w:rsidRDefault="002F7B48" w:rsidP="000F3C80">
      <w:pPr>
        <w:pStyle w:val="MDPI41tablecaption"/>
      </w:pPr>
      <w:r w:rsidRPr="000F3C80">
        <w:rPr>
          <w:b/>
          <w:bCs/>
        </w:rPr>
        <w:t>Table S5-2.</w:t>
      </w:r>
      <w:r>
        <w:t xml:space="preserve"> Net GHG fluxes (with uncertainty) for scenario </w:t>
      </w:r>
      <w:r w:rsidRPr="00814822">
        <w:rPr>
          <w:i/>
        </w:rPr>
        <w:t>with SAV</w:t>
      </w:r>
      <w:r>
        <w:t xml:space="preserve"> habitat in target years</w:t>
      </w:r>
    </w:p>
    <w:tbl>
      <w:tblPr>
        <w:tblStyle w:val="PlainTable2"/>
        <w:tblW w:w="5000" w:type="pct"/>
        <w:tblLook w:val="04A0" w:firstRow="1" w:lastRow="0" w:firstColumn="1" w:lastColumn="0" w:noHBand="0" w:noVBand="1"/>
      </w:tblPr>
      <w:tblGrid>
        <w:gridCol w:w="2906"/>
        <w:gridCol w:w="1260"/>
        <w:gridCol w:w="1260"/>
        <w:gridCol w:w="1260"/>
        <w:gridCol w:w="1260"/>
        <w:gridCol w:w="1260"/>
        <w:gridCol w:w="1260"/>
      </w:tblGrid>
      <w:tr w:rsidR="002F7B48" w14:paraId="6A47E5F8" w14:textId="77777777" w:rsidTr="000F3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Pr>
          <w:p w14:paraId="3AB9C608" w14:textId="77777777" w:rsidR="002F7B48" w:rsidRDefault="002F7B48" w:rsidP="000F3C80">
            <w:pPr>
              <w:pStyle w:val="MDPI42tablebody"/>
              <w:rPr>
                <w:b w:val="0"/>
              </w:rPr>
            </w:pPr>
            <w:r>
              <w:t xml:space="preserve">Net GHG emissions </w:t>
            </w:r>
          </w:p>
          <w:p w14:paraId="03EF0457" w14:textId="77777777" w:rsidR="002F7B48" w:rsidRDefault="002F7B48" w:rsidP="000F3C80">
            <w:pPr>
              <w:pStyle w:val="MDPI42tablebody"/>
            </w:pPr>
            <w:r>
              <w:t>(×10</w:t>
            </w:r>
            <w:r>
              <w:rPr>
                <w:vertAlign w:val="superscript"/>
              </w:rPr>
              <w:t>5</w:t>
            </w:r>
            <w:r>
              <w:t xml:space="preserve"> tonne CO</w:t>
            </w:r>
            <w:r w:rsidRPr="005705A0">
              <w:rPr>
                <w:vertAlign w:val="subscript"/>
              </w:rPr>
              <w:t>2</w:t>
            </w:r>
            <w:r>
              <w:t>e yr</w:t>
            </w:r>
            <w:r w:rsidRPr="00E94674">
              <w:rPr>
                <w:vertAlign w:val="superscript"/>
              </w:rPr>
              <w:t>-1</w:t>
            </w:r>
            <w:r>
              <w:t>)</w:t>
            </w:r>
          </w:p>
        </w:tc>
        <w:tc>
          <w:tcPr>
            <w:tcW w:w="602" w:type="pct"/>
          </w:tcPr>
          <w:p w14:paraId="03863282"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2015</w:t>
            </w:r>
          </w:p>
        </w:tc>
        <w:tc>
          <w:tcPr>
            <w:tcW w:w="602" w:type="pct"/>
          </w:tcPr>
          <w:p w14:paraId="4E4C61D8"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2016</w:t>
            </w:r>
          </w:p>
        </w:tc>
        <w:tc>
          <w:tcPr>
            <w:tcW w:w="602" w:type="pct"/>
          </w:tcPr>
          <w:p w14:paraId="63527348"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2017</w:t>
            </w:r>
          </w:p>
        </w:tc>
        <w:tc>
          <w:tcPr>
            <w:tcW w:w="602" w:type="pct"/>
          </w:tcPr>
          <w:p w14:paraId="6D1D8CDC"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2019</w:t>
            </w:r>
          </w:p>
        </w:tc>
        <w:tc>
          <w:tcPr>
            <w:tcW w:w="602" w:type="pct"/>
          </w:tcPr>
          <w:p w14:paraId="21B1CFDB"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2021</w:t>
            </w:r>
          </w:p>
        </w:tc>
        <w:tc>
          <w:tcPr>
            <w:tcW w:w="602" w:type="pct"/>
          </w:tcPr>
          <w:p w14:paraId="3D7FC8D2" w14:textId="77777777" w:rsidR="002F7B48" w:rsidRDefault="002F7B48" w:rsidP="000F3C80">
            <w:pPr>
              <w:pStyle w:val="MDPI42tablebody"/>
              <w:cnfStyle w:val="100000000000" w:firstRow="1" w:lastRow="0" w:firstColumn="0" w:lastColumn="0" w:oddVBand="0" w:evenVBand="0" w:oddHBand="0" w:evenHBand="0" w:firstRowFirstColumn="0" w:firstRowLastColumn="0" w:lastRowFirstColumn="0" w:lastRowLastColumn="0"/>
            </w:pPr>
            <w:r>
              <w:t>2022</w:t>
            </w:r>
          </w:p>
        </w:tc>
      </w:tr>
      <w:tr w:rsidR="002F7B48" w14:paraId="5B3673A3"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Pr>
          <w:p w14:paraId="634E5872" w14:textId="77777777" w:rsidR="002F7B48" w:rsidRDefault="002F7B48" w:rsidP="000F3C80">
            <w:pPr>
              <w:pStyle w:val="MDPI42tablebody"/>
            </w:pPr>
            <w:r>
              <w:t>Net</w:t>
            </w:r>
          </w:p>
        </w:tc>
        <w:tc>
          <w:tcPr>
            <w:tcW w:w="602" w:type="pct"/>
          </w:tcPr>
          <w:p w14:paraId="4FA40932"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90 </w:t>
            </w:r>
            <w:r w:rsidRPr="00034529">
              <w:rPr>
                <w:sz w:val="18"/>
                <w:szCs w:val="18"/>
              </w:rPr>
              <w:t>±</w:t>
            </w:r>
            <w:r>
              <w:rPr>
                <w:sz w:val="18"/>
                <w:szCs w:val="18"/>
              </w:rPr>
              <w:t xml:space="preserve"> 0.39</w:t>
            </w:r>
          </w:p>
        </w:tc>
        <w:tc>
          <w:tcPr>
            <w:tcW w:w="602" w:type="pct"/>
          </w:tcPr>
          <w:p w14:paraId="63019FB3"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49 </w:t>
            </w:r>
            <w:r w:rsidRPr="00034529">
              <w:rPr>
                <w:sz w:val="18"/>
                <w:szCs w:val="18"/>
              </w:rPr>
              <w:t>±</w:t>
            </w:r>
            <w:r>
              <w:rPr>
                <w:sz w:val="18"/>
                <w:szCs w:val="18"/>
              </w:rPr>
              <w:t xml:space="preserve"> 0.21</w:t>
            </w:r>
          </w:p>
        </w:tc>
        <w:tc>
          <w:tcPr>
            <w:tcW w:w="602" w:type="pct"/>
          </w:tcPr>
          <w:p w14:paraId="50587C61"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70 </w:t>
            </w:r>
            <w:r w:rsidRPr="00034529">
              <w:rPr>
                <w:sz w:val="18"/>
                <w:szCs w:val="18"/>
              </w:rPr>
              <w:t>±</w:t>
            </w:r>
            <w:r>
              <w:rPr>
                <w:sz w:val="18"/>
                <w:szCs w:val="18"/>
              </w:rPr>
              <w:t xml:space="preserve"> 0.30</w:t>
            </w:r>
          </w:p>
        </w:tc>
        <w:tc>
          <w:tcPr>
            <w:tcW w:w="602" w:type="pct"/>
          </w:tcPr>
          <w:p w14:paraId="6DA873B8"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89 </w:t>
            </w:r>
            <w:r w:rsidRPr="00034529">
              <w:rPr>
                <w:sz w:val="18"/>
                <w:szCs w:val="18"/>
              </w:rPr>
              <w:t>±</w:t>
            </w:r>
            <w:r>
              <w:rPr>
                <w:sz w:val="18"/>
                <w:szCs w:val="18"/>
              </w:rPr>
              <w:t xml:space="preserve"> 0.38</w:t>
            </w:r>
          </w:p>
        </w:tc>
        <w:tc>
          <w:tcPr>
            <w:tcW w:w="602" w:type="pct"/>
          </w:tcPr>
          <w:p w14:paraId="726C5BEB"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45 </w:t>
            </w:r>
            <w:r w:rsidRPr="00034529">
              <w:rPr>
                <w:sz w:val="18"/>
                <w:szCs w:val="18"/>
              </w:rPr>
              <w:t>±</w:t>
            </w:r>
            <w:r>
              <w:rPr>
                <w:sz w:val="18"/>
                <w:szCs w:val="18"/>
              </w:rPr>
              <w:t xml:space="preserve"> 0.19</w:t>
            </w:r>
          </w:p>
        </w:tc>
        <w:tc>
          <w:tcPr>
            <w:tcW w:w="602" w:type="pct"/>
          </w:tcPr>
          <w:p w14:paraId="420F2CCC"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23 </w:t>
            </w:r>
            <w:r w:rsidRPr="00034529">
              <w:rPr>
                <w:sz w:val="18"/>
                <w:szCs w:val="18"/>
              </w:rPr>
              <w:t>±</w:t>
            </w:r>
            <w:r>
              <w:rPr>
                <w:sz w:val="18"/>
                <w:szCs w:val="18"/>
              </w:rPr>
              <w:t xml:space="preserve"> 0.10</w:t>
            </w:r>
          </w:p>
        </w:tc>
      </w:tr>
      <w:tr w:rsidR="002F7B48" w14:paraId="1C0E34B6" w14:textId="77777777" w:rsidTr="000F3C80">
        <w:tc>
          <w:tcPr>
            <w:cnfStyle w:val="001000000000" w:firstRow="0" w:lastRow="0" w:firstColumn="1" w:lastColumn="0" w:oddVBand="0" w:evenVBand="0" w:oddHBand="0" w:evenHBand="0" w:firstRowFirstColumn="0" w:firstRowLastColumn="0" w:lastRowFirstColumn="0" w:lastRowLastColumn="0"/>
            <w:tcW w:w="1388" w:type="pct"/>
          </w:tcPr>
          <w:p w14:paraId="52FF12C6" w14:textId="77777777" w:rsidR="002F7B48" w:rsidRDefault="002F7B48" w:rsidP="000F3C80">
            <w:pPr>
              <w:pStyle w:val="MDPI42tablebody"/>
            </w:pPr>
            <w:r w:rsidRPr="00FD0F6B">
              <w:t>Fresh Forested Wetland</w:t>
            </w:r>
          </w:p>
        </w:tc>
        <w:tc>
          <w:tcPr>
            <w:tcW w:w="602" w:type="pct"/>
          </w:tcPr>
          <w:p w14:paraId="1E80189D"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w:t>
            </w:r>
            <w:r>
              <w:rPr>
                <w:sz w:val="18"/>
                <w:szCs w:val="18"/>
              </w:rPr>
              <w:t xml:space="preserve">03 </w:t>
            </w:r>
            <w:r w:rsidRPr="00034529">
              <w:rPr>
                <w:sz w:val="18"/>
                <w:szCs w:val="18"/>
              </w:rPr>
              <w:t>±</w:t>
            </w:r>
            <w:r>
              <w:rPr>
                <w:sz w:val="18"/>
                <w:szCs w:val="18"/>
              </w:rPr>
              <w:t xml:space="preserve"> 0.01</w:t>
            </w:r>
          </w:p>
        </w:tc>
        <w:tc>
          <w:tcPr>
            <w:tcW w:w="602" w:type="pct"/>
          </w:tcPr>
          <w:p w14:paraId="333CFAFB"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w:t>
            </w:r>
            <w:r>
              <w:rPr>
                <w:sz w:val="18"/>
                <w:szCs w:val="18"/>
              </w:rPr>
              <w:t xml:space="preserve">3 </w:t>
            </w:r>
            <w:r w:rsidRPr="00034529">
              <w:rPr>
                <w:sz w:val="18"/>
                <w:szCs w:val="18"/>
              </w:rPr>
              <w:t>±</w:t>
            </w:r>
            <w:r>
              <w:rPr>
                <w:sz w:val="18"/>
                <w:szCs w:val="18"/>
              </w:rPr>
              <w:t xml:space="preserve"> 0.01</w:t>
            </w:r>
          </w:p>
        </w:tc>
        <w:tc>
          <w:tcPr>
            <w:tcW w:w="602" w:type="pct"/>
          </w:tcPr>
          <w:p w14:paraId="45752EA6"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w:t>
            </w:r>
            <w:r>
              <w:rPr>
                <w:sz w:val="18"/>
                <w:szCs w:val="18"/>
              </w:rPr>
              <w:t xml:space="preserve">3 </w:t>
            </w:r>
            <w:r w:rsidRPr="00034529">
              <w:rPr>
                <w:sz w:val="18"/>
                <w:szCs w:val="18"/>
              </w:rPr>
              <w:t>±</w:t>
            </w:r>
            <w:r>
              <w:rPr>
                <w:sz w:val="18"/>
                <w:szCs w:val="18"/>
              </w:rPr>
              <w:t xml:space="preserve"> 0.01</w:t>
            </w:r>
          </w:p>
        </w:tc>
        <w:tc>
          <w:tcPr>
            <w:tcW w:w="602" w:type="pct"/>
          </w:tcPr>
          <w:p w14:paraId="3B8B6A60"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w:t>
            </w:r>
            <w:r>
              <w:rPr>
                <w:sz w:val="18"/>
                <w:szCs w:val="18"/>
              </w:rPr>
              <w:t xml:space="preserve">3 </w:t>
            </w:r>
            <w:r w:rsidRPr="00034529">
              <w:rPr>
                <w:sz w:val="18"/>
                <w:szCs w:val="18"/>
              </w:rPr>
              <w:t>±</w:t>
            </w:r>
            <w:r>
              <w:rPr>
                <w:sz w:val="18"/>
                <w:szCs w:val="18"/>
              </w:rPr>
              <w:t xml:space="preserve"> 0.01</w:t>
            </w:r>
          </w:p>
        </w:tc>
        <w:tc>
          <w:tcPr>
            <w:tcW w:w="602" w:type="pct"/>
          </w:tcPr>
          <w:p w14:paraId="6E7CB712"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w:t>
            </w:r>
            <w:r>
              <w:rPr>
                <w:sz w:val="18"/>
                <w:szCs w:val="18"/>
              </w:rPr>
              <w:t xml:space="preserve">2 </w:t>
            </w:r>
            <w:r w:rsidRPr="00034529">
              <w:rPr>
                <w:sz w:val="18"/>
                <w:szCs w:val="18"/>
              </w:rPr>
              <w:t>±</w:t>
            </w:r>
            <w:r>
              <w:rPr>
                <w:sz w:val="18"/>
                <w:szCs w:val="18"/>
              </w:rPr>
              <w:t xml:space="preserve"> 0.01</w:t>
            </w:r>
          </w:p>
        </w:tc>
        <w:tc>
          <w:tcPr>
            <w:tcW w:w="602" w:type="pct"/>
          </w:tcPr>
          <w:p w14:paraId="41881158"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0E21DC">
              <w:rPr>
                <w:sz w:val="18"/>
                <w:szCs w:val="18"/>
              </w:rPr>
              <w:t>0.0</w:t>
            </w:r>
            <w:r>
              <w:rPr>
                <w:sz w:val="18"/>
                <w:szCs w:val="18"/>
              </w:rPr>
              <w:t xml:space="preserve">2 </w:t>
            </w:r>
            <w:r w:rsidRPr="00034529">
              <w:rPr>
                <w:sz w:val="18"/>
                <w:szCs w:val="18"/>
              </w:rPr>
              <w:t>±</w:t>
            </w:r>
            <w:r>
              <w:rPr>
                <w:sz w:val="18"/>
                <w:szCs w:val="18"/>
              </w:rPr>
              <w:t xml:space="preserve"> 0.01</w:t>
            </w:r>
          </w:p>
        </w:tc>
      </w:tr>
      <w:tr w:rsidR="002F7B48" w14:paraId="25404086"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Pr>
          <w:p w14:paraId="6808F87D" w14:textId="77777777" w:rsidR="002F7B48" w:rsidRDefault="002F7B48" w:rsidP="000F3C80">
            <w:pPr>
              <w:pStyle w:val="MDPI42tablebody"/>
            </w:pPr>
            <w:r w:rsidRPr="00FD0F6B">
              <w:t>Fresh Marsh</w:t>
            </w:r>
          </w:p>
        </w:tc>
        <w:tc>
          <w:tcPr>
            <w:tcW w:w="602" w:type="pct"/>
          </w:tcPr>
          <w:p w14:paraId="3B31D377"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0.8</w:t>
            </w:r>
            <w:r>
              <w:rPr>
                <w:sz w:val="18"/>
                <w:szCs w:val="18"/>
              </w:rPr>
              <w:t xml:space="preserve">4 </w:t>
            </w:r>
            <w:r w:rsidRPr="00034529">
              <w:rPr>
                <w:sz w:val="18"/>
                <w:szCs w:val="18"/>
              </w:rPr>
              <w:t>±</w:t>
            </w:r>
            <w:r>
              <w:rPr>
                <w:sz w:val="18"/>
                <w:szCs w:val="18"/>
              </w:rPr>
              <w:t xml:space="preserve"> 0.36</w:t>
            </w:r>
          </w:p>
        </w:tc>
        <w:tc>
          <w:tcPr>
            <w:tcW w:w="602" w:type="pct"/>
          </w:tcPr>
          <w:p w14:paraId="018A3FF8"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0.8</w:t>
            </w:r>
            <w:r>
              <w:rPr>
                <w:sz w:val="18"/>
                <w:szCs w:val="18"/>
              </w:rPr>
              <w:t xml:space="preserve">1 </w:t>
            </w:r>
            <w:r w:rsidRPr="00034529">
              <w:rPr>
                <w:sz w:val="18"/>
                <w:szCs w:val="18"/>
              </w:rPr>
              <w:t>±</w:t>
            </w:r>
            <w:r>
              <w:rPr>
                <w:sz w:val="18"/>
                <w:szCs w:val="18"/>
              </w:rPr>
              <w:t xml:space="preserve"> 0.35</w:t>
            </w:r>
          </w:p>
        </w:tc>
        <w:tc>
          <w:tcPr>
            <w:tcW w:w="602" w:type="pct"/>
          </w:tcPr>
          <w:p w14:paraId="2FC4C85D"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0.5</w:t>
            </w:r>
            <w:r>
              <w:rPr>
                <w:sz w:val="18"/>
                <w:szCs w:val="18"/>
              </w:rPr>
              <w:t xml:space="preserve">3 </w:t>
            </w:r>
            <w:r w:rsidRPr="00034529">
              <w:rPr>
                <w:sz w:val="18"/>
                <w:szCs w:val="18"/>
              </w:rPr>
              <w:t>±</w:t>
            </w:r>
            <w:r>
              <w:rPr>
                <w:sz w:val="18"/>
                <w:szCs w:val="18"/>
              </w:rPr>
              <w:t xml:space="preserve"> 0.23</w:t>
            </w:r>
          </w:p>
        </w:tc>
        <w:tc>
          <w:tcPr>
            <w:tcW w:w="602" w:type="pct"/>
          </w:tcPr>
          <w:p w14:paraId="2B476544"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0.5</w:t>
            </w:r>
            <w:r>
              <w:rPr>
                <w:sz w:val="18"/>
                <w:szCs w:val="18"/>
              </w:rPr>
              <w:t xml:space="preserve">2 </w:t>
            </w:r>
            <w:r w:rsidRPr="00034529">
              <w:rPr>
                <w:sz w:val="18"/>
                <w:szCs w:val="18"/>
              </w:rPr>
              <w:t>±</w:t>
            </w:r>
            <w:r>
              <w:rPr>
                <w:sz w:val="18"/>
                <w:szCs w:val="18"/>
              </w:rPr>
              <w:t xml:space="preserve"> 0.23</w:t>
            </w:r>
          </w:p>
        </w:tc>
        <w:tc>
          <w:tcPr>
            <w:tcW w:w="602" w:type="pct"/>
          </w:tcPr>
          <w:p w14:paraId="6D0499A2"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56 </w:t>
            </w:r>
            <w:r w:rsidRPr="00034529">
              <w:rPr>
                <w:sz w:val="18"/>
                <w:szCs w:val="18"/>
              </w:rPr>
              <w:t>±</w:t>
            </w:r>
            <w:r>
              <w:rPr>
                <w:sz w:val="18"/>
                <w:szCs w:val="18"/>
              </w:rPr>
              <w:t xml:space="preserve"> 0.25</w:t>
            </w:r>
          </w:p>
        </w:tc>
        <w:tc>
          <w:tcPr>
            <w:tcW w:w="602" w:type="pct"/>
          </w:tcPr>
          <w:p w14:paraId="6486DFB0"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87 </w:t>
            </w:r>
            <w:r w:rsidRPr="00034529">
              <w:rPr>
                <w:sz w:val="18"/>
                <w:szCs w:val="18"/>
              </w:rPr>
              <w:t>±</w:t>
            </w:r>
            <w:r>
              <w:rPr>
                <w:sz w:val="18"/>
                <w:szCs w:val="18"/>
              </w:rPr>
              <w:t xml:space="preserve"> 0.38</w:t>
            </w:r>
          </w:p>
        </w:tc>
      </w:tr>
      <w:tr w:rsidR="002F7B48" w14:paraId="0B0CD2F9" w14:textId="77777777" w:rsidTr="000F3C80">
        <w:tc>
          <w:tcPr>
            <w:cnfStyle w:val="001000000000" w:firstRow="0" w:lastRow="0" w:firstColumn="1" w:lastColumn="0" w:oddVBand="0" w:evenVBand="0" w:oddHBand="0" w:evenHBand="0" w:firstRowFirstColumn="0" w:firstRowLastColumn="0" w:lastRowFirstColumn="0" w:lastRowLastColumn="0"/>
            <w:tcW w:w="1388" w:type="pct"/>
          </w:tcPr>
          <w:p w14:paraId="2CF82980" w14:textId="77777777" w:rsidR="002F7B48" w:rsidRDefault="002F7B48" w:rsidP="000F3C80">
            <w:pPr>
              <w:pStyle w:val="MDPI42tablebody"/>
            </w:pPr>
            <w:r w:rsidRPr="00FD0F6B">
              <w:t>Intermediate Marsh</w:t>
            </w:r>
          </w:p>
        </w:tc>
        <w:tc>
          <w:tcPr>
            <w:tcW w:w="602" w:type="pct"/>
          </w:tcPr>
          <w:p w14:paraId="475CDEA7"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0.6</w:t>
            </w:r>
            <w:r>
              <w:rPr>
                <w:sz w:val="18"/>
                <w:szCs w:val="18"/>
              </w:rPr>
              <w:t xml:space="preserve">0 </w:t>
            </w:r>
            <w:r w:rsidRPr="00034529">
              <w:rPr>
                <w:sz w:val="18"/>
                <w:szCs w:val="18"/>
              </w:rPr>
              <w:t>±</w:t>
            </w:r>
            <w:r>
              <w:rPr>
                <w:sz w:val="18"/>
                <w:szCs w:val="18"/>
              </w:rPr>
              <w:t xml:space="preserve"> 0.26</w:t>
            </w:r>
          </w:p>
        </w:tc>
        <w:tc>
          <w:tcPr>
            <w:tcW w:w="602" w:type="pct"/>
          </w:tcPr>
          <w:p w14:paraId="50D68DA0"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w:t>
            </w:r>
            <w:r>
              <w:rPr>
                <w:sz w:val="18"/>
                <w:szCs w:val="18"/>
              </w:rPr>
              <w:t xml:space="preserve">76 </w:t>
            </w:r>
            <w:r w:rsidRPr="00034529">
              <w:rPr>
                <w:sz w:val="18"/>
                <w:szCs w:val="18"/>
              </w:rPr>
              <w:t>±</w:t>
            </w:r>
            <w:r>
              <w:rPr>
                <w:sz w:val="18"/>
                <w:szCs w:val="18"/>
              </w:rPr>
              <w:t xml:space="preserve"> 0.33</w:t>
            </w:r>
          </w:p>
        </w:tc>
        <w:tc>
          <w:tcPr>
            <w:tcW w:w="602" w:type="pct"/>
          </w:tcPr>
          <w:p w14:paraId="52040E9D"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w:t>
            </w:r>
            <w:r>
              <w:rPr>
                <w:sz w:val="18"/>
                <w:szCs w:val="18"/>
              </w:rPr>
              <w:t xml:space="preserve">85 </w:t>
            </w:r>
            <w:r w:rsidRPr="00034529">
              <w:rPr>
                <w:sz w:val="18"/>
                <w:szCs w:val="18"/>
              </w:rPr>
              <w:t>±</w:t>
            </w:r>
            <w:r>
              <w:rPr>
                <w:sz w:val="18"/>
                <w:szCs w:val="18"/>
              </w:rPr>
              <w:t>0.37</w:t>
            </w:r>
          </w:p>
        </w:tc>
        <w:tc>
          <w:tcPr>
            <w:tcW w:w="602" w:type="pct"/>
          </w:tcPr>
          <w:p w14:paraId="00B16E90"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0.6</w:t>
            </w:r>
            <w:r>
              <w:rPr>
                <w:sz w:val="18"/>
                <w:szCs w:val="18"/>
              </w:rPr>
              <w:t xml:space="preserve">3 </w:t>
            </w:r>
            <w:r w:rsidRPr="00034529">
              <w:rPr>
                <w:sz w:val="18"/>
                <w:szCs w:val="18"/>
              </w:rPr>
              <w:t>±</w:t>
            </w:r>
            <w:r>
              <w:rPr>
                <w:sz w:val="18"/>
                <w:szCs w:val="18"/>
              </w:rPr>
              <w:t xml:space="preserve"> 0.27</w:t>
            </w:r>
          </w:p>
        </w:tc>
        <w:tc>
          <w:tcPr>
            <w:tcW w:w="602" w:type="pct"/>
          </w:tcPr>
          <w:p w14:paraId="31EB2F67"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0.9</w:t>
            </w:r>
            <w:r>
              <w:rPr>
                <w:sz w:val="18"/>
                <w:szCs w:val="18"/>
              </w:rPr>
              <w:t xml:space="preserve">0 </w:t>
            </w:r>
            <w:r w:rsidRPr="00034529">
              <w:rPr>
                <w:sz w:val="18"/>
                <w:szCs w:val="18"/>
              </w:rPr>
              <w:t>±</w:t>
            </w:r>
            <w:r>
              <w:rPr>
                <w:sz w:val="18"/>
                <w:szCs w:val="18"/>
              </w:rPr>
              <w:t xml:space="preserve"> 0.39</w:t>
            </w:r>
          </w:p>
        </w:tc>
        <w:tc>
          <w:tcPr>
            <w:tcW w:w="602" w:type="pct"/>
          </w:tcPr>
          <w:p w14:paraId="268658E3"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w:t>
            </w:r>
            <w:r>
              <w:rPr>
                <w:sz w:val="18"/>
                <w:szCs w:val="18"/>
              </w:rPr>
              <w:t xml:space="preserve">68 </w:t>
            </w:r>
            <w:r w:rsidRPr="00034529">
              <w:rPr>
                <w:sz w:val="18"/>
                <w:szCs w:val="18"/>
              </w:rPr>
              <w:t>±</w:t>
            </w:r>
            <w:r>
              <w:rPr>
                <w:sz w:val="18"/>
                <w:szCs w:val="18"/>
              </w:rPr>
              <w:t xml:space="preserve"> 0.30</w:t>
            </w:r>
          </w:p>
        </w:tc>
      </w:tr>
      <w:tr w:rsidR="002F7B48" w14:paraId="6996FDCA"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Pr>
          <w:p w14:paraId="060655C4" w14:textId="77777777" w:rsidR="002F7B48" w:rsidRDefault="002F7B48" w:rsidP="000F3C80">
            <w:pPr>
              <w:pStyle w:val="MDPI42tablebody"/>
            </w:pPr>
            <w:r w:rsidRPr="00FD0F6B">
              <w:t>Brackish Marsh</w:t>
            </w:r>
          </w:p>
        </w:tc>
        <w:tc>
          <w:tcPr>
            <w:tcW w:w="602" w:type="pct"/>
          </w:tcPr>
          <w:p w14:paraId="3C14FDFB"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c>
          <w:tcPr>
            <w:tcW w:w="602" w:type="pct"/>
          </w:tcPr>
          <w:p w14:paraId="0C606A1B"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c>
          <w:tcPr>
            <w:tcW w:w="602" w:type="pct"/>
          </w:tcPr>
          <w:p w14:paraId="69D3366B"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c>
          <w:tcPr>
            <w:tcW w:w="602" w:type="pct"/>
          </w:tcPr>
          <w:p w14:paraId="66DB91F1"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c>
          <w:tcPr>
            <w:tcW w:w="602" w:type="pct"/>
          </w:tcPr>
          <w:p w14:paraId="107ABA0C"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c>
          <w:tcPr>
            <w:tcW w:w="602" w:type="pct"/>
          </w:tcPr>
          <w:p w14:paraId="4F401CA0"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r>
      <w:tr w:rsidR="002F7B48" w14:paraId="4F9C6863" w14:textId="77777777" w:rsidTr="000F3C80">
        <w:tc>
          <w:tcPr>
            <w:cnfStyle w:val="001000000000" w:firstRow="0" w:lastRow="0" w:firstColumn="1" w:lastColumn="0" w:oddVBand="0" w:evenVBand="0" w:oddHBand="0" w:evenHBand="0" w:firstRowFirstColumn="0" w:firstRowLastColumn="0" w:lastRowFirstColumn="0" w:lastRowLastColumn="0"/>
            <w:tcW w:w="1388" w:type="pct"/>
          </w:tcPr>
          <w:p w14:paraId="60931C27" w14:textId="77777777" w:rsidR="002F7B48" w:rsidRPr="00FD0F6B" w:rsidRDefault="002F7B48" w:rsidP="000F3C80">
            <w:pPr>
              <w:pStyle w:val="MDPI42tablebody"/>
            </w:pPr>
            <w:r w:rsidRPr="00FD0F6B">
              <w:t>Floating Aquatic Vegetation</w:t>
            </w:r>
            <w:r>
              <w:t xml:space="preserve"> (FAV)</w:t>
            </w:r>
          </w:p>
        </w:tc>
        <w:tc>
          <w:tcPr>
            <w:tcW w:w="602" w:type="pct"/>
          </w:tcPr>
          <w:p w14:paraId="06ABE1FB"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w:t>
            </w:r>
            <w:r>
              <w:rPr>
                <w:sz w:val="18"/>
                <w:szCs w:val="18"/>
              </w:rPr>
              <w:t xml:space="preserve">19 </w:t>
            </w:r>
            <w:r w:rsidRPr="00034529">
              <w:rPr>
                <w:sz w:val="18"/>
                <w:szCs w:val="18"/>
              </w:rPr>
              <w:t>±</w:t>
            </w:r>
            <w:r>
              <w:rPr>
                <w:sz w:val="18"/>
                <w:szCs w:val="18"/>
              </w:rPr>
              <w:t xml:space="preserve"> 0.08</w:t>
            </w:r>
          </w:p>
        </w:tc>
        <w:tc>
          <w:tcPr>
            <w:tcW w:w="602" w:type="pct"/>
          </w:tcPr>
          <w:p w14:paraId="0B091D8C"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w:t>
            </w:r>
            <w:r>
              <w:rPr>
                <w:sz w:val="18"/>
                <w:szCs w:val="18"/>
              </w:rPr>
              <w:t xml:space="preserve">37 </w:t>
            </w:r>
            <w:r w:rsidRPr="00034529">
              <w:rPr>
                <w:sz w:val="18"/>
                <w:szCs w:val="18"/>
              </w:rPr>
              <w:t>±</w:t>
            </w:r>
            <w:r>
              <w:rPr>
                <w:sz w:val="18"/>
                <w:szCs w:val="18"/>
              </w:rPr>
              <w:t xml:space="preserve"> 0.16</w:t>
            </w:r>
          </w:p>
        </w:tc>
        <w:tc>
          <w:tcPr>
            <w:tcW w:w="602" w:type="pct"/>
          </w:tcPr>
          <w:p w14:paraId="77BF42A5"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w:t>
            </w:r>
            <w:r>
              <w:rPr>
                <w:sz w:val="18"/>
                <w:szCs w:val="18"/>
              </w:rPr>
              <w:t xml:space="preserve">39 </w:t>
            </w:r>
            <w:r w:rsidRPr="00034529">
              <w:rPr>
                <w:sz w:val="18"/>
                <w:szCs w:val="18"/>
              </w:rPr>
              <w:t>±</w:t>
            </w:r>
            <w:r>
              <w:rPr>
                <w:sz w:val="18"/>
                <w:szCs w:val="18"/>
              </w:rPr>
              <w:t xml:space="preserve"> 0.17</w:t>
            </w:r>
          </w:p>
        </w:tc>
        <w:tc>
          <w:tcPr>
            <w:tcW w:w="602" w:type="pct"/>
          </w:tcPr>
          <w:p w14:paraId="7F6CBC62"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w:t>
            </w:r>
            <w:r>
              <w:rPr>
                <w:sz w:val="18"/>
                <w:szCs w:val="18"/>
              </w:rPr>
              <w:t xml:space="preserve">48 </w:t>
            </w:r>
            <w:r w:rsidRPr="00034529">
              <w:rPr>
                <w:sz w:val="18"/>
                <w:szCs w:val="18"/>
              </w:rPr>
              <w:t>±</w:t>
            </w:r>
            <w:r>
              <w:rPr>
                <w:sz w:val="18"/>
                <w:szCs w:val="18"/>
              </w:rPr>
              <w:t xml:space="preserve"> 0.21</w:t>
            </w:r>
          </w:p>
        </w:tc>
        <w:tc>
          <w:tcPr>
            <w:tcW w:w="602" w:type="pct"/>
          </w:tcPr>
          <w:p w14:paraId="0983F2F7"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w:t>
            </w:r>
            <w:r>
              <w:rPr>
                <w:sz w:val="18"/>
                <w:szCs w:val="18"/>
              </w:rPr>
              <w:t xml:space="preserve">48 </w:t>
            </w:r>
            <w:r w:rsidRPr="00034529">
              <w:rPr>
                <w:sz w:val="18"/>
                <w:szCs w:val="18"/>
              </w:rPr>
              <w:t>±</w:t>
            </w:r>
            <w:r>
              <w:rPr>
                <w:sz w:val="18"/>
                <w:szCs w:val="18"/>
              </w:rPr>
              <w:t xml:space="preserve"> 0.21</w:t>
            </w:r>
          </w:p>
        </w:tc>
        <w:tc>
          <w:tcPr>
            <w:tcW w:w="602" w:type="pct"/>
          </w:tcPr>
          <w:p w14:paraId="260CAED8"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0.</w:t>
            </w:r>
            <w:r>
              <w:rPr>
                <w:sz w:val="18"/>
                <w:szCs w:val="18"/>
              </w:rPr>
              <w:t xml:space="preserve">50 </w:t>
            </w:r>
            <w:r w:rsidRPr="00034529">
              <w:rPr>
                <w:sz w:val="18"/>
                <w:szCs w:val="18"/>
              </w:rPr>
              <w:t>±</w:t>
            </w:r>
            <w:r>
              <w:rPr>
                <w:sz w:val="18"/>
                <w:szCs w:val="18"/>
              </w:rPr>
              <w:t xml:space="preserve"> 0.22</w:t>
            </w:r>
          </w:p>
        </w:tc>
      </w:tr>
      <w:tr w:rsidR="002F7B48" w14:paraId="624AE214"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Pr>
          <w:p w14:paraId="3E5D8897" w14:textId="77777777" w:rsidR="002F7B48" w:rsidRDefault="002F7B48" w:rsidP="000F3C80">
            <w:pPr>
              <w:pStyle w:val="MDPI42tablebody"/>
            </w:pPr>
            <w:r w:rsidRPr="00FD0F6B">
              <w:t>SAV</w:t>
            </w:r>
          </w:p>
        </w:tc>
        <w:tc>
          <w:tcPr>
            <w:tcW w:w="602" w:type="pct"/>
          </w:tcPr>
          <w:p w14:paraId="254DCE8A"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42 </w:t>
            </w:r>
            <w:r w:rsidRPr="00034529">
              <w:rPr>
                <w:sz w:val="18"/>
                <w:szCs w:val="18"/>
              </w:rPr>
              <w:t>±</w:t>
            </w:r>
            <w:r>
              <w:rPr>
                <w:sz w:val="18"/>
                <w:szCs w:val="18"/>
              </w:rPr>
              <w:t xml:space="preserve"> 0.18</w:t>
            </w:r>
          </w:p>
        </w:tc>
        <w:tc>
          <w:tcPr>
            <w:tcW w:w="602" w:type="pct"/>
          </w:tcPr>
          <w:p w14:paraId="34F95B20"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43 </w:t>
            </w:r>
            <w:r w:rsidRPr="00034529">
              <w:rPr>
                <w:sz w:val="18"/>
                <w:szCs w:val="18"/>
              </w:rPr>
              <w:t>±</w:t>
            </w:r>
            <w:r>
              <w:rPr>
                <w:sz w:val="18"/>
                <w:szCs w:val="18"/>
              </w:rPr>
              <w:t xml:space="preserve"> 0.19</w:t>
            </w:r>
          </w:p>
        </w:tc>
        <w:tc>
          <w:tcPr>
            <w:tcW w:w="602" w:type="pct"/>
          </w:tcPr>
          <w:p w14:paraId="5D29B00B"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40 </w:t>
            </w:r>
            <w:r w:rsidRPr="00034529">
              <w:rPr>
                <w:sz w:val="18"/>
                <w:szCs w:val="18"/>
              </w:rPr>
              <w:t>±</w:t>
            </w:r>
            <w:r>
              <w:rPr>
                <w:sz w:val="18"/>
                <w:szCs w:val="18"/>
              </w:rPr>
              <w:t xml:space="preserve"> 0.17</w:t>
            </w:r>
          </w:p>
        </w:tc>
        <w:tc>
          <w:tcPr>
            <w:tcW w:w="602" w:type="pct"/>
          </w:tcPr>
          <w:p w14:paraId="23537289"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w:t>
            </w:r>
            <w:r>
              <w:rPr>
                <w:sz w:val="18"/>
                <w:szCs w:val="18"/>
              </w:rPr>
              <w:t xml:space="preserve">9 </w:t>
            </w:r>
            <w:r w:rsidRPr="00034529">
              <w:rPr>
                <w:sz w:val="18"/>
                <w:szCs w:val="18"/>
              </w:rPr>
              <w:t>±</w:t>
            </w:r>
            <w:r>
              <w:rPr>
                <w:sz w:val="18"/>
                <w:szCs w:val="18"/>
              </w:rPr>
              <w:t xml:space="preserve"> 0.04</w:t>
            </w:r>
          </w:p>
        </w:tc>
        <w:tc>
          <w:tcPr>
            <w:tcW w:w="602" w:type="pct"/>
          </w:tcPr>
          <w:p w14:paraId="535DB1C2"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18 </w:t>
            </w:r>
            <w:r w:rsidRPr="00034529">
              <w:rPr>
                <w:sz w:val="18"/>
                <w:szCs w:val="18"/>
              </w:rPr>
              <w:t>±</w:t>
            </w:r>
            <w:r>
              <w:rPr>
                <w:sz w:val="18"/>
                <w:szCs w:val="18"/>
              </w:rPr>
              <w:t xml:space="preserve"> 0.08</w:t>
            </w:r>
          </w:p>
        </w:tc>
        <w:tc>
          <w:tcPr>
            <w:tcW w:w="602" w:type="pct"/>
          </w:tcPr>
          <w:p w14:paraId="4C793DF6"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w:t>
            </w:r>
            <w:r>
              <w:rPr>
                <w:sz w:val="18"/>
                <w:szCs w:val="18"/>
              </w:rPr>
              <w:t xml:space="preserve">31 </w:t>
            </w:r>
            <w:r w:rsidRPr="00034529">
              <w:rPr>
                <w:sz w:val="18"/>
                <w:szCs w:val="18"/>
              </w:rPr>
              <w:t>±</w:t>
            </w:r>
            <w:r>
              <w:rPr>
                <w:sz w:val="18"/>
                <w:szCs w:val="18"/>
              </w:rPr>
              <w:t xml:space="preserve"> 0.13</w:t>
            </w:r>
          </w:p>
        </w:tc>
      </w:tr>
      <w:tr w:rsidR="002F7B48" w14:paraId="3B9A7484" w14:textId="77777777" w:rsidTr="000F3C80">
        <w:tc>
          <w:tcPr>
            <w:cnfStyle w:val="001000000000" w:firstRow="0" w:lastRow="0" w:firstColumn="1" w:lastColumn="0" w:oddVBand="0" w:evenVBand="0" w:oddHBand="0" w:evenHBand="0" w:firstRowFirstColumn="0" w:firstRowLastColumn="0" w:lastRowFirstColumn="0" w:lastRowLastColumn="0"/>
            <w:tcW w:w="1388" w:type="pct"/>
          </w:tcPr>
          <w:p w14:paraId="6DCFFFB1" w14:textId="77777777" w:rsidR="002F7B48" w:rsidRPr="00FD0F6B" w:rsidRDefault="002F7B48" w:rsidP="000F3C80">
            <w:pPr>
              <w:pStyle w:val="MDPI42tablebody"/>
            </w:pPr>
            <w:r w:rsidRPr="00FD0F6B">
              <w:t>Open Water</w:t>
            </w:r>
          </w:p>
        </w:tc>
        <w:tc>
          <w:tcPr>
            <w:tcW w:w="602" w:type="pct"/>
          </w:tcPr>
          <w:p w14:paraId="5F910EC1"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w:t>
            </w:r>
            <w:r>
              <w:rPr>
                <w:sz w:val="18"/>
                <w:szCs w:val="18"/>
              </w:rPr>
              <w:t xml:space="preserve">2.07 </w:t>
            </w:r>
            <w:r w:rsidRPr="00034529">
              <w:rPr>
                <w:sz w:val="18"/>
                <w:szCs w:val="18"/>
              </w:rPr>
              <w:t>±</w:t>
            </w:r>
            <w:r>
              <w:rPr>
                <w:sz w:val="18"/>
                <w:szCs w:val="18"/>
              </w:rPr>
              <w:t xml:space="preserve"> 0.91</w:t>
            </w:r>
          </w:p>
        </w:tc>
        <w:tc>
          <w:tcPr>
            <w:tcW w:w="602" w:type="pct"/>
          </w:tcPr>
          <w:p w14:paraId="5AEFD9DA"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w:t>
            </w:r>
            <w:r>
              <w:rPr>
                <w:sz w:val="18"/>
                <w:szCs w:val="18"/>
              </w:rPr>
              <w:t xml:space="preserve">1.97 </w:t>
            </w:r>
            <w:r w:rsidRPr="00034529">
              <w:rPr>
                <w:sz w:val="18"/>
                <w:szCs w:val="18"/>
              </w:rPr>
              <w:t>±</w:t>
            </w:r>
            <w:r>
              <w:rPr>
                <w:sz w:val="18"/>
                <w:szCs w:val="18"/>
              </w:rPr>
              <w:t xml:space="preserve"> 0.86</w:t>
            </w:r>
          </w:p>
        </w:tc>
        <w:tc>
          <w:tcPr>
            <w:tcW w:w="602" w:type="pct"/>
          </w:tcPr>
          <w:p w14:paraId="3E8574EF"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w:t>
            </w:r>
            <w:r>
              <w:rPr>
                <w:sz w:val="18"/>
                <w:szCs w:val="18"/>
              </w:rPr>
              <w:t xml:space="preserve">2.03 </w:t>
            </w:r>
            <w:r w:rsidRPr="00034529">
              <w:rPr>
                <w:sz w:val="18"/>
                <w:szCs w:val="18"/>
              </w:rPr>
              <w:t>±</w:t>
            </w:r>
            <w:r>
              <w:rPr>
                <w:sz w:val="18"/>
                <w:szCs w:val="18"/>
              </w:rPr>
              <w:t xml:space="preserve"> 0.89</w:t>
            </w:r>
          </w:p>
        </w:tc>
        <w:tc>
          <w:tcPr>
            <w:tcW w:w="602" w:type="pct"/>
          </w:tcPr>
          <w:p w14:paraId="20E3CE84"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w:t>
            </w:r>
            <w:r>
              <w:rPr>
                <w:sz w:val="18"/>
                <w:szCs w:val="18"/>
              </w:rPr>
              <w:t xml:space="preserve">2.40 </w:t>
            </w:r>
            <w:r w:rsidRPr="00034529">
              <w:rPr>
                <w:sz w:val="18"/>
                <w:szCs w:val="18"/>
              </w:rPr>
              <w:t>±</w:t>
            </w:r>
            <w:r>
              <w:rPr>
                <w:sz w:val="18"/>
                <w:szCs w:val="18"/>
              </w:rPr>
              <w:t xml:space="preserve"> 1.05</w:t>
            </w:r>
          </w:p>
        </w:tc>
        <w:tc>
          <w:tcPr>
            <w:tcW w:w="602" w:type="pct"/>
          </w:tcPr>
          <w:p w14:paraId="5E7661B0"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w:t>
            </w:r>
            <w:r>
              <w:rPr>
                <w:sz w:val="18"/>
                <w:szCs w:val="18"/>
              </w:rPr>
              <w:t xml:space="preserve">2.20 </w:t>
            </w:r>
            <w:r w:rsidRPr="00034529">
              <w:rPr>
                <w:sz w:val="18"/>
                <w:szCs w:val="18"/>
              </w:rPr>
              <w:t>±</w:t>
            </w:r>
            <w:r>
              <w:rPr>
                <w:sz w:val="18"/>
                <w:szCs w:val="18"/>
              </w:rPr>
              <w:t xml:space="preserve"> 0.96</w:t>
            </w:r>
          </w:p>
        </w:tc>
        <w:tc>
          <w:tcPr>
            <w:tcW w:w="602" w:type="pct"/>
          </w:tcPr>
          <w:p w14:paraId="7E8E7E91" w14:textId="77777777" w:rsidR="002F7B48" w:rsidRPr="000E21DC" w:rsidRDefault="002F7B48" w:rsidP="000F3C80">
            <w:pPr>
              <w:pStyle w:val="MDPI42tablebody"/>
              <w:cnfStyle w:val="000000000000" w:firstRow="0" w:lastRow="0" w:firstColumn="0" w:lastColumn="0" w:oddVBand="0" w:evenVBand="0" w:oddHBand="0" w:evenHBand="0" w:firstRowFirstColumn="0" w:firstRowLastColumn="0" w:lastRowFirstColumn="0" w:lastRowLastColumn="0"/>
              <w:rPr>
                <w:sz w:val="18"/>
                <w:szCs w:val="18"/>
              </w:rPr>
            </w:pPr>
            <w:r w:rsidRPr="000E21DC">
              <w:rPr>
                <w:sz w:val="18"/>
                <w:szCs w:val="18"/>
              </w:rPr>
              <w:t>-</w:t>
            </w:r>
            <w:r>
              <w:rPr>
                <w:sz w:val="18"/>
                <w:szCs w:val="18"/>
              </w:rPr>
              <w:t xml:space="preserve">1.95 </w:t>
            </w:r>
            <w:r w:rsidRPr="00034529">
              <w:rPr>
                <w:sz w:val="18"/>
                <w:szCs w:val="18"/>
              </w:rPr>
              <w:t>±</w:t>
            </w:r>
            <w:r>
              <w:rPr>
                <w:sz w:val="18"/>
                <w:szCs w:val="18"/>
              </w:rPr>
              <w:t xml:space="preserve"> 0.85</w:t>
            </w:r>
          </w:p>
        </w:tc>
      </w:tr>
      <w:tr w:rsidR="002F7B48" w14:paraId="366BE722" w14:textId="77777777" w:rsidTr="000F3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Pr>
          <w:p w14:paraId="2F74BEE6" w14:textId="77777777" w:rsidR="002F7B48" w:rsidRDefault="002F7B48" w:rsidP="000F3C80">
            <w:pPr>
              <w:pStyle w:val="MDPI42tablebody"/>
            </w:pPr>
            <w:r w:rsidRPr="00FD0F6B">
              <w:t>Bareground</w:t>
            </w:r>
          </w:p>
        </w:tc>
        <w:tc>
          <w:tcPr>
            <w:tcW w:w="602" w:type="pct"/>
          </w:tcPr>
          <w:p w14:paraId="2CCC5A51"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c>
          <w:tcPr>
            <w:tcW w:w="602" w:type="pct"/>
          </w:tcPr>
          <w:p w14:paraId="36B1AA52"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c>
          <w:tcPr>
            <w:tcW w:w="602" w:type="pct"/>
          </w:tcPr>
          <w:p w14:paraId="58DFDDE9"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c>
          <w:tcPr>
            <w:tcW w:w="602" w:type="pct"/>
          </w:tcPr>
          <w:p w14:paraId="1F51107C"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c>
          <w:tcPr>
            <w:tcW w:w="602" w:type="pct"/>
          </w:tcPr>
          <w:p w14:paraId="03F21A8D"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c>
          <w:tcPr>
            <w:tcW w:w="602" w:type="pct"/>
          </w:tcPr>
          <w:p w14:paraId="79F13ADB" w14:textId="77777777" w:rsidR="002F7B48" w:rsidRPr="000E21DC" w:rsidRDefault="002F7B48" w:rsidP="000F3C80">
            <w:pPr>
              <w:pStyle w:val="MDPI42tablebody"/>
              <w:cnfStyle w:val="000000100000" w:firstRow="0" w:lastRow="0" w:firstColumn="0" w:lastColumn="0" w:oddVBand="0" w:evenVBand="0" w:oddHBand="1" w:evenHBand="0" w:firstRowFirstColumn="0" w:firstRowLastColumn="0" w:lastRowFirstColumn="0" w:lastRowLastColumn="0"/>
              <w:rPr>
                <w:sz w:val="18"/>
                <w:szCs w:val="18"/>
              </w:rPr>
            </w:pPr>
            <w:r w:rsidRPr="000E21DC">
              <w:rPr>
                <w:sz w:val="18"/>
                <w:szCs w:val="18"/>
              </w:rPr>
              <w:t>0.00</w:t>
            </w:r>
            <w:r>
              <w:rPr>
                <w:sz w:val="18"/>
                <w:szCs w:val="18"/>
              </w:rPr>
              <w:t xml:space="preserve"> </w:t>
            </w:r>
            <w:r w:rsidRPr="00034529">
              <w:rPr>
                <w:sz w:val="18"/>
                <w:szCs w:val="18"/>
              </w:rPr>
              <w:t>±</w:t>
            </w:r>
            <w:r>
              <w:rPr>
                <w:sz w:val="18"/>
                <w:szCs w:val="18"/>
              </w:rPr>
              <w:t xml:space="preserve"> 0.00</w:t>
            </w:r>
          </w:p>
        </w:tc>
      </w:tr>
    </w:tbl>
    <w:p w14:paraId="53E263F6" w14:textId="08082360" w:rsidR="000F3C80" w:rsidRDefault="000F3C80" w:rsidP="002F7B48">
      <w:pPr>
        <w:rPr>
          <w:b/>
          <w:bCs/>
        </w:rPr>
      </w:pPr>
      <w:r>
        <w:rPr>
          <w:b/>
          <w:bCs/>
        </w:rPr>
        <w:br w:type="page"/>
      </w:r>
    </w:p>
    <w:p w14:paraId="7FD5684A" w14:textId="5E934C49" w:rsidR="002F7B48" w:rsidRPr="00CF0FCA" w:rsidRDefault="002F7B48" w:rsidP="000F3C80">
      <w:pPr>
        <w:pStyle w:val="MDPI22heading2"/>
      </w:pPr>
      <w:r w:rsidRPr="00CF0FCA">
        <w:t xml:space="preserve">Supplement </w:t>
      </w:r>
      <w:r>
        <w:t>6</w:t>
      </w:r>
      <w:r w:rsidRPr="00CF0FCA">
        <w:t xml:space="preserve">. Spatial Distribution </w:t>
      </w:r>
      <w:r>
        <w:t>of Net</w:t>
      </w:r>
      <w:r w:rsidRPr="00CF0FCA">
        <w:t xml:space="preserve"> GHG </w:t>
      </w:r>
      <w:r>
        <w:t>F</w:t>
      </w:r>
      <w:r w:rsidRPr="00CF0FCA">
        <w:t xml:space="preserve">lux </w:t>
      </w:r>
      <w:r>
        <w:t>for Scenarios With/Without SAV</w:t>
      </w:r>
    </w:p>
    <w:p w14:paraId="390ECFA7" w14:textId="1A3DC88D" w:rsidR="002F7B48" w:rsidRDefault="000374AF" w:rsidP="000F3C80">
      <w:pPr>
        <w:pStyle w:val="MDPI52figure"/>
      </w:pPr>
      <w:r>
        <w:rPr>
          <w:noProof/>
        </w:rPr>
        <w:drawing>
          <wp:inline distT="0" distB="0" distL="0" distR="0" wp14:anchorId="007AFE05" wp14:editId="3A969122">
            <wp:extent cx="5623560" cy="5367528"/>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3560" cy="5367528"/>
                    </a:xfrm>
                    <a:prstGeom prst="rect">
                      <a:avLst/>
                    </a:prstGeom>
                    <a:noFill/>
                    <a:ln>
                      <a:noFill/>
                    </a:ln>
                  </pic:spPr>
                </pic:pic>
              </a:graphicData>
            </a:graphic>
          </wp:inline>
        </w:drawing>
      </w:r>
    </w:p>
    <w:p w14:paraId="3FF89D8B" w14:textId="1CE76D9A" w:rsidR="002F7B48" w:rsidRDefault="002F7B48" w:rsidP="000F3C80">
      <w:pPr>
        <w:pStyle w:val="MDPI51figurecaption"/>
      </w:pPr>
      <w:r w:rsidRPr="000F3C80">
        <w:rPr>
          <w:b/>
          <w:bCs/>
        </w:rPr>
        <w:t>Figure S6-</w:t>
      </w:r>
      <w:r w:rsidRPr="000F3C80">
        <w:rPr>
          <w:b/>
          <w:bCs/>
        </w:rPr>
        <w:fldChar w:fldCharType="begin"/>
      </w:r>
      <w:r w:rsidRPr="000F3C80">
        <w:rPr>
          <w:b/>
          <w:bCs/>
        </w:rPr>
        <w:instrText>SEQ Figure_A5- \* ARABIC</w:instrText>
      </w:r>
      <w:r w:rsidRPr="000F3C80">
        <w:rPr>
          <w:b/>
          <w:bCs/>
        </w:rPr>
        <w:fldChar w:fldCharType="separate"/>
      </w:r>
      <w:r w:rsidR="00FF1167">
        <w:rPr>
          <w:b/>
          <w:bCs/>
          <w:noProof/>
        </w:rPr>
        <w:t>1</w:t>
      </w:r>
      <w:r w:rsidRPr="000F3C80">
        <w:rPr>
          <w:b/>
          <w:bCs/>
        </w:rPr>
        <w:fldChar w:fldCharType="end"/>
      </w:r>
      <w:r w:rsidRPr="000F3C80">
        <w:rPr>
          <w:b/>
          <w:bCs/>
        </w:rPr>
        <w:t>.</w:t>
      </w:r>
      <w:r>
        <w:t xml:space="preserve"> Comparison of spatial distribution of the net GHG fluxes in 2016: (a) </w:t>
      </w:r>
      <w:r w:rsidR="00D1373A" w:rsidRPr="00814822">
        <w:rPr>
          <w:i/>
        </w:rPr>
        <w:t xml:space="preserve">without </w:t>
      </w:r>
      <w:r w:rsidRPr="00814822">
        <w:rPr>
          <w:i/>
        </w:rPr>
        <w:t>SAV</w:t>
      </w:r>
      <w:r>
        <w:t xml:space="preserve"> and (b) </w:t>
      </w:r>
      <w:r w:rsidR="00D1373A" w:rsidRPr="00814822">
        <w:rPr>
          <w:i/>
        </w:rPr>
        <w:t xml:space="preserve">with </w:t>
      </w:r>
      <w:r w:rsidRPr="00814822">
        <w:rPr>
          <w:i/>
        </w:rPr>
        <w:t>SAV</w:t>
      </w:r>
      <w:r>
        <w:t xml:space="preserve">, c) difference between </w:t>
      </w:r>
      <w:r w:rsidR="00D1373A" w:rsidRPr="00814822">
        <w:rPr>
          <w:i/>
        </w:rPr>
        <w:t xml:space="preserve">with </w:t>
      </w:r>
      <w:r w:rsidRPr="00814822">
        <w:rPr>
          <w:i/>
        </w:rPr>
        <w:t>SAV</w:t>
      </w:r>
      <w:r>
        <w:t xml:space="preserve"> and </w:t>
      </w:r>
      <w:r w:rsidR="00D1373A" w:rsidRPr="00814822">
        <w:rPr>
          <w:i/>
        </w:rPr>
        <w:t xml:space="preserve">without </w:t>
      </w:r>
      <w:r w:rsidRPr="00814822">
        <w:rPr>
          <w:i/>
        </w:rPr>
        <w:t>SAV</w:t>
      </w:r>
      <w:r>
        <w:t>, and d) distribution of SAV net GHG flux.</w:t>
      </w:r>
    </w:p>
    <w:p w14:paraId="3FC0A727" w14:textId="39BD1ED5" w:rsidR="002F7B48" w:rsidRDefault="000374AF" w:rsidP="000F3C80">
      <w:pPr>
        <w:pStyle w:val="MDPI52figure"/>
      </w:pPr>
      <w:r>
        <w:rPr>
          <w:noProof/>
        </w:rPr>
        <w:drawing>
          <wp:inline distT="0" distB="0" distL="0" distR="0" wp14:anchorId="1FD19390" wp14:editId="5A944673">
            <wp:extent cx="5623560" cy="5385816"/>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3560" cy="5385816"/>
                    </a:xfrm>
                    <a:prstGeom prst="rect">
                      <a:avLst/>
                    </a:prstGeom>
                    <a:noFill/>
                    <a:ln>
                      <a:noFill/>
                    </a:ln>
                  </pic:spPr>
                </pic:pic>
              </a:graphicData>
            </a:graphic>
          </wp:inline>
        </w:drawing>
      </w:r>
    </w:p>
    <w:p w14:paraId="5CD94BD9" w14:textId="732B3E28" w:rsidR="002F7B48" w:rsidRDefault="002F7B48" w:rsidP="000F3C80">
      <w:pPr>
        <w:pStyle w:val="MDPI51figurecaption"/>
      </w:pPr>
      <w:r w:rsidRPr="000F3C80">
        <w:rPr>
          <w:b/>
          <w:bCs/>
        </w:rPr>
        <w:t>Figure S6-2</w:t>
      </w:r>
      <w:r w:rsidRPr="000F3C80">
        <w:rPr>
          <w:b/>
          <w:bCs/>
          <w:noProof/>
        </w:rPr>
        <w:t>.</w:t>
      </w:r>
      <w:r>
        <w:rPr>
          <w:noProof/>
        </w:rPr>
        <w:t xml:space="preserve"> </w:t>
      </w:r>
      <w:r w:rsidRPr="00F45BDB">
        <w:t xml:space="preserve">Comparison of spatial distribution of the net GHG fluxes in 2017: (a) </w:t>
      </w:r>
      <w:r w:rsidR="00D1373A" w:rsidRPr="00814822">
        <w:rPr>
          <w:i/>
        </w:rPr>
        <w:t xml:space="preserve">without </w:t>
      </w:r>
      <w:r w:rsidRPr="00814822">
        <w:rPr>
          <w:i/>
        </w:rPr>
        <w:t>SAV</w:t>
      </w:r>
      <w:r w:rsidRPr="00F45BDB">
        <w:t xml:space="preserve"> and (b) </w:t>
      </w:r>
      <w:r w:rsidR="00D1373A" w:rsidRPr="00814822">
        <w:rPr>
          <w:i/>
        </w:rPr>
        <w:t xml:space="preserve">with </w:t>
      </w:r>
      <w:r w:rsidRPr="00814822">
        <w:rPr>
          <w:i/>
        </w:rPr>
        <w:t>SAV</w:t>
      </w:r>
      <w:r w:rsidRPr="00F45BDB">
        <w:t xml:space="preserve">, c) difference between </w:t>
      </w:r>
      <w:r w:rsidR="00D1373A" w:rsidRPr="00814822">
        <w:rPr>
          <w:i/>
        </w:rPr>
        <w:t xml:space="preserve">with </w:t>
      </w:r>
      <w:r w:rsidRPr="00814822">
        <w:rPr>
          <w:i/>
        </w:rPr>
        <w:t>SAV</w:t>
      </w:r>
      <w:r w:rsidRPr="00F45BDB">
        <w:t xml:space="preserve"> and </w:t>
      </w:r>
      <w:r w:rsidR="00D1373A" w:rsidRPr="00814822">
        <w:rPr>
          <w:i/>
        </w:rPr>
        <w:t xml:space="preserve">without </w:t>
      </w:r>
      <w:r w:rsidRPr="00814822">
        <w:rPr>
          <w:i/>
        </w:rPr>
        <w:t>SAV</w:t>
      </w:r>
      <w:r w:rsidRPr="00F45BDB">
        <w:t>, and d) distribution of SAV net GHG flux</w:t>
      </w:r>
      <w:r w:rsidR="00EE46DD">
        <w:t>.</w:t>
      </w:r>
    </w:p>
    <w:p w14:paraId="4477DE35" w14:textId="26BDD4C9" w:rsidR="002F7B48" w:rsidRDefault="00F3173C" w:rsidP="000F3C80">
      <w:pPr>
        <w:pStyle w:val="MDPI52figure"/>
      </w:pPr>
      <w:r>
        <w:rPr>
          <w:noProof/>
        </w:rPr>
        <w:drawing>
          <wp:inline distT="0" distB="0" distL="0" distR="0" wp14:anchorId="0ED995B1" wp14:editId="146AEE95">
            <wp:extent cx="5623560" cy="5385816"/>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3560" cy="5385816"/>
                    </a:xfrm>
                    <a:prstGeom prst="rect">
                      <a:avLst/>
                    </a:prstGeom>
                    <a:noFill/>
                    <a:ln>
                      <a:noFill/>
                    </a:ln>
                  </pic:spPr>
                </pic:pic>
              </a:graphicData>
            </a:graphic>
          </wp:inline>
        </w:drawing>
      </w:r>
    </w:p>
    <w:p w14:paraId="459463E8" w14:textId="31F47837" w:rsidR="002F7B48" w:rsidRDefault="002F7B48" w:rsidP="000F3C80">
      <w:pPr>
        <w:pStyle w:val="MDPI51figurecaption"/>
      </w:pPr>
      <w:r w:rsidRPr="000F3C80">
        <w:rPr>
          <w:b/>
          <w:bCs/>
        </w:rPr>
        <w:t>Figure S6-3.</w:t>
      </w:r>
      <w:r>
        <w:t xml:space="preserve"> </w:t>
      </w:r>
      <w:r w:rsidRPr="00687748">
        <w:t>Comparison of spatial distribution of the net GHG fluxes in 201</w:t>
      </w:r>
      <w:r>
        <w:t>9</w:t>
      </w:r>
      <w:r w:rsidRPr="00687748">
        <w:t xml:space="preserve">: (a) </w:t>
      </w:r>
      <w:r w:rsidR="00D1373A" w:rsidRPr="00814822">
        <w:rPr>
          <w:i/>
        </w:rPr>
        <w:t xml:space="preserve">without </w:t>
      </w:r>
      <w:r w:rsidRPr="00814822">
        <w:rPr>
          <w:i/>
        </w:rPr>
        <w:t>SAV</w:t>
      </w:r>
      <w:r w:rsidRPr="00687748">
        <w:t xml:space="preserve"> and (b) </w:t>
      </w:r>
      <w:r w:rsidR="00D1373A" w:rsidRPr="00814822">
        <w:rPr>
          <w:i/>
        </w:rPr>
        <w:t xml:space="preserve">with </w:t>
      </w:r>
      <w:r w:rsidRPr="00814822">
        <w:rPr>
          <w:i/>
        </w:rPr>
        <w:t>SAV</w:t>
      </w:r>
      <w:r w:rsidRPr="00687748">
        <w:t xml:space="preserve">, c) difference between </w:t>
      </w:r>
      <w:r w:rsidR="00D1373A" w:rsidRPr="00814822">
        <w:rPr>
          <w:i/>
        </w:rPr>
        <w:t xml:space="preserve">with </w:t>
      </w:r>
      <w:r w:rsidRPr="00814822">
        <w:rPr>
          <w:i/>
        </w:rPr>
        <w:t>SAV</w:t>
      </w:r>
      <w:r w:rsidRPr="00687748">
        <w:t xml:space="preserve"> and </w:t>
      </w:r>
      <w:r w:rsidR="00D1373A" w:rsidRPr="00814822">
        <w:rPr>
          <w:i/>
        </w:rPr>
        <w:t xml:space="preserve">without </w:t>
      </w:r>
      <w:r w:rsidRPr="00814822">
        <w:rPr>
          <w:i/>
        </w:rPr>
        <w:t>SAV</w:t>
      </w:r>
      <w:r w:rsidRPr="00687748">
        <w:t>, and d) distribution of SAV net GHG flux.</w:t>
      </w:r>
    </w:p>
    <w:p w14:paraId="175F43F7" w14:textId="42AB7B24" w:rsidR="002F7B48" w:rsidRDefault="00C6573A" w:rsidP="000F3C80">
      <w:pPr>
        <w:pStyle w:val="MDPI52figure"/>
      </w:pPr>
      <w:r>
        <w:rPr>
          <w:noProof/>
        </w:rPr>
        <w:drawing>
          <wp:inline distT="0" distB="0" distL="0" distR="0" wp14:anchorId="720976BE" wp14:editId="1767E6BB">
            <wp:extent cx="5623560" cy="5385816"/>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3560" cy="5385816"/>
                    </a:xfrm>
                    <a:prstGeom prst="rect">
                      <a:avLst/>
                    </a:prstGeom>
                    <a:noFill/>
                    <a:ln>
                      <a:noFill/>
                    </a:ln>
                  </pic:spPr>
                </pic:pic>
              </a:graphicData>
            </a:graphic>
          </wp:inline>
        </w:drawing>
      </w:r>
    </w:p>
    <w:p w14:paraId="3CBF0D62" w14:textId="7ED0D4D7" w:rsidR="002F7B48" w:rsidRDefault="002F7B48" w:rsidP="000F3C80">
      <w:pPr>
        <w:pStyle w:val="MDPI51figurecaption"/>
      </w:pPr>
      <w:r w:rsidRPr="000F3C80">
        <w:rPr>
          <w:b/>
          <w:bCs/>
        </w:rPr>
        <w:t xml:space="preserve">Figure S6-4. </w:t>
      </w:r>
      <w:r>
        <w:t xml:space="preserve">Comparison of spatial distribution of the net GHG fluxes in 2021: (a) </w:t>
      </w:r>
      <w:r w:rsidR="00D1373A" w:rsidRPr="00814822">
        <w:rPr>
          <w:i/>
        </w:rPr>
        <w:t xml:space="preserve">without </w:t>
      </w:r>
      <w:r w:rsidRPr="00814822">
        <w:rPr>
          <w:i/>
        </w:rPr>
        <w:t>SAV</w:t>
      </w:r>
      <w:r>
        <w:t xml:space="preserve"> and (b) </w:t>
      </w:r>
      <w:r w:rsidR="00D1373A" w:rsidRPr="00814822">
        <w:rPr>
          <w:i/>
        </w:rPr>
        <w:t xml:space="preserve">with </w:t>
      </w:r>
      <w:r w:rsidRPr="00814822">
        <w:rPr>
          <w:i/>
        </w:rPr>
        <w:t>SAV</w:t>
      </w:r>
      <w:r>
        <w:t xml:space="preserve">, c) difference between </w:t>
      </w:r>
      <w:r w:rsidR="00D1373A" w:rsidRPr="00814822">
        <w:rPr>
          <w:i/>
        </w:rPr>
        <w:t xml:space="preserve">with </w:t>
      </w:r>
      <w:r w:rsidRPr="00814822">
        <w:rPr>
          <w:i/>
        </w:rPr>
        <w:t>SAV</w:t>
      </w:r>
      <w:r>
        <w:t xml:space="preserve"> and </w:t>
      </w:r>
      <w:r w:rsidR="00D1373A" w:rsidRPr="00814822">
        <w:rPr>
          <w:i/>
        </w:rPr>
        <w:t xml:space="preserve">without </w:t>
      </w:r>
      <w:r w:rsidRPr="00814822">
        <w:rPr>
          <w:i/>
        </w:rPr>
        <w:t>SAV</w:t>
      </w:r>
      <w:r>
        <w:t>, and d) distribution of SAV net GHG flux.</w:t>
      </w:r>
    </w:p>
    <w:p w14:paraId="08713A5A" w14:textId="22A95A88" w:rsidR="002F7B48" w:rsidRPr="00E419D5" w:rsidRDefault="00C402C2" w:rsidP="000F3C80">
      <w:pPr>
        <w:pStyle w:val="MDPI52figure"/>
      </w:pPr>
      <w:r>
        <w:rPr>
          <w:noProof/>
        </w:rPr>
        <w:drawing>
          <wp:inline distT="0" distB="0" distL="0" distR="0" wp14:anchorId="0EC1B79C" wp14:editId="4ADE2A92">
            <wp:extent cx="5623560" cy="5385816"/>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3560" cy="5385816"/>
                    </a:xfrm>
                    <a:prstGeom prst="rect">
                      <a:avLst/>
                    </a:prstGeom>
                    <a:noFill/>
                    <a:ln>
                      <a:noFill/>
                    </a:ln>
                  </pic:spPr>
                </pic:pic>
              </a:graphicData>
            </a:graphic>
          </wp:inline>
        </w:drawing>
      </w:r>
    </w:p>
    <w:p w14:paraId="7AD848B0" w14:textId="221B4742" w:rsidR="002F7B48" w:rsidRDefault="002F7B48" w:rsidP="000F3C80">
      <w:pPr>
        <w:pStyle w:val="MDPI51figurecaption"/>
      </w:pPr>
      <w:r w:rsidRPr="000F3C80">
        <w:rPr>
          <w:b/>
          <w:bCs/>
        </w:rPr>
        <w:t>Figure S6-5.</w:t>
      </w:r>
      <w:r>
        <w:t xml:space="preserve"> </w:t>
      </w:r>
      <w:r w:rsidRPr="00431858">
        <w:t>Comparison of spatial distribution of the net GHG fluxes in 2</w:t>
      </w:r>
      <w:r>
        <w:t>022</w:t>
      </w:r>
      <w:r w:rsidRPr="00431858">
        <w:t xml:space="preserve">: (a) </w:t>
      </w:r>
      <w:r w:rsidR="00E3398C" w:rsidRPr="00814822">
        <w:rPr>
          <w:i/>
        </w:rPr>
        <w:t xml:space="preserve">without </w:t>
      </w:r>
      <w:r w:rsidRPr="00814822">
        <w:rPr>
          <w:i/>
        </w:rPr>
        <w:t>SAV</w:t>
      </w:r>
      <w:r w:rsidRPr="00431858">
        <w:t xml:space="preserve"> and (b) </w:t>
      </w:r>
      <w:r w:rsidR="00E3398C" w:rsidRPr="00814822">
        <w:rPr>
          <w:i/>
        </w:rPr>
        <w:t xml:space="preserve">with </w:t>
      </w:r>
      <w:r w:rsidRPr="00814822">
        <w:rPr>
          <w:i/>
        </w:rPr>
        <w:t>SAV</w:t>
      </w:r>
      <w:r w:rsidRPr="00431858">
        <w:t xml:space="preserve">, c) difference between </w:t>
      </w:r>
      <w:r w:rsidR="00E3398C" w:rsidRPr="00814822">
        <w:rPr>
          <w:i/>
        </w:rPr>
        <w:t xml:space="preserve">with </w:t>
      </w:r>
      <w:r w:rsidRPr="00814822">
        <w:rPr>
          <w:i/>
        </w:rPr>
        <w:t>SAV</w:t>
      </w:r>
      <w:r w:rsidRPr="00431858">
        <w:t xml:space="preserve"> and </w:t>
      </w:r>
      <w:r w:rsidR="00E3398C" w:rsidRPr="00814822">
        <w:rPr>
          <w:i/>
        </w:rPr>
        <w:t xml:space="preserve">without </w:t>
      </w:r>
      <w:r w:rsidRPr="00814822">
        <w:rPr>
          <w:i/>
        </w:rPr>
        <w:t>SAV</w:t>
      </w:r>
      <w:r w:rsidRPr="00431858">
        <w:t>, and d) distribution of SAV net GHG flux.</w:t>
      </w:r>
      <w:bookmarkEnd w:id="0"/>
    </w:p>
    <w:sectPr w:rsidR="002F7B48" w:rsidSect="00C62805">
      <w:headerReference w:type="even" r:id="rId21"/>
      <w:headerReference w:type="default" r:id="rId22"/>
      <w:footerReference w:type="default" r:id="rId23"/>
      <w:headerReference w:type="first" r:id="rId24"/>
      <w:footerReference w:type="first" r:id="rId25"/>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3CAB71" w14:textId="77777777" w:rsidR="0089477C" w:rsidRDefault="0089477C">
      <w:pPr>
        <w:spacing w:line="240" w:lineRule="auto"/>
      </w:pPr>
      <w:r>
        <w:separator/>
      </w:r>
    </w:p>
  </w:endnote>
  <w:endnote w:type="continuationSeparator" w:id="0">
    <w:p w14:paraId="53030784" w14:textId="77777777" w:rsidR="0089477C" w:rsidRDefault="0089477C">
      <w:pPr>
        <w:spacing w:line="240" w:lineRule="auto"/>
      </w:pPr>
      <w:r>
        <w:continuationSeparator/>
      </w:r>
    </w:p>
  </w:endnote>
  <w:endnote w:type="continuationNotice" w:id="1">
    <w:p w14:paraId="7165CEAE" w14:textId="77777777" w:rsidR="0089477C" w:rsidRDefault="0089477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Arial Narrow Bold">
    <w:altName w:val="Arial Narrow"/>
    <w:panose1 w:val="020B07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MinionPro-Regular">
    <w:altName w:val="Calibri"/>
    <w:panose1 w:val="00000000000000000000"/>
    <w:charset w:val="4D"/>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E3EFB" w14:textId="77777777" w:rsidR="00AF4EF0" w:rsidRPr="009409DB" w:rsidRDefault="00AF4EF0" w:rsidP="00AF4EF0">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B5185" w14:textId="77777777" w:rsidR="002A1F0E" w:rsidRDefault="002A1F0E" w:rsidP="00BC17A1">
    <w:pPr>
      <w:pStyle w:val="MDPIfooterfirstpage"/>
      <w:pBdr>
        <w:top w:val="single" w:sz="4" w:space="0" w:color="000000"/>
      </w:pBdr>
      <w:adjustRightInd w:val="0"/>
      <w:snapToGrid w:val="0"/>
      <w:spacing w:before="480" w:line="100" w:lineRule="exact"/>
      <w:rPr>
        <w:i/>
        <w:szCs w:val="16"/>
        <w:lang w:val="fr-CH"/>
      </w:rPr>
    </w:pPr>
  </w:p>
  <w:p w14:paraId="7E632604" w14:textId="77777777" w:rsidR="00AF4EF0" w:rsidRPr="008B308E" w:rsidRDefault="00AF4EF0" w:rsidP="00C17A75">
    <w:pPr>
      <w:pStyle w:val="MDPIfooterfirstpage"/>
      <w:tabs>
        <w:tab w:val="clear" w:pos="8845"/>
        <w:tab w:val="right" w:pos="10466"/>
      </w:tabs>
      <w:spacing w:line="240" w:lineRule="auto"/>
      <w:jc w:val="both"/>
      <w:rPr>
        <w:lang w:val="fr-CH"/>
      </w:rPr>
    </w:pPr>
    <w:r w:rsidRPr="001A6ACD">
      <w:rPr>
        <w:i/>
        <w:szCs w:val="16"/>
        <w:lang w:val="fr-CH"/>
      </w:rPr>
      <w:t>Remote Sens.</w:t>
    </w:r>
    <w:r w:rsidRPr="001A6ACD">
      <w:rPr>
        <w:szCs w:val="16"/>
        <w:lang w:val="fr-CH"/>
      </w:rPr>
      <w:t xml:space="preserve"> </w:t>
    </w:r>
    <w:r w:rsidR="008C5CDC">
      <w:rPr>
        <w:b/>
        <w:szCs w:val="16"/>
        <w:lang w:val="fr-CH"/>
      </w:rPr>
      <w:t>2023</w:t>
    </w:r>
    <w:r w:rsidR="00046F7B" w:rsidRPr="00046F7B">
      <w:rPr>
        <w:szCs w:val="16"/>
        <w:lang w:val="fr-CH"/>
      </w:rPr>
      <w:t>,</w:t>
    </w:r>
    <w:r w:rsidR="008C5CDC">
      <w:rPr>
        <w:i/>
        <w:szCs w:val="16"/>
        <w:lang w:val="fr-CH"/>
      </w:rPr>
      <w:t xml:space="preserve"> 15</w:t>
    </w:r>
    <w:r w:rsidR="00046F7B" w:rsidRPr="00046F7B">
      <w:rPr>
        <w:szCs w:val="16"/>
        <w:lang w:val="fr-CH"/>
      </w:rPr>
      <w:t xml:space="preserve">, </w:t>
    </w:r>
    <w:r w:rsidR="00011DEF">
      <w:rPr>
        <w:szCs w:val="16"/>
        <w:lang w:val="fr-CH"/>
      </w:rPr>
      <w:t>x</w:t>
    </w:r>
    <w:r w:rsidR="002A1F0E">
      <w:rPr>
        <w:szCs w:val="16"/>
        <w:lang w:val="fr-CH"/>
      </w:rPr>
      <w:t>. https://doi.org/10.3390/xxxxx</w:t>
    </w:r>
    <w:r w:rsidR="00C17A75" w:rsidRPr="008B308E">
      <w:rPr>
        <w:lang w:val="fr-CH"/>
      </w:rPr>
      <w:tab/>
    </w:r>
    <w:r w:rsidRPr="008B308E">
      <w:rPr>
        <w:lang w:val="fr-CH"/>
      </w:rPr>
      <w:t>www.mdpi.com/journal/</w:t>
    </w:r>
    <w:r w:rsidRPr="00BC5ABD">
      <w:t>remotesensing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B336F0" w14:textId="77777777" w:rsidR="0089477C" w:rsidRDefault="0089477C">
      <w:pPr>
        <w:spacing w:line="240" w:lineRule="auto"/>
      </w:pPr>
      <w:r>
        <w:separator/>
      </w:r>
    </w:p>
  </w:footnote>
  <w:footnote w:type="continuationSeparator" w:id="0">
    <w:p w14:paraId="226EDC36" w14:textId="77777777" w:rsidR="0089477C" w:rsidRDefault="0089477C">
      <w:pPr>
        <w:spacing w:line="240" w:lineRule="auto"/>
      </w:pPr>
      <w:r>
        <w:continuationSeparator/>
      </w:r>
    </w:p>
  </w:footnote>
  <w:footnote w:type="continuationNotice" w:id="1">
    <w:p w14:paraId="0DE63D81" w14:textId="77777777" w:rsidR="0089477C" w:rsidRDefault="0089477C">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B74C6" w14:textId="77777777" w:rsidR="00AF4EF0" w:rsidRDefault="00AF4EF0" w:rsidP="00AF4EF0">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178D1" w14:textId="62D7EDED" w:rsidR="002A1F0E" w:rsidRDefault="00AF4EF0" w:rsidP="00C17A75">
    <w:pPr>
      <w:tabs>
        <w:tab w:val="right" w:pos="10466"/>
      </w:tabs>
      <w:adjustRightInd w:val="0"/>
      <w:snapToGrid w:val="0"/>
      <w:spacing w:line="240" w:lineRule="auto"/>
      <w:rPr>
        <w:sz w:val="16"/>
      </w:rPr>
    </w:pPr>
    <w:r>
      <w:rPr>
        <w:i/>
        <w:sz w:val="16"/>
      </w:rPr>
      <w:t xml:space="preserve">Remote Sens. </w:t>
    </w:r>
    <w:r w:rsidR="008C5CDC">
      <w:rPr>
        <w:b/>
        <w:sz w:val="16"/>
      </w:rPr>
      <w:t>2023</w:t>
    </w:r>
    <w:r w:rsidR="00046F7B" w:rsidRPr="00046F7B">
      <w:rPr>
        <w:sz w:val="16"/>
      </w:rPr>
      <w:t>,</w:t>
    </w:r>
    <w:r w:rsidR="008C5CDC">
      <w:rPr>
        <w:i/>
        <w:sz w:val="16"/>
      </w:rPr>
      <w:t xml:space="preserve"> 15</w:t>
    </w:r>
    <w:r w:rsidR="00011DEF">
      <w:rPr>
        <w:sz w:val="16"/>
      </w:rPr>
      <w:t>, x FOR REVIEW</w:t>
    </w:r>
    <w:r w:rsidR="00C17A75">
      <w:rPr>
        <w:sz w:val="16"/>
      </w:rPr>
      <w:tab/>
    </w:r>
    <w:r w:rsidR="00011DEF">
      <w:rPr>
        <w:sz w:val="16"/>
      </w:rPr>
      <w:fldChar w:fldCharType="begin"/>
    </w:r>
    <w:r w:rsidR="00011DEF">
      <w:rPr>
        <w:sz w:val="16"/>
      </w:rPr>
      <w:instrText xml:space="preserve"> PAGE   \* MERGEFORMAT </w:instrText>
    </w:r>
    <w:r w:rsidR="00011DEF">
      <w:rPr>
        <w:sz w:val="16"/>
      </w:rPr>
      <w:fldChar w:fldCharType="separate"/>
    </w:r>
    <w:r w:rsidR="004E204E">
      <w:rPr>
        <w:sz w:val="16"/>
      </w:rPr>
      <w:t>5</w:t>
    </w:r>
    <w:r w:rsidR="00011DEF">
      <w:rPr>
        <w:sz w:val="16"/>
      </w:rPr>
      <w:fldChar w:fldCharType="end"/>
    </w:r>
    <w:r w:rsidR="00011DEF">
      <w:rPr>
        <w:sz w:val="16"/>
      </w:rPr>
      <w:t xml:space="preserve"> of </w:t>
    </w:r>
    <w:r w:rsidR="00011DEF">
      <w:rPr>
        <w:sz w:val="16"/>
      </w:rPr>
      <w:fldChar w:fldCharType="begin"/>
    </w:r>
    <w:r w:rsidR="00011DEF">
      <w:rPr>
        <w:sz w:val="16"/>
      </w:rPr>
      <w:instrText xml:space="preserve"> NUMPAGES   \* MERGEFORMAT </w:instrText>
    </w:r>
    <w:r w:rsidR="00011DEF">
      <w:rPr>
        <w:sz w:val="16"/>
      </w:rPr>
      <w:fldChar w:fldCharType="separate"/>
    </w:r>
    <w:r w:rsidR="004E204E">
      <w:rPr>
        <w:sz w:val="16"/>
      </w:rPr>
      <w:t>5</w:t>
    </w:r>
    <w:r w:rsidR="00011DEF">
      <w:rPr>
        <w:sz w:val="16"/>
      </w:rPr>
      <w:fldChar w:fldCharType="end"/>
    </w:r>
  </w:p>
  <w:p w14:paraId="2E94DFB7" w14:textId="77777777" w:rsidR="00AF4EF0" w:rsidRPr="00BA2DE7" w:rsidRDefault="00AF4EF0" w:rsidP="00BC17A1">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6" w:type="dxa"/>
      <w:tblCellMar>
        <w:left w:w="0" w:type="dxa"/>
        <w:right w:w="0" w:type="dxa"/>
      </w:tblCellMar>
      <w:tblLook w:val="04A0" w:firstRow="1" w:lastRow="0" w:firstColumn="1" w:lastColumn="0" w:noHBand="0" w:noVBand="1"/>
    </w:tblPr>
    <w:tblGrid>
      <w:gridCol w:w="3678"/>
      <w:gridCol w:w="4535"/>
      <w:gridCol w:w="2273"/>
    </w:tblGrid>
    <w:tr w:rsidR="002A1F0E" w:rsidRPr="00C17A75" w14:paraId="3864ACCD" w14:textId="77777777" w:rsidTr="00A360A1">
      <w:trPr>
        <w:trHeight w:val="686"/>
      </w:trPr>
      <w:tc>
        <w:tcPr>
          <w:tcW w:w="3678" w:type="dxa"/>
          <w:shd w:val="clear" w:color="auto" w:fill="auto"/>
          <w:vAlign w:val="center"/>
        </w:tcPr>
        <w:p w14:paraId="6565CA59" w14:textId="77777777" w:rsidR="002A1F0E" w:rsidRPr="002B6F87" w:rsidRDefault="00B57424" w:rsidP="00C17A75">
          <w:pPr>
            <w:pStyle w:val="Header"/>
            <w:pBdr>
              <w:bottom w:val="none" w:sz="0" w:space="0" w:color="auto"/>
            </w:pBdr>
            <w:jc w:val="left"/>
            <w:rPr>
              <w:rFonts w:eastAsia="DengXian"/>
              <w:b/>
              <w:bCs/>
            </w:rPr>
          </w:pPr>
          <w:r w:rsidRPr="002B6F87">
            <w:rPr>
              <w:rFonts w:eastAsia="DengXian"/>
              <w:b/>
              <w:bCs/>
              <w:noProof/>
            </w:rPr>
            <w:drawing>
              <wp:inline distT="0" distB="0" distL="0" distR="0" wp14:anchorId="65653C6C" wp14:editId="77CBDBD0">
                <wp:extent cx="2286000" cy="429260"/>
                <wp:effectExtent l="0" t="0" r="0" b="0"/>
                <wp:docPr id="1" name="Picture 1" descr="C:\Users\home\AppData\Local\Temp\HZ$D.661.3546\remotesensin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AppData\Local\Temp\HZ$D.661.3546\remotesensing-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0" cy="429260"/>
                        </a:xfrm>
                        <a:prstGeom prst="rect">
                          <a:avLst/>
                        </a:prstGeom>
                        <a:noFill/>
                        <a:ln>
                          <a:noFill/>
                        </a:ln>
                      </pic:spPr>
                    </pic:pic>
                  </a:graphicData>
                </a:graphic>
              </wp:inline>
            </w:drawing>
          </w:r>
        </w:p>
      </w:tc>
      <w:tc>
        <w:tcPr>
          <w:tcW w:w="4535" w:type="dxa"/>
          <w:shd w:val="clear" w:color="auto" w:fill="auto"/>
          <w:vAlign w:val="center"/>
        </w:tcPr>
        <w:p w14:paraId="0D109D90" w14:textId="77777777" w:rsidR="002A1F0E" w:rsidRPr="002B6F87" w:rsidRDefault="002A1F0E" w:rsidP="00C17A75">
          <w:pPr>
            <w:pStyle w:val="Header"/>
            <w:pBdr>
              <w:bottom w:val="none" w:sz="0" w:space="0" w:color="auto"/>
            </w:pBdr>
            <w:rPr>
              <w:rFonts w:eastAsia="DengXian"/>
              <w:b/>
              <w:bCs/>
            </w:rPr>
          </w:pPr>
        </w:p>
      </w:tc>
      <w:tc>
        <w:tcPr>
          <w:tcW w:w="2273" w:type="dxa"/>
          <w:shd w:val="clear" w:color="auto" w:fill="auto"/>
          <w:vAlign w:val="center"/>
        </w:tcPr>
        <w:p w14:paraId="51795FFF" w14:textId="77777777" w:rsidR="002A1F0E" w:rsidRPr="002B6F87" w:rsidRDefault="00A360A1" w:rsidP="00A360A1">
          <w:pPr>
            <w:pStyle w:val="Header"/>
            <w:pBdr>
              <w:bottom w:val="none" w:sz="0" w:space="0" w:color="auto"/>
            </w:pBdr>
            <w:jc w:val="right"/>
            <w:rPr>
              <w:rFonts w:eastAsia="DengXian"/>
              <w:b/>
              <w:bCs/>
            </w:rPr>
          </w:pPr>
          <w:r>
            <w:rPr>
              <w:rFonts w:eastAsia="DengXian"/>
              <w:b/>
              <w:bCs/>
              <w:noProof/>
            </w:rPr>
            <w:drawing>
              <wp:inline distT="0" distB="0" distL="0" distR="0" wp14:anchorId="62BCBFEF" wp14:editId="7E1C19F3">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09461549" w14:textId="77777777" w:rsidR="00AF4EF0" w:rsidRPr="002A1F0E" w:rsidRDefault="00AF4EF0" w:rsidP="00BC17A1">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A36F1"/>
    <w:multiLevelType w:val="hybridMultilevel"/>
    <w:tmpl w:val="1FD6DADA"/>
    <w:lvl w:ilvl="0" w:tplc="FF30643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5F66BC"/>
    <w:multiLevelType w:val="multilevel"/>
    <w:tmpl w:val="D15AEF04"/>
    <w:lvl w:ilvl="0">
      <w:start w:val="1"/>
      <w:numFmt w:val="decimal"/>
      <w:pStyle w:val="Heading1"/>
      <w:lvlText w:val="%1"/>
      <w:lvlJc w:val="left"/>
      <w:pPr>
        <w:ind w:left="450" w:hanging="450"/>
      </w:pPr>
      <w:rPr>
        <w:rFonts w:hint="default"/>
      </w:rPr>
    </w:lvl>
    <w:lvl w:ilvl="1">
      <w:start w:val="1"/>
      <w:numFmt w:val="decimal"/>
      <w:pStyle w:val="Heading2"/>
      <w:lvlText w:val="%1.%2"/>
      <w:lvlJc w:val="left"/>
      <w:pPr>
        <w:ind w:left="450" w:hanging="450"/>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B5F6E2C"/>
    <w:multiLevelType w:val="multilevel"/>
    <w:tmpl w:val="CF9411B4"/>
    <w:lvl w:ilvl="0">
      <w:start w:val="1"/>
      <w:numFmt w:val="decimal"/>
      <w:lvlText w:val="%1.0"/>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pStyle w:val="Heading4"/>
      <w:lvlText w:val="%1.%2.%3.%4"/>
      <w:lvlJc w:val="left"/>
      <w:pPr>
        <w:ind w:left="360" w:hanging="360"/>
      </w:pPr>
      <w:rPr>
        <w:rFonts w:hint="default"/>
      </w:rPr>
    </w:lvl>
    <w:lvl w:ilvl="4">
      <w:start w:val="1"/>
      <w:numFmt w:val="decimal"/>
      <w:pStyle w:val="Heading5"/>
      <w:lvlText w:val="%1.%2.%3.%4.%5"/>
      <w:lvlJc w:val="left"/>
      <w:pPr>
        <w:ind w:left="360" w:hanging="360"/>
      </w:pPr>
      <w:rPr>
        <w:rFonts w:hint="default"/>
      </w:rPr>
    </w:lvl>
    <w:lvl w:ilvl="5">
      <w:start w:val="1"/>
      <w:numFmt w:val="lowerRoman"/>
      <w:lvlText w:val="(%6)"/>
      <w:lvlJc w:val="left"/>
      <w:pPr>
        <w:ind w:left="2160" w:hanging="360"/>
      </w:pPr>
      <w:rPr>
        <w:rFonts w:hint="default"/>
      </w:rPr>
    </w:lvl>
    <w:lvl w:ilvl="6">
      <w:start w:val="1"/>
      <w:numFmt w:val="upperLetter"/>
      <w:pStyle w:val="Heading7"/>
      <w:lvlText w:val="Appendix %7."/>
      <w:lvlJc w:val="left"/>
      <w:pPr>
        <w:tabs>
          <w:tab w:val="num" w:pos="2430"/>
        </w:tabs>
        <w:ind w:left="2070" w:firstLine="0"/>
      </w:pPr>
      <w:rPr>
        <w:rFonts w:hint="default"/>
      </w:rPr>
    </w:lvl>
    <w:lvl w:ilvl="7">
      <w:start w:val="1"/>
      <w:numFmt w:val="decimal"/>
      <w:lvlText w:val="%7.%8"/>
      <w:lvlJc w:val="left"/>
      <w:pPr>
        <w:ind w:left="0" w:firstLine="0"/>
      </w:pPr>
      <w:rPr>
        <w:rFonts w:hint="default"/>
      </w:rPr>
    </w:lvl>
    <w:lvl w:ilvl="8">
      <w:start w:val="1"/>
      <w:numFmt w:val="decimal"/>
      <w:lvlText w:val="%7.%8.%9"/>
      <w:lvlJc w:val="left"/>
      <w:pPr>
        <w:tabs>
          <w:tab w:val="num" w:pos="-31680"/>
        </w:tabs>
        <w:ind w:left="0" w:firstLine="0"/>
      </w:pPr>
      <w:rPr>
        <w:rFonts w:hint="default"/>
      </w:rPr>
    </w:lvl>
  </w:abstractNum>
  <w:abstractNum w:abstractNumId="3" w15:restartNumberingAfterBreak="0">
    <w:nsid w:val="18727843"/>
    <w:multiLevelType w:val="hybridMultilevel"/>
    <w:tmpl w:val="BE869452"/>
    <w:lvl w:ilvl="0" w:tplc="6D1C4888">
      <w:start w:val="1"/>
      <w:numFmt w:val="decimal"/>
      <w:pStyle w:val="NumberedL1"/>
      <w:lvlText w:val="%1."/>
      <w:lvlJc w:val="left"/>
      <w:pPr>
        <w:ind w:left="720" w:hanging="360"/>
      </w:pPr>
    </w:lvl>
    <w:lvl w:ilvl="1" w:tplc="EA369A6E">
      <w:start w:val="1"/>
      <w:numFmt w:val="lowerLetter"/>
      <w:pStyle w:val="NumberL2"/>
      <w:lvlText w:val="%2."/>
      <w:lvlJc w:val="left"/>
      <w:pPr>
        <w:ind w:left="1440" w:hanging="360"/>
      </w:pPr>
    </w:lvl>
    <w:lvl w:ilvl="2" w:tplc="E878DA06">
      <w:start w:val="1"/>
      <w:numFmt w:val="lowerRoman"/>
      <w:pStyle w:val="NumberL3"/>
      <w:lvlText w:val="%3."/>
      <w:lvlJc w:val="right"/>
      <w:pPr>
        <w:ind w:left="2160" w:hanging="180"/>
      </w:pPr>
    </w:lvl>
    <w:lvl w:ilvl="3" w:tplc="CB64369C" w:tentative="1">
      <w:start w:val="1"/>
      <w:numFmt w:val="decimal"/>
      <w:lvlText w:val="%4."/>
      <w:lvlJc w:val="left"/>
      <w:pPr>
        <w:ind w:left="2880" w:hanging="360"/>
      </w:pPr>
    </w:lvl>
    <w:lvl w:ilvl="4" w:tplc="58AAFD8A" w:tentative="1">
      <w:start w:val="1"/>
      <w:numFmt w:val="lowerLetter"/>
      <w:lvlText w:val="%5."/>
      <w:lvlJc w:val="left"/>
      <w:pPr>
        <w:ind w:left="3600" w:hanging="360"/>
      </w:pPr>
    </w:lvl>
    <w:lvl w:ilvl="5" w:tplc="20B2A8B6" w:tentative="1">
      <w:start w:val="1"/>
      <w:numFmt w:val="lowerRoman"/>
      <w:lvlText w:val="%6."/>
      <w:lvlJc w:val="right"/>
      <w:pPr>
        <w:ind w:left="4320" w:hanging="180"/>
      </w:pPr>
    </w:lvl>
    <w:lvl w:ilvl="6" w:tplc="E9F4EB78" w:tentative="1">
      <w:start w:val="1"/>
      <w:numFmt w:val="decimal"/>
      <w:lvlText w:val="%7."/>
      <w:lvlJc w:val="left"/>
      <w:pPr>
        <w:ind w:left="5040" w:hanging="360"/>
      </w:pPr>
    </w:lvl>
    <w:lvl w:ilvl="7" w:tplc="D9D8B028" w:tentative="1">
      <w:start w:val="1"/>
      <w:numFmt w:val="lowerLetter"/>
      <w:lvlText w:val="%8."/>
      <w:lvlJc w:val="left"/>
      <w:pPr>
        <w:ind w:left="5760" w:hanging="360"/>
      </w:pPr>
    </w:lvl>
    <w:lvl w:ilvl="8" w:tplc="86E80AF0" w:tentative="1">
      <w:start w:val="1"/>
      <w:numFmt w:val="lowerRoman"/>
      <w:lvlText w:val="%9."/>
      <w:lvlJc w:val="right"/>
      <w:pPr>
        <w:ind w:left="6480" w:hanging="180"/>
      </w:pPr>
    </w:lvl>
  </w:abstractNum>
  <w:abstractNum w:abstractNumId="4" w15:restartNumberingAfterBreak="0">
    <w:nsid w:val="18B468F5"/>
    <w:multiLevelType w:val="hybridMultilevel"/>
    <w:tmpl w:val="56E05072"/>
    <w:lvl w:ilvl="0" w:tplc="15825BC0">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C97A5F"/>
    <w:multiLevelType w:val="multilevel"/>
    <w:tmpl w:val="C510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7" w15:restartNumberingAfterBreak="0">
    <w:nsid w:val="2036022A"/>
    <w:multiLevelType w:val="hybridMultilevel"/>
    <w:tmpl w:val="B89E1616"/>
    <w:lvl w:ilvl="0" w:tplc="E830305C">
      <w:start w:val="1"/>
      <w:numFmt w:val="bullet"/>
      <w:pStyle w:val="ListParagraph"/>
      <w:lvlText w:val=""/>
      <w:lvlJc w:val="left"/>
      <w:pPr>
        <w:ind w:left="720" w:hanging="360"/>
      </w:pPr>
      <w:rPr>
        <w:rFonts w:ascii="Symbol" w:hAnsi="Symbol" w:hint="default"/>
      </w:rPr>
    </w:lvl>
    <w:lvl w:ilvl="1" w:tplc="917CB486">
      <w:start w:val="1"/>
      <w:numFmt w:val="bullet"/>
      <w:lvlText w:val="o"/>
      <w:lvlJc w:val="left"/>
      <w:pPr>
        <w:ind w:left="1440" w:hanging="360"/>
      </w:pPr>
      <w:rPr>
        <w:rFonts w:ascii="Courier New" w:hAnsi="Courier New" w:hint="default"/>
      </w:rPr>
    </w:lvl>
    <w:lvl w:ilvl="2" w:tplc="16948166">
      <w:start w:val="1"/>
      <w:numFmt w:val="bullet"/>
      <w:lvlText w:val=""/>
      <w:lvlJc w:val="left"/>
      <w:pPr>
        <w:ind w:left="2160" w:hanging="360"/>
      </w:pPr>
      <w:rPr>
        <w:rFonts w:ascii="Wingdings" w:hAnsi="Wingdings" w:hint="default"/>
      </w:rPr>
    </w:lvl>
    <w:lvl w:ilvl="3" w:tplc="AEFC7CEE" w:tentative="1">
      <w:start w:val="1"/>
      <w:numFmt w:val="bullet"/>
      <w:lvlText w:val=""/>
      <w:lvlJc w:val="left"/>
      <w:pPr>
        <w:ind w:left="2880" w:hanging="360"/>
      </w:pPr>
      <w:rPr>
        <w:rFonts w:ascii="Symbol" w:hAnsi="Symbol" w:hint="default"/>
      </w:rPr>
    </w:lvl>
    <w:lvl w:ilvl="4" w:tplc="55D081EA" w:tentative="1">
      <w:start w:val="1"/>
      <w:numFmt w:val="bullet"/>
      <w:lvlText w:val="o"/>
      <w:lvlJc w:val="left"/>
      <w:pPr>
        <w:ind w:left="3600" w:hanging="360"/>
      </w:pPr>
      <w:rPr>
        <w:rFonts w:ascii="Courier New" w:hAnsi="Courier New" w:hint="default"/>
      </w:rPr>
    </w:lvl>
    <w:lvl w:ilvl="5" w:tplc="63DE9016" w:tentative="1">
      <w:start w:val="1"/>
      <w:numFmt w:val="bullet"/>
      <w:lvlText w:val=""/>
      <w:lvlJc w:val="left"/>
      <w:pPr>
        <w:ind w:left="4320" w:hanging="360"/>
      </w:pPr>
      <w:rPr>
        <w:rFonts w:ascii="Wingdings" w:hAnsi="Wingdings" w:hint="default"/>
      </w:rPr>
    </w:lvl>
    <w:lvl w:ilvl="6" w:tplc="25267232" w:tentative="1">
      <w:start w:val="1"/>
      <w:numFmt w:val="bullet"/>
      <w:lvlText w:val=""/>
      <w:lvlJc w:val="left"/>
      <w:pPr>
        <w:ind w:left="5040" w:hanging="360"/>
      </w:pPr>
      <w:rPr>
        <w:rFonts w:ascii="Symbol" w:hAnsi="Symbol" w:hint="default"/>
      </w:rPr>
    </w:lvl>
    <w:lvl w:ilvl="7" w:tplc="56DC9F42" w:tentative="1">
      <w:start w:val="1"/>
      <w:numFmt w:val="bullet"/>
      <w:lvlText w:val="o"/>
      <w:lvlJc w:val="left"/>
      <w:pPr>
        <w:ind w:left="5760" w:hanging="360"/>
      </w:pPr>
      <w:rPr>
        <w:rFonts w:ascii="Courier New" w:hAnsi="Courier New" w:hint="default"/>
      </w:rPr>
    </w:lvl>
    <w:lvl w:ilvl="8" w:tplc="1E4EDB42" w:tentative="1">
      <w:start w:val="1"/>
      <w:numFmt w:val="bullet"/>
      <w:lvlText w:val=""/>
      <w:lvlJc w:val="left"/>
      <w:pPr>
        <w:ind w:left="6480" w:hanging="360"/>
      </w:pPr>
      <w:rPr>
        <w:rFonts w:ascii="Wingdings" w:hAnsi="Wingdings" w:hint="default"/>
      </w:rPr>
    </w:lvl>
  </w:abstractNum>
  <w:abstractNum w:abstractNumId="8"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10"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6F2F90"/>
    <w:multiLevelType w:val="multilevel"/>
    <w:tmpl w:val="BADAE97A"/>
    <w:lvl w:ilvl="0">
      <w:start w:val="1"/>
      <w:numFmt w:val="decimal"/>
      <w:pStyle w:val="H1UTOC"/>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2" w15:restartNumberingAfterBreak="0">
    <w:nsid w:val="2BFA409D"/>
    <w:multiLevelType w:val="multilevel"/>
    <w:tmpl w:val="F4F4DA00"/>
    <w:lvl w:ilvl="0">
      <w:start w:val="1"/>
      <w:numFmt w:val="upperLetter"/>
      <w:lvlText w:val="Appendix %1."/>
      <w:lvlJc w:val="left"/>
      <w:rPr>
        <w:rFonts w:ascii="Arial Bold" w:hAnsi="Arial Bold"/>
        <w:b/>
        <w:bCs/>
        <w:i w:val="0"/>
        <w:iCs w:val="0"/>
        <w:caps/>
        <w:smallCaps w:val="0"/>
        <w:strike w:val="0"/>
        <w:dstrike w:val="0"/>
        <w:outline w:val="0"/>
        <w:shadow w:val="0"/>
        <w:emboss w:val="0"/>
        <w:imprint w:val="0"/>
        <w:vanish w:val="0"/>
        <w:color w:val="ED7D31" w:themeColor="accent2"/>
        <w:spacing w:val="20"/>
        <w:kern w:val="0"/>
        <w:position w:val="0"/>
        <w:sz w:val="36"/>
        <w:u w:val="none"/>
        <w:effect w:val="none"/>
        <w:vertAlign w:val="baseline"/>
        <w:em w:val="none"/>
      </w:rPr>
    </w:lvl>
    <w:lvl w:ilvl="1">
      <w:start w:val="1"/>
      <w:numFmt w:val="decimal"/>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2F6A4350"/>
    <w:multiLevelType w:val="multilevel"/>
    <w:tmpl w:val="4BD2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0E3E3D"/>
    <w:multiLevelType w:val="hybridMultilevel"/>
    <w:tmpl w:val="F31C1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6" w15:restartNumberingAfterBreak="0">
    <w:nsid w:val="370579D2"/>
    <w:multiLevelType w:val="hybridMultilevel"/>
    <w:tmpl w:val="BB122B5E"/>
    <w:lvl w:ilvl="0" w:tplc="61461EC4">
      <w:start w:val="1"/>
      <w:numFmt w:val="decimal"/>
      <w:pStyle w:val="BulletTerm"/>
      <w:lvlText w:val="%1."/>
      <w:lvlJc w:val="left"/>
      <w:pPr>
        <w:ind w:left="720" w:hanging="360"/>
      </w:pPr>
    </w:lvl>
    <w:lvl w:ilvl="1" w:tplc="B9BE4EFC" w:tentative="1">
      <w:start w:val="1"/>
      <w:numFmt w:val="lowerLetter"/>
      <w:lvlText w:val="%2."/>
      <w:lvlJc w:val="left"/>
      <w:pPr>
        <w:ind w:left="1440" w:hanging="360"/>
      </w:pPr>
    </w:lvl>
    <w:lvl w:ilvl="2" w:tplc="8D5A59F2" w:tentative="1">
      <w:start w:val="1"/>
      <w:numFmt w:val="lowerRoman"/>
      <w:lvlText w:val="%3."/>
      <w:lvlJc w:val="right"/>
      <w:pPr>
        <w:ind w:left="2160" w:hanging="180"/>
      </w:pPr>
    </w:lvl>
    <w:lvl w:ilvl="3" w:tplc="068EDFE2" w:tentative="1">
      <w:start w:val="1"/>
      <w:numFmt w:val="decimal"/>
      <w:lvlText w:val="%4."/>
      <w:lvlJc w:val="left"/>
      <w:pPr>
        <w:ind w:left="2880" w:hanging="360"/>
      </w:pPr>
    </w:lvl>
    <w:lvl w:ilvl="4" w:tplc="9104E5DE" w:tentative="1">
      <w:start w:val="1"/>
      <w:numFmt w:val="lowerLetter"/>
      <w:lvlText w:val="%5."/>
      <w:lvlJc w:val="left"/>
      <w:pPr>
        <w:ind w:left="3600" w:hanging="360"/>
      </w:pPr>
    </w:lvl>
    <w:lvl w:ilvl="5" w:tplc="279E4118" w:tentative="1">
      <w:start w:val="1"/>
      <w:numFmt w:val="lowerRoman"/>
      <w:lvlText w:val="%6."/>
      <w:lvlJc w:val="right"/>
      <w:pPr>
        <w:ind w:left="4320" w:hanging="180"/>
      </w:pPr>
    </w:lvl>
    <w:lvl w:ilvl="6" w:tplc="A10E0EE6" w:tentative="1">
      <w:start w:val="1"/>
      <w:numFmt w:val="decimal"/>
      <w:lvlText w:val="%7."/>
      <w:lvlJc w:val="left"/>
      <w:pPr>
        <w:ind w:left="5040" w:hanging="360"/>
      </w:pPr>
    </w:lvl>
    <w:lvl w:ilvl="7" w:tplc="016AAB46" w:tentative="1">
      <w:start w:val="1"/>
      <w:numFmt w:val="lowerLetter"/>
      <w:lvlText w:val="%8."/>
      <w:lvlJc w:val="left"/>
      <w:pPr>
        <w:ind w:left="5760" w:hanging="360"/>
      </w:pPr>
    </w:lvl>
    <w:lvl w:ilvl="8" w:tplc="0EF42128" w:tentative="1">
      <w:start w:val="1"/>
      <w:numFmt w:val="lowerRoman"/>
      <w:lvlText w:val="%9."/>
      <w:lvlJc w:val="right"/>
      <w:pPr>
        <w:ind w:left="6480" w:hanging="180"/>
      </w:pPr>
    </w:lvl>
  </w:abstractNum>
  <w:abstractNum w:abstractNumId="17" w15:restartNumberingAfterBreak="0">
    <w:nsid w:val="378C3EEA"/>
    <w:multiLevelType w:val="hybridMultilevel"/>
    <w:tmpl w:val="205E0EF0"/>
    <w:lvl w:ilvl="0" w:tplc="4A1EE61A">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2B54D3"/>
    <w:multiLevelType w:val="hybridMultilevel"/>
    <w:tmpl w:val="F10C18C6"/>
    <w:lvl w:ilvl="0" w:tplc="A9722A02">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9"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074763"/>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22" w15:restartNumberingAfterBreak="0">
    <w:nsid w:val="57DF4DE7"/>
    <w:multiLevelType w:val="multilevel"/>
    <w:tmpl w:val="AAAC2D8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5A1815F8"/>
    <w:multiLevelType w:val="hybridMultilevel"/>
    <w:tmpl w:val="768EB7B4"/>
    <w:lvl w:ilvl="0" w:tplc="04090001">
      <w:start w:val="1"/>
      <w:numFmt w:val="upperLetter"/>
      <w:lvlText w:val="Appendix %1."/>
      <w:lvlJc w:val="left"/>
      <w:rPr>
        <w:rFonts w:ascii="Arial Bold" w:hAnsi="Arial Bold" w:hint="default"/>
        <w:b/>
        <w:bCs w:val="0"/>
        <w:i w:val="0"/>
        <w:iCs w:val="0"/>
        <w:caps/>
        <w:smallCaps w:val="0"/>
        <w:strike w:val="0"/>
        <w:dstrike w:val="0"/>
        <w:outline w:val="0"/>
        <w:shadow w:val="0"/>
        <w:emboss w:val="0"/>
        <w:imprint w:val="0"/>
        <w:noProof w:val="0"/>
        <w:vanish w:val="0"/>
        <w:color w:val="ED7D31" w:themeColor="accent2"/>
        <w:spacing w:val="30"/>
        <w:kern w:val="0"/>
        <w:position w:val="0"/>
        <w:sz w:val="36"/>
        <w:u w:val="none"/>
        <w:effect w:val="none"/>
        <w:vertAlign w:val="baseline"/>
        <w:em w:val="none"/>
        <w:specVanish w:val="0"/>
      </w:rPr>
    </w:lvl>
    <w:lvl w:ilvl="1" w:tplc="04090003">
      <w:start w:val="1"/>
      <w:numFmt w:val="lowerLetter"/>
      <w:pStyle w:val="AppendixA1"/>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 w15:restartNumberingAfterBreak="0">
    <w:nsid w:val="5BCF66F2"/>
    <w:multiLevelType w:val="multilevel"/>
    <w:tmpl w:val="7C541E04"/>
    <w:lvl w:ilvl="0">
      <w:start w:val="1"/>
      <w:numFmt w:val="decimal"/>
      <w:lvlText w:val="%1."/>
      <w:lvlJc w:val="left"/>
      <w:pPr>
        <w:ind w:left="360" w:hanging="360"/>
      </w:pPr>
      <w:rPr>
        <w:rFonts w:hint="default"/>
      </w:rPr>
    </w:lvl>
    <w:lvl w:ilvl="1">
      <w:start w:val="1"/>
      <w:numFmt w:val="decimal"/>
      <w:isLgl/>
      <w:lvlText w:val="%1.%2"/>
      <w:lvlJc w:val="left"/>
      <w:pPr>
        <w:ind w:left="360" w:hanging="360"/>
      </w:p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5"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A4D2BF6"/>
    <w:multiLevelType w:val="hybridMultilevel"/>
    <w:tmpl w:val="87485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8804142">
    <w:abstractNumId w:val="9"/>
  </w:num>
  <w:num w:numId="2" w16cid:durableId="635261278">
    <w:abstractNumId w:val="15"/>
  </w:num>
  <w:num w:numId="3" w16cid:durableId="77216493">
    <w:abstractNumId w:val="8"/>
  </w:num>
  <w:num w:numId="4" w16cid:durableId="3326089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762482102">
    <w:abstractNumId w:val="10"/>
  </w:num>
  <w:num w:numId="6" w16cid:durableId="275523985">
    <w:abstractNumId w:val="21"/>
  </w:num>
  <w:num w:numId="7" w16cid:durableId="1066802184">
    <w:abstractNumId w:val="6"/>
  </w:num>
  <w:num w:numId="8" w16cid:durableId="292104655">
    <w:abstractNumId w:val="21"/>
  </w:num>
  <w:num w:numId="9" w16cid:durableId="1445803672">
    <w:abstractNumId w:val="6"/>
  </w:num>
  <w:num w:numId="10" w16cid:durableId="532153886">
    <w:abstractNumId w:val="21"/>
  </w:num>
  <w:num w:numId="11" w16cid:durableId="511457512">
    <w:abstractNumId w:val="6"/>
  </w:num>
  <w:num w:numId="12" w16cid:durableId="1254556151">
    <w:abstractNumId w:val="25"/>
  </w:num>
  <w:num w:numId="13" w16cid:durableId="711537677">
    <w:abstractNumId w:val="21"/>
  </w:num>
  <w:num w:numId="14" w16cid:durableId="809204001">
    <w:abstractNumId w:val="6"/>
  </w:num>
  <w:num w:numId="15" w16cid:durableId="1919057007">
    <w:abstractNumId w:val="4"/>
  </w:num>
  <w:num w:numId="16" w16cid:durableId="1685747983">
    <w:abstractNumId w:val="19"/>
  </w:num>
  <w:num w:numId="17" w16cid:durableId="889465302">
    <w:abstractNumId w:val="0"/>
  </w:num>
  <w:num w:numId="18" w16cid:durableId="1229001600">
    <w:abstractNumId w:val="21"/>
  </w:num>
  <w:num w:numId="19" w16cid:durableId="753865636">
    <w:abstractNumId w:val="6"/>
  </w:num>
  <w:num w:numId="20" w16cid:durableId="783381512">
    <w:abstractNumId w:val="4"/>
  </w:num>
  <w:num w:numId="21" w16cid:durableId="943079305">
    <w:abstractNumId w:val="0"/>
  </w:num>
  <w:num w:numId="22" w16cid:durableId="848104476">
    <w:abstractNumId w:val="18"/>
  </w:num>
  <w:num w:numId="23" w16cid:durableId="1002048464">
    <w:abstractNumId w:val="17"/>
  </w:num>
  <w:num w:numId="24" w16cid:durableId="864515752">
    <w:abstractNumId w:val="1"/>
  </w:num>
  <w:num w:numId="25" w16cid:durableId="964889351">
    <w:abstractNumId w:val="7"/>
  </w:num>
  <w:num w:numId="26" w16cid:durableId="1128937238">
    <w:abstractNumId w:val="3"/>
  </w:num>
  <w:num w:numId="27" w16cid:durableId="2046908288">
    <w:abstractNumId w:val="20"/>
  </w:num>
  <w:num w:numId="28" w16cid:durableId="372390396">
    <w:abstractNumId w:val="12"/>
  </w:num>
  <w:num w:numId="29" w16cid:durableId="891235646">
    <w:abstractNumId w:val="23"/>
  </w:num>
  <w:num w:numId="30" w16cid:durableId="1303733318">
    <w:abstractNumId w:val="16"/>
  </w:num>
  <w:num w:numId="31" w16cid:durableId="268660968">
    <w:abstractNumId w:val="2"/>
  </w:num>
  <w:num w:numId="32" w16cid:durableId="1457483208">
    <w:abstractNumId w:val="14"/>
  </w:num>
  <w:num w:numId="33" w16cid:durableId="1623883602">
    <w:abstractNumId w:val="5"/>
  </w:num>
  <w:num w:numId="34" w16cid:durableId="1234200684">
    <w:abstractNumId w:val="26"/>
  </w:num>
  <w:num w:numId="35" w16cid:durableId="1288194127">
    <w:abstractNumId w:val="13"/>
  </w:num>
  <w:num w:numId="36" w16cid:durableId="1301493450">
    <w:abstractNumId w:val="22"/>
  </w:num>
  <w:num w:numId="37" w16cid:durableId="603152184">
    <w:abstractNumId w:val="11"/>
  </w:num>
  <w:num w:numId="38" w16cid:durableId="113995999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savePreviewPicture/>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1139"/>
    <w:rsid w:val="0000116C"/>
    <w:rsid w:val="00011790"/>
    <w:rsid w:val="00011DEF"/>
    <w:rsid w:val="0001568A"/>
    <w:rsid w:val="00030723"/>
    <w:rsid w:val="000374AF"/>
    <w:rsid w:val="000440E1"/>
    <w:rsid w:val="00046F7B"/>
    <w:rsid w:val="00054F38"/>
    <w:rsid w:val="000576D6"/>
    <w:rsid w:val="00067D6C"/>
    <w:rsid w:val="000748CA"/>
    <w:rsid w:val="00080222"/>
    <w:rsid w:val="00082B6F"/>
    <w:rsid w:val="00091C0A"/>
    <w:rsid w:val="000920CF"/>
    <w:rsid w:val="0009228B"/>
    <w:rsid w:val="000A45D0"/>
    <w:rsid w:val="000B00EB"/>
    <w:rsid w:val="000B2909"/>
    <w:rsid w:val="000C1A20"/>
    <w:rsid w:val="000C3591"/>
    <w:rsid w:val="000C7580"/>
    <w:rsid w:val="000D66EC"/>
    <w:rsid w:val="000E4232"/>
    <w:rsid w:val="000E7A19"/>
    <w:rsid w:val="000F3C80"/>
    <w:rsid w:val="000F6A97"/>
    <w:rsid w:val="001030DE"/>
    <w:rsid w:val="0011171B"/>
    <w:rsid w:val="00114184"/>
    <w:rsid w:val="00117EFD"/>
    <w:rsid w:val="00126029"/>
    <w:rsid w:val="00137F4C"/>
    <w:rsid w:val="0014356F"/>
    <w:rsid w:val="00144A9D"/>
    <w:rsid w:val="00144FF8"/>
    <w:rsid w:val="00185E1B"/>
    <w:rsid w:val="0019088E"/>
    <w:rsid w:val="00190B90"/>
    <w:rsid w:val="00193755"/>
    <w:rsid w:val="0019492E"/>
    <w:rsid w:val="00195D0E"/>
    <w:rsid w:val="001A43D5"/>
    <w:rsid w:val="001A4E10"/>
    <w:rsid w:val="001A4F98"/>
    <w:rsid w:val="001B51E8"/>
    <w:rsid w:val="001E2AEB"/>
    <w:rsid w:val="001F18FB"/>
    <w:rsid w:val="001F6B22"/>
    <w:rsid w:val="00204A6E"/>
    <w:rsid w:val="002050DD"/>
    <w:rsid w:val="00205AEE"/>
    <w:rsid w:val="002213BB"/>
    <w:rsid w:val="00225864"/>
    <w:rsid w:val="00226097"/>
    <w:rsid w:val="00245FFF"/>
    <w:rsid w:val="00247F59"/>
    <w:rsid w:val="00251049"/>
    <w:rsid w:val="00274CA1"/>
    <w:rsid w:val="002777FC"/>
    <w:rsid w:val="0028408C"/>
    <w:rsid w:val="0029360E"/>
    <w:rsid w:val="00293EF0"/>
    <w:rsid w:val="002A0273"/>
    <w:rsid w:val="002A1F0E"/>
    <w:rsid w:val="002A728B"/>
    <w:rsid w:val="002B3D35"/>
    <w:rsid w:val="002B6F87"/>
    <w:rsid w:val="002C52F7"/>
    <w:rsid w:val="002E19E0"/>
    <w:rsid w:val="002E45E9"/>
    <w:rsid w:val="002F7B48"/>
    <w:rsid w:val="00307F69"/>
    <w:rsid w:val="00321A72"/>
    <w:rsid w:val="00322A12"/>
    <w:rsid w:val="00326141"/>
    <w:rsid w:val="00335D85"/>
    <w:rsid w:val="003456BF"/>
    <w:rsid w:val="00345BE1"/>
    <w:rsid w:val="00346019"/>
    <w:rsid w:val="0035397E"/>
    <w:rsid w:val="00367CC6"/>
    <w:rsid w:val="0037159F"/>
    <w:rsid w:val="00387592"/>
    <w:rsid w:val="003A4C39"/>
    <w:rsid w:val="003D0EFA"/>
    <w:rsid w:val="003F0C51"/>
    <w:rsid w:val="00401D30"/>
    <w:rsid w:val="0040267F"/>
    <w:rsid w:val="00413105"/>
    <w:rsid w:val="00426F7A"/>
    <w:rsid w:val="004279F3"/>
    <w:rsid w:val="00443EBE"/>
    <w:rsid w:val="00450032"/>
    <w:rsid w:val="004674B9"/>
    <w:rsid w:val="0049563B"/>
    <w:rsid w:val="00497B90"/>
    <w:rsid w:val="004A1203"/>
    <w:rsid w:val="004B636E"/>
    <w:rsid w:val="004E204E"/>
    <w:rsid w:val="004E4BF4"/>
    <w:rsid w:val="00512CA9"/>
    <w:rsid w:val="005131B8"/>
    <w:rsid w:val="00520DFD"/>
    <w:rsid w:val="00524B85"/>
    <w:rsid w:val="00545EBD"/>
    <w:rsid w:val="00553331"/>
    <w:rsid w:val="00574F2C"/>
    <w:rsid w:val="005759DD"/>
    <w:rsid w:val="005763BA"/>
    <w:rsid w:val="00583CA3"/>
    <w:rsid w:val="005A6547"/>
    <w:rsid w:val="005C2E60"/>
    <w:rsid w:val="005D2774"/>
    <w:rsid w:val="005D469A"/>
    <w:rsid w:val="005E2668"/>
    <w:rsid w:val="005F271C"/>
    <w:rsid w:val="005F5079"/>
    <w:rsid w:val="006007A0"/>
    <w:rsid w:val="0061795B"/>
    <w:rsid w:val="00637345"/>
    <w:rsid w:val="00637D70"/>
    <w:rsid w:val="00643F06"/>
    <w:rsid w:val="00645042"/>
    <w:rsid w:val="0066745C"/>
    <w:rsid w:val="00680092"/>
    <w:rsid w:val="00692393"/>
    <w:rsid w:val="006A6CCB"/>
    <w:rsid w:val="006B420C"/>
    <w:rsid w:val="006D280F"/>
    <w:rsid w:val="006E1E0E"/>
    <w:rsid w:val="006E28DF"/>
    <w:rsid w:val="006E7890"/>
    <w:rsid w:val="006F191B"/>
    <w:rsid w:val="00701158"/>
    <w:rsid w:val="0070545A"/>
    <w:rsid w:val="00727F43"/>
    <w:rsid w:val="00732088"/>
    <w:rsid w:val="00732CEE"/>
    <w:rsid w:val="0073411D"/>
    <w:rsid w:val="00745077"/>
    <w:rsid w:val="007474B9"/>
    <w:rsid w:val="0075718A"/>
    <w:rsid w:val="00760A73"/>
    <w:rsid w:val="00770466"/>
    <w:rsid w:val="00777B91"/>
    <w:rsid w:val="00781074"/>
    <w:rsid w:val="00782E7E"/>
    <w:rsid w:val="007831BB"/>
    <w:rsid w:val="007B2023"/>
    <w:rsid w:val="007E4391"/>
    <w:rsid w:val="007F408F"/>
    <w:rsid w:val="007F761C"/>
    <w:rsid w:val="0081121C"/>
    <w:rsid w:val="00814822"/>
    <w:rsid w:val="00817CEA"/>
    <w:rsid w:val="00835640"/>
    <w:rsid w:val="00857E9D"/>
    <w:rsid w:val="00876CFD"/>
    <w:rsid w:val="00890D3E"/>
    <w:rsid w:val="0089477C"/>
    <w:rsid w:val="008A69EF"/>
    <w:rsid w:val="008A7584"/>
    <w:rsid w:val="008B0C7D"/>
    <w:rsid w:val="008C25EE"/>
    <w:rsid w:val="008C2B22"/>
    <w:rsid w:val="008C5543"/>
    <w:rsid w:val="008C5CDC"/>
    <w:rsid w:val="008D6645"/>
    <w:rsid w:val="008D7FE1"/>
    <w:rsid w:val="008F35AE"/>
    <w:rsid w:val="00920B66"/>
    <w:rsid w:val="00924EFD"/>
    <w:rsid w:val="009307CE"/>
    <w:rsid w:val="009363D5"/>
    <w:rsid w:val="009412F6"/>
    <w:rsid w:val="00955546"/>
    <w:rsid w:val="00963D06"/>
    <w:rsid w:val="00977B78"/>
    <w:rsid w:val="00982A14"/>
    <w:rsid w:val="00982F8B"/>
    <w:rsid w:val="00987B63"/>
    <w:rsid w:val="0099337D"/>
    <w:rsid w:val="009B0D46"/>
    <w:rsid w:val="009B7215"/>
    <w:rsid w:val="009C06A0"/>
    <w:rsid w:val="009C70C1"/>
    <w:rsid w:val="009D3CC6"/>
    <w:rsid w:val="009D4373"/>
    <w:rsid w:val="009E2650"/>
    <w:rsid w:val="009F1CB3"/>
    <w:rsid w:val="009F2B1C"/>
    <w:rsid w:val="009F70E6"/>
    <w:rsid w:val="00A04347"/>
    <w:rsid w:val="00A11139"/>
    <w:rsid w:val="00A16679"/>
    <w:rsid w:val="00A20A2F"/>
    <w:rsid w:val="00A21473"/>
    <w:rsid w:val="00A360A1"/>
    <w:rsid w:val="00A4590E"/>
    <w:rsid w:val="00A45FD6"/>
    <w:rsid w:val="00A51C24"/>
    <w:rsid w:val="00A845AF"/>
    <w:rsid w:val="00A900CE"/>
    <w:rsid w:val="00AA0B13"/>
    <w:rsid w:val="00AA5317"/>
    <w:rsid w:val="00AA6E73"/>
    <w:rsid w:val="00AB09C4"/>
    <w:rsid w:val="00AB1222"/>
    <w:rsid w:val="00AD3676"/>
    <w:rsid w:val="00AF4EF0"/>
    <w:rsid w:val="00AF671C"/>
    <w:rsid w:val="00B364D8"/>
    <w:rsid w:val="00B438D1"/>
    <w:rsid w:val="00B548BF"/>
    <w:rsid w:val="00B57424"/>
    <w:rsid w:val="00B63CC6"/>
    <w:rsid w:val="00B65AC7"/>
    <w:rsid w:val="00B83869"/>
    <w:rsid w:val="00B86C0A"/>
    <w:rsid w:val="00B910B8"/>
    <w:rsid w:val="00B93938"/>
    <w:rsid w:val="00B96970"/>
    <w:rsid w:val="00BA13D8"/>
    <w:rsid w:val="00BA7024"/>
    <w:rsid w:val="00BC17A1"/>
    <w:rsid w:val="00BC20AA"/>
    <w:rsid w:val="00BD068F"/>
    <w:rsid w:val="00BD2080"/>
    <w:rsid w:val="00BD22A7"/>
    <w:rsid w:val="00BE611E"/>
    <w:rsid w:val="00BE6753"/>
    <w:rsid w:val="00BF2EFF"/>
    <w:rsid w:val="00C17A75"/>
    <w:rsid w:val="00C377F3"/>
    <w:rsid w:val="00C400E2"/>
    <w:rsid w:val="00C402C2"/>
    <w:rsid w:val="00C5060F"/>
    <w:rsid w:val="00C52865"/>
    <w:rsid w:val="00C5334B"/>
    <w:rsid w:val="00C56DF6"/>
    <w:rsid w:val="00C5750C"/>
    <w:rsid w:val="00C62805"/>
    <w:rsid w:val="00C6573A"/>
    <w:rsid w:val="00CB03BE"/>
    <w:rsid w:val="00CB0BDA"/>
    <w:rsid w:val="00CB4AD1"/>
    <w:rsid w:val="00CC40CF"/>
    <w:rsid w:val="00CD1F36"/>
    <w:rsid w:val="00CE3589"/>
    <w:rsid w:val="00CE4E4F"/>
    <w:rsid w:val="00D0659A"/>
    <w:rsid w:val="00D11EF9"/>
    <w:rsid w:val="00D1373A"/>
    <w:rsid w:val="00D143AA"/>
    <w:rsid w:val="00D15C58"/>
    <w:rsid w:val="00D217C3"/>
    <w:rsid w:val="00D2224C"/>
    <w:rsid w:val="00D27A92"/>
    <w:rsid w:val="00D353C5"/>
    <w:rsid w:val="00D357AF"/>
    <w:rsid w:val="00D37AF3"/>
    <w:rsid w:val="00D450E2"/>
    <w:rsid w:val="00D532D0"/>
    <w:rsid w:val="00D54A14"/>
    <w:rsid w:val="00D56DF4"/>
    <w:rsid w:val="00D65F3E"/>
    <w:rsid w:val="00D76CF5"/>
    <w:rsid w:val="00D822CA"/>
    <w:rsid w:val="00D86070"/>
    <w:rsid w:val="00DA4F3B"/>
    <w:rsid w:val="00DB07D2"/>
    <w:rsid w:val="00DC278B"/>
    <w:rsid w:val="00E14A6F"/>
    <w:rsid w:val="00E2195C"/>
    <w:rsid w:val="00E3398C"/>
    <w:rsid w:val="00E44CF2"/>
    <w:rsid w:val="00E458A0"/>
    <w:rsid w:val="00E46EE4"/>
    <w:rsid w:val="00E62A89"/>
    <w:rsid w:val="00E84CA5"/>
    <w:rsid w:val="00EB160A"/>
    <w:rsid w:val="00EC2BB7"/>
    <w:rsid w:val="00EC6134"/>
    <w:rsid w:val="00EC71EF"/>
    <w:rsid w:val="00EE46DD"/>
    <w:rsid w:val="00EE7190"/>
    <w:rsid w:val="00EF30F2"/>
    <w:rsid w:val="00EF73EA"/>
    <w:rsid w:val="00F11D50"/>
    <w:rsid w:val="00F2470C"/>
    <w:rsid w:val="00F24F5F"/>
    <w:rsid w:val="00F30EFE"/>
    <w:rsid w:val="00F3173C"/>
    <w:rsid w:val="00F37401"/>
    <w:rsid w:val="00F40E40"/>
    <w:rsid w:val="00F72B92"/>
    <w:rsid w:val="00F87EDF"/>
    <w:rsid w:val="00F94D43"/>
    <w:rsid w:val="00FA6ED5"/>
    <w:rsid w:val="00FB2944"/>
    <w:rsid w:val="00FC3782"/>
    <w:rsid w:val="00FC6BDC"/>
    <w:rsid w:val="00FE7F02"/>
    <w:rsid w:val="00FF116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8E39F92"/>
  <w15:chartTrackingRefBased/>
  <w15:docId w15:val="{48EA2DFB-0925-46B8-9AC2-830C4FC28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761C"/>
    <w:pPr>
      <w:spacing w:line="260" w:lineRule="atLeast"/>
      <w:jc w:val="both"/>
    </w:pPr>
    <w:rPr>
      <w:rFonts w:ascii="Palatino Linotype" w:hAnsi="Palatino Linotype"/>
      <w:color w:val="000000"/>
    </w:rPr>
  </w:style>
  <w:style w:type="paragraph" w:styleId="Heading1">
    <w:name w:val="heading 1"/>
    <w:aliases w:val="H-1 TOC,Heading 1 (1.0)"/>
    <w:basedOn w:val="Heading3"/>
    <w:next w:val="Normal"/>
    <w:link w:val="Heading1Char"/>
    <w:uiPriority w:val="9"/>
    <w:qFormat/>
    <w:rsid w:val="00A11139"/>
    <w:pPr>
      <w:numPr>
        <w:ilvl w:val="0"/>
      </w:numPr>
      <w:outlineLvl w:val="0"/>
    </w:pPr>
    <w:rPr>
      <w:rFonts w:ascii="Times New Roman" w:hAnsi="Times New Roman"/>
      <w:color w:val="auto"/>
    </w:rPr>
  </w:style>
  <w:style w:type="paragraph" w:styleId="Heading2">
    <w:name w:val="heading 2"/>
    <w:aliases w:val="Heading 2 (1.1),H2-TM"/>
    <w:basedOn w:val="Heading3"/>
    <w:next w:val="Normal"/>
    <w:link w:val="Heading2Char"/>
    <w:uiPriority w:val="9"/>
    <w:unhideWhenUsed/>
    <w:qFormat/>
    <w:rsid w:val="00A11139"/>
    <w:pPr>
      <w:numPr>
        <w:ilvl w:val="1"/>
      </w:numPr>
      <w:outlineLvl w:val="1"/>
    </w:pPr>
    <w:rPr>
      <w:rFonts w:ascii="Times New Roman" w:hAnsi="Times New Roman"/>
      <w:color w:val="auto"/>
    </w:rPr>
  </w:style>
  <w:style w:type="paragraph" w:styleId="Heading3">
    <w:name w:val="heading 3"/>
    <w:aliases w:val="Heading 3 (1.1.1)"/>
    <w:basedOn w:val="Normal"/>
    <w:next w:val="Normal"/>
    <w:link w:val="Heading3Char"/>
    <w:uiPriority w:val="9"/>
    <w:unhideWhenUsed/>
    <w:qFormat/>
    <w:rsid w:val="00A11139"/>
    <w:pPr>
      <w:keepNext/>
      <w:keepLines/>
      <w:numPr>
        <w:ilvl w:val="2"/>
        <w:numId w:val="24"/>
      </w:numPr>
      <w:spacing w:before="240" w:after="80" w:line="276" w:lineRule="auto"/>
      <w:jc w:val="left"/>
      <w:outlineLvl w:val="2"/>
    </w:pPr>
    <w:rPr>
      <w:rFonts w:ascii="Arial" w:eastAsia="MS Mincho" w:hAnsi="Arial"/>
      <w:b/>
      <w:bCs/>
      <w:color w:val="73A393"/>
      <w:sz w:val="22"/>
      <w:szCs w:val="22"/>
      <w:lang w:eastAsia="en-US"/>
    </w:rPr>
  </w:style>
  <w:style w:type="paragraph" w:styleId="Heading4">
    <w:name w:val="heading 4"/>
    <w:basedOn w:val="Normal"/>
    <w:next w:val="Normal"/>
    <w:link w:val="Heading4Char"/>
    <w:uiPriority w:val="9"/>
    <w:unhideWhenUsed/>
    <w:qFormat/>
    <w:rsid w:val="00225864"/>
    <w:pPr>
      <w:keepNext/>
      <w:keepLines/>
      <w:numPr>
        <w:ilvl w:val="3"/>
        <w:numId w:val="31"/>
      </w:numPr>
      <w:spacing w:before="120" w:line="276" w:lineRule="auto"/>
      <w:jc w:val="left"/>
      <w:outlineLvl w:val="3"/>
    </w:pPr>
    <w:rPr>
      <w:rFonts w:ascii="Arial" w:eastAsia="MS Mincho" w:hAnsi="Arial"/>
      <w:bCs/>
      <w:i/>
      <w:iCs/>
      <w:color w:val="767769"/>
      <w:sz w:val="22"/>
      <w:szCs w:val="22"/>
      <w:lang w:eastAsia="en-US"/>
    </w:rPr>
  </w:style>
  <w:style w:type="paragraph" w:styleId="Heading5">
    <w:name w:val="heading 5"/>
    <w:basedOn w:val="Normal"/>
    <w:next w:val="Normal"/>
    <w:link w:val="Heading5Char"/>
    <w:uiPriority w:val="9"/>
    <w:unhideWhenUsed/>
    <w:rsid w:val="00225864"/>
    <w:pPr>
      <w:keepNext/>
      <w:keepLines/>
      <w:numPr>
        <w:ilvl w:val="4"/>
        <w:numId w:val="31"/>
      </w:numPr>
      <w:spacing w:before="360" w:after="240" w:line="276" w:lineRule="auto"/>
      <w:jc w:val="left"/>
      <w:outlineLvl w:val="4"/>
    </w:pPr>
    <w:rPr>
      <w:rFonts w:ascii="Arial Narrow" w:eastAsia="MS Mincho" w:hAnsi="Arial Narrow"/>
      <w:b/>
      <w:color w:val="767769"/>
      <w:sz w:val="36"/>
      <w:szCs w:val="22"/>
      <w:lang w:eastAsia="en-US"/>
    </w:rPr>
  </w:style>
  <w:style w:type="paragraph" w:styleId="Heading6">
    <w:name w:val="heading 6"/>
    <w:basedOn w:val="Normal"/>
    <w:next w:val="Normal"/>
    <w:link w:val="Heading6Char"/>
    <w:uiPriority w:val="9"/>
    <w:unhideWhenUsed/>
    <w:rsid w:val="00225864"/>
    <w:pPr>
      <w:keepNext/>
      <w:keepLines/>
      <w:spacing w:before="40" w:after="240" w:line="276" w:lineRule="auto"/>
      <w:jc w:val="left"/>
      <w:outlineLvl w:val="5"/>
    </w:pPr>
    <w:rPr>
      <w:rFonts w:asciiTheme="majorHAnsi" w:eastAsiaTheme="majorEastAsia" w:hAnsiTheme="majorHAnsi" w:cstheme="majorBidi"/>
      <w:color w:val="1F3763" w:themeColor="accent1" w:themeShade="7F"/>
      <w:sz w:val="22"/>
      <w:szCs w:val="22"/>
      <w:lang w:eastAsia="en-US"/>
    </w:rPr>
  </w:style>
  <w:style w:type="paragraph" w:styleId="Heading7">
    <w:name w:val="heading 7"/>
    <w:aliases w:val="Appendix Headings"/>
    <w:basedOn w:val="Normal"/>
    <w:next w:val="Normal"/>
    <w:link w:val="Heading7Char"/>
    <w:uiPriority w:val="9"/>
    <w:unhideWhenUsed/>
    <w:qFormat/>
    <w:rsid w:val="00225864"/>
    <w:pPr>
      <w:numPr>
        <w:ilvl w:val="6"/>
        <w:numId w:val="31"/>
      </w:numPr>
      <w:pBdr>
        <w:bottom w:val="single" w:sz="8" w:space="1" w:color="ED7D31" w:themeColor="accent2"/>
      </w:pBdr>
      <w:spacing w:after="120" w:line="276" w:lineRule="auto"/>
      <w:jc w:val="left"/>
      <w:outlineLvl w:val="6"/>
    </w:pPr>
    <w:rPr>
      <w:rFonts w:ascii="Arial" w:eastAsia="MS Mincho" w:hAnsi="Arial"/>
      <w:b/>
      <w:bCs/>
      <w:caps/>
      <w:color w:val="ED7D31" w:themeColor="accent2"/>
      <w:spacing w:val="30"/>
      <w:sz w:val="32"/>
      <w:szCs w:val="22"/>
      <w:lang w:eastAsia="en-US"/>
    </w:rPr>
  </w:style>
  <w:style w:type="paragraph" w:styleId="Heading8">
    <w:name w:val="heading 8"/>
    <w:aliases w:val="A.1. Appendix"/>
    <w:basedOn w:val="Heading2"/>
    <w:next w:val="Normal"/>
    <w:link w:val="Heading8Char"/>
    <w:uiPriority w:val="9"/>
    <w:unhideWhenUsed/>
    <w:qFormat/>
    <w:rsid w:val="00225864"/>
    <w:pPr>
      <w:numPr>
        <w:ilvl w:val="0"/>
        <w:numId w:val="0"/>
      </w:numPr>
      <w:spacing w:before="200"/>
      <w:ind w:left="1440" w:hanging="1440"/>
      <w:outlineLvl w:val="7"/>
    </w:pPr>
    <w:rPr>
      <w:rFonts w:ascii="Arial Bold" w:eastAsiaTheme="majorEastAsia" w:hAnsi="Arial Bold" w:cstheme="majorBidi"/>
      <w:color w:val="44546A" w:themeColor="text2"/>
      <w:spacing w:val="26"/>
      <w:szCs w:val="21"/>
    </w:rPr>
  </w:style>
  <w:style w:type="paragraph" w:styleId="Heading9">
    <w:name w:val="heading 9"/>
    <w:aliases w:val="Heading 9. (A.1.1) Appendix"/>
    <w:basedOn w:val="Heading3"/>
    <w:next w:val="Normal"/>
    <w:link w:val="Heading9Char"/>
    <w:uiPriority w:val="9"/>
    <w:unhideWhenUsed/>
    <w:qFormat/>
    <w:rsid w:val="00225864"/>
    <w:pPr>
      <w:numPr>
        <w:ilvl w:val="0"/>
        <w:numId w:val="0"/>
      </w:numPr>
      <w:spacing w:before="200" w:after="120"/>
      <w:ind w:left="1440" w:hanging="1440"/>
      <w:outlineLvl w:val="8"/>
    </w:pPr>
    <w:rPr>
      <w:rFonts w:eastAsiaTheme="majorEastAsia" w:cstheme="majorBidi"/>
      <w:iCs/>
      <w:color w:val="A5A5A5" w:themeColor="accent3"/>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7F761C"/>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7F761C"/>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7F761C"/>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7F761C"/>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qFormat/>
    <w:rsid w:val="007F761C"/>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7F761C"/>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7F761C"/>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7F761C"/>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14356F"/>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7F761C"/>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7F761C"/>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7F761C"/>
    <w:rPr>
      <w:rFonts w:ascii="Palatino Linotype" w:hAnsi="Palatino Linotype"/>
      <w:noProof/>
      <w:color w:val="000000"/>
      <w:szCs w:val="18"/>
    </w:rPr>
  </w:style>
  <w:style w:type="paragraph" w:styleId="Header">
    <w:name w:val="header"/>
    <w:basedOn w:val="Normal"/>
    <w:link w:val="HeaderChar"/>
    <w:uiPriority w:val="99"/>
    <w:rsid w:val="007F761C"/>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7F761C"/>
    <w:rPr>
      <w:rFonts w:ascii="Palatino Linotype" w:hAnsi="Palatino Linotype"/>
      <w:noProof/>
      <w:color w:val="000000"/>
      <w:szCs w:val="18"/>
    </w:rPr>
  </w:style>
  <w:style w:type="paragraph" w:customStyle="1" w:styleId="MDPIheaderjournallogo">
    <w:name w:val="MDPI_header_journal_logo"/>
    <w:qFormat/>
    <w:rsid w:val="007F761C"/>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7F761C"/>
    <w:pPr>
      <w:ind w:firstLine="0"/>
    </w:pPr>
  </w:style>
  <w:style w:type="paragraph" w:customStyle="1" w:styleId="MDPI31text">
    <w:name w:val="MDPI_3.1_text"/>
    <w:qFormat/>
    <w:rsid w:val="00977B7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7F761C"/>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7F761C"/>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7F761C"/>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A360A1"/>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A360A1"/>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7F761C"/>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7F761C"/>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7F761C"/>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AF671C"/>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7F761C"/>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7F761C"/>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7F761C"/>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footerfirstpage">
    <w:name w:val="MDPI_footer_firstpage"/>
    <w:qFormat/>
    <w:rsid w:val="007F761C"/>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7F761C"/>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7F761C"/>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7F761C"/>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01568A"/>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7F761C"/>
    <w:rPr>
      <w:rFonts w:cs="Tahoma"/>
      <w:szCs w:val="18"/>
    </w:rPr>
  </w:style>
  <w:style w:type="character" w:customStyle="1" w:styleId="BalloonTextChar">
    <w:name w:val="Balloon Text Char"/>
    <w:link w:val="BalloonText"/>
    <w:uiPriority w:val="99"/>
    <w:rsid w:val="007F761C"/>
    <w:rPr>
      <w:rFonts w:ascii="Palatino Linotype" w:hAnsi="Palatino Linotype" w:cs="Tahoma"/>
      <w:noProof/>
      <w:color w:val="000000"/>
      <w:szCs w:val="18"/>
    </w:rPr>
  </w:style>
  <w:style w:type="character" w:styleId="LineNumber">
    <w:name w:val="line number"/>
    <w:uiPriority w:val="99"/>
    <w:rsid w:val="00C62805"/>
    <w:rPr>
      <w:rFonts w:ascii="Palatino Linotype" w:hAnsi="Palatino Linotype"/>
      <w:sz w:val="16"/>
    </w:rPr>
  </w:style>
  <w:style w:type="table" w:customStyle="1" w:styleId="MDPI41threelinetable">
    <w:name w:val="MDPI_4.1_three_line_table"/>
    <w:basedOn w:val="TableNormal"/>
    <w:uiPriority w:val="99"/>
    <w:rsid w:val="007F761C"/>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7F761C"/>
    <w:rPr>
      <w:color w:val="0000FF"/>
      <w:u w:val="single"/>
    </w:rPr>
  </w:style>
  <w:style w:type="character" w:styleId="UnresolvedMention">
    <w:name w:val="Unresolved Mention"/>
    <w:uiPriority w:val="99"/>
    <w:unhideWhenUsed/>
    <w:rsid w:val="009F2B1C"/>
    <w:rPr>
      <w:color w:val="605E5C"/>
      <w:shd w:val="clear" w:color="auto" w:fill="E1DFDD"/>
    </w:rPr>
  </w:style>
  <w:style w:type="table" w:styleId="PlainTable4">
    <w:name w:val="Plain Table 4"/>
    <w:basedOn w:val="TableNormal"/>
    <w:uiPriority w:val="44"/>
    <w:rsid w:val="00046F7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7F761C"/>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7F761C"/>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7F761C"/>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7F761C"/>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7F761C"/>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7F761C"/>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D2224C"/>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7F761C"/>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7F761C"/>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7F761C"/>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B364D8"/>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7F761C"/>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7F761C"/>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7F761C"/>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7F761C"/>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7F761C"/>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7F761C"/>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7F761C"/>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7F761C"/>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7F761C"/>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7F761C"/>
  </w:style>
  <w:style w:type="paragraph" w:styleId="Bibliography">
    <w:name w:val="Bibliography"/>
    <w:basedOn w:val="Normal"/>
    <w:next w:val="Normal"/>
    <w:uiPriority w:val="37"/>
    <w:unhideWhenUsed/>
    <w:rsid w:val="002F7B48"/>
    <w:pPr>
      <w:tabs>
        <w:tab w:val="left" w:pos="624"/>
      </w:tabs>
      <w:spacing w:line="240" w:lineRule="atLeast"/>
      <w:ind w:left="624" w:hanging="624"/>
    </w:pPr>
    <w:rPr>
      <w:sz w:val="18"/>
    </w:rPr>
  </w:style>
  <w:style w:type="paragraph" w:styleId="BodyText">
    <w:name w:val="Body Text"/>
    <w:link w:val="BodyTextChar"/>
    <w:rsid w:val="007F761C"/>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7F761C"/>
    <w:rPr>
      <w:rFonts w:ascii="Palatino Linotype" w:hAnsi="Palatino Linotype"/>
      <w:color w:val="000000"/>
      <w:sz w:val="24"/>
      <w:lang w:eastAsia="de-DE"/>
    </w:rPr>
  </w:style>
  <w:style w:type="character" w:styleId="CommentReference">
    <w:name w:val="annotation reference"/>
    <w:uiPriority w:val="99"/>
    <w:rsid w:val="007F761C"/>
    <w:rPr>
      <w:sz w:val="21"/>
      <w:szCs w:val="21"/>
    </w:rPr>
  </w:style>
  <w:style w:type="paragraph" w:styleId="CommentText">
    <w:name w:val="annotation text"/>
    <w:basedOn w:val="Normal"/>
    <w:link w:val="CommentTextChar"/>
    <w:uiPriority w:val="99"/>
    <w:rsid w:val="007F761C"/>
  </w:style>
  <w:style w:type="character" w:customStyle="1" w:styleId="CommentTextChar">
    <w:name w:val="Comment Text Char"/>
    <w:link w:val="CommentText"/>
    <w:uiPriority w:val="99"/>
    <w:rsid w:val="007F761C"/>
    <w:rPr>
      <w:rFonts w:ascii="Palatino Linotype" w:hAnsi="Palatino Linotype"/>
      <w:noProof/>
      <w:color w:val="000000"/>
    </w:rPr>
  </w:style>
  <w:style w:type="paragraph" w:styleId="CommentSubject">
    <w:name w:val="annotation subject"/>
    <w:basedOn w:val="CommentText"/>
    <w:next w:val="CommentText"/>
    <w:link w:val="CommentSubjectChar"/>
    <w:uiPriority w:val="99"/>
    <w:rsid w:val="007F761C"/>
    <w:rPr>
      <w:b/>
      <w:bCs/>
    </w:rPr>
  </w:style>
  <w:style w:type="character" w:customStyle="1" w:styleId="CommentSubjectChar">
    <w:name w:val="Comment Subject Char"/>
    <w:link w:val="CommentSubject"/>
    <w:uiPriority w:val="99"/>
    <w:rsid w:val="007F761C"/>
    <w:rPr>
      <w:rFonts w:ascii="Palatino Linotype" w:hAnsi="Palatino Linotype"/>
      <w:b/>
      <w:bCs/>
      <w:noProof/>
      <w:color w:val="000000"/>
    </w:rPr>
  </w:style>
  <w:style w:type="character" w:styleId="EndnoteReference">
    <w:name w:val="endnote reference"/>
    <w:uiPriority w:val="99"/>
    <w:rsid w:val="007F761C"/>
    <w:rPr>
      <w:vertAlign w:val="superscript"/>
    </w:rPr>
  </w:style>
  <w:style w:type="paragraph" w:styleId="EndnoteText">
    <w:name w:val="endnote text"/>
    <w:basedOn w:val="Normal"/>
    <w:link w:val="EndnoteTextChar"/>
    <w:semiHidden/>
    <w:unhideWhenUsed/>
    <w:rsid w:val="007F761C"/>
    <w:pPr>
      <w:spacing w:line="240" w:lineRule="auto"/>
    </w:pPr>
  </w:style>
  <w:style w:type="character" w:customStyle="1" w:styleId="EndnoteTextChar">
    <w:name w:val="Endnote Text Char"/>
    <w:link w:val="EndnoteText"/>
    <w:semiHidden/>
    <w:rsid w:val="007F761C"/>
    <w:rPr>
      <w:rFonts w:ascii="Palatino Linotype" w:hAnsi="Palatino Linotype"/>
      <w:noProof/>
      <w:color w:val="000000"/>
    </w:rPr>
  </w:style>
  <w:style w:type="character" w:styleId="FollowedHyperlink">
    <w:name w:val="FollowedHyperlink"/>
    <w:uiPriority w:val="99"/>
    <w:rsid w:val="007F761C"/>
    <w:rPr>
      <w:color w:val="954F72"/>
      <w:u w:val="single"/>
    </w:rPr>
  </w:style>
  <w:style w:type="paragraph" w:styleId="FootnoteText">
    <w:name w:val="footnote text"/>
    <w:basedOn w:val="Normal"/>
    <w:link w:val="FootnoteTextChar"/>
    <w:uiPriority w:val="99"/>
    <w:unhideWhenUsed/>
    <w:rsid w:val="007F761C"/>
    <w:pPr>
      <w:spacing w:line="240" w:lineRule="auto"/>
    </w:pPr>
  </w:style>
  <w:style w:type="character" w:customStyle="1" w:styleId="FootnoteTextChar">
    <w:name w:val="Footnote Text Char"/>
    <w:link w:val="FootnoteText"/>
    <w:uiPriority w:val="99"/>
    <w:rsid w:val="007F761C"/>
    <w:rPr>
      <w:rFonts w:ascii="Palatino Linotype" w:hAnsi="Palatino Linotype"/>
      <w:noProof/>
      <w:color w:val="000000"/>
    </w:rPr>
  </w:style>
  <w:style w:type="paragraph" w:styleId="NormalWeb">
    <w:name w:val="Normal (Web)"/>
    <w:basedOn w:val="Normal"/>
    <w:uiPriority w:val="99"/>
    <w:rsid w:val="007F761C"/>
    <w:rPr>
      <w:szCs w:val="24"/>
    </w:rPr>
  </w:style>
  <w:style w:type="paragraph" w:customStyle="1" w:styleId="MsoFootnoteText0">
    <w:name w:val="MsoFootnoteText"/>
    <w:basedOn w:val="NormalWeb"/>
    <w:qFormat/>
    <w:rsid w:val="007F761C"/>
    <w:rPr>
      <w:rFonts w:ascii="Times New Roman" w:hAnsi="Times New Roman"/>
    </w:rPr>
  </w:style>
  <w:style w:type="character" w:styleId="PageNumber">
    <w:name w:val="page number"/>
    <w:uiPriority w:val="99"/>
    <w:rsid w:val="007F761C"/>
  </w:style>
  <w:style w:type="character" w:styleId="PlaceholderText">
    <w:name w:val="Placeholder Text"/>
    <w:uiPriority w:val="99"/>
    <w:semiHidden/>
    <w:rsid w:val="007F761C"/>
    <w:rPr>
      <w:color w:val="808080"/>
    </w:rPr>
  </w:style>
  <w:style w:type="paragraph" w:customStyle="1" w:styleId="MDPI71FootNotes">
    <w:name w:val="MDPI_7.1_FootNotes"/>
    <w:qFormat/>
    <w:rsid w:val="007F408F"/>
    <w:pPr>
      <w:numPr>
        <w:numId w:val="21"/>
      </w:numPr>
      <w:adjustRightInd w:val="0"/>
      <w:snapToGrid w:val="0"/>
      <w:spacing w:line="228" w:lineRule="auto"/>
    </w:pPr>
    <w:rPr>
      <w:rFonts w:ascii="Palatino Linotype" w:eastAsiaTheme="minorEastAsia" w:hAnsi="Palatino Linotype"/>
      <w:noProof/>
      <w:color w:val="000000"/>
      <w:sz w:val="18"/>
    </w:rPr>
  </w:style>
  <w:style w:type="paragraph" w:customStyle="1" w:styleId="TableParagraph">
    <w:name w:val="Table Paragraph"/>
    <w:basedOn w:val="Normal"/>
    <w:uiPriority w:val="1"/>
    <w:qFormat/>
    <w:rsid w:val="00A11139"/>
    <w:pPr>
      <w:widowControl w:val="0"/>
      <w:autoSpaceDE w:val="0"/>
      <w:autoSpaceDN w:val="0"/>
      <w:spacing w:before="49" w:after="49" w:line="276" w:lineRule="auto"/>
      <w:contextualSpacing/>
      <w:jc w:val="left"/>
    </w:pPr>
    <w:rPr>
      <w:rFonts w:ascii="Times New Roman" w:eastAsia="Times New Roman" w:hAnsi="Times New Roman"/>
      <w:color w:val="auto"/>
      <w:sz w:val="22"/>
      <w:szCs w:val="22"/>
      <w:lang w:eastAsia="en-US"/>
    </w:rPr>
  </w:style>
  <w:style w:type="paragraph" w:styleId="Caption">
    <w:name w:val="caption"/>
    <w:aliases w:val="Figure Caption"/>
    <w:basedOn w:val="Normal"/>
    <w:next w:val="Normal"/>
    <w:link w:val="CaptionChar"/>
    <w:uiPriority w:val="35"/>
    <w:unhideWhenUsed/>
    <w:qFormat/>
    <w:rsid w:val="00A11139"/>
    <w:pPr>
      <w:spacing w:before="120" w:after="120" w:line="240" w:lineRule="auto"/>
      <w:jc w:val="left"/>
    </w:pPr>
    <w:rPr>
      <w:rFonts w:ascii="Arial" w:eastAsia="MS Mincho" w:hAnsi="Arial"/>
      <w:bCs/>
      <w:i/>
      <w:color w:val="000000" w:themeColor="text1"/>
      <w:sz w:val="18"/>
      <w:szCs w:val="18"/>
      <w:lang w:eastAsia="en-US"/>
    </w:rPr>
  </w:style>
  <w:style w:type="character" w:customStyle="1" w:styleId="CaptionChar">
    <w:name w:val="Caption Char"/>
    <w:aliases w:val="Figure Caption Char"/>
    <w:basedOn w:val="DefaultParagraphFont"/>
    <w:link w:val="Caption"/>
    <w:uiPriority w:val="35"/>
    <w:rsid w:val="00A11139"/>
    <w:rPr>
      <w:rFonts w:ascii="Arial" w:eastAsia="MS Mincho" w:hAnsi="Arial"/>
      <w:bCs/>
      <w:i/>
      <w:color w:val="000000" w:themeColor="text1"/>
      <w:sz w:val="18"/>
      <w:szCs w:val="18"/>
      <w:lang w:eastAsia="en-US"/>
    </w:rPr>
  </w:style>
  <w:style w:type="character" w:customStyle="1" w:styleId="Heading1Char">
    <w:name w:val="Heading 1 Char"/>
    <w:aliases w:val="H-1 TOC Char,Heading 1 (1.0) Char"/>
    <w:basedOn w:val="DefaultParagraphFont"/>
    <w:link w:val="Heading1"/>
    <w:uiPriority w:val="9"/>
    <w:rsid w:val="00A11139"/>
    <w:rPr>
      <w:rFonts w:ascii="Times New Roman" w:eastAsia="MS Mincho" w:hAnsi="Times New Roman"/>
      <w:b/>
      <w:bCs/>
      <w:sz w:val="22"/>
      <w:szCs w:val="22"/>
      <w:lang w:eastAsia="en-US"/>
    </w:rPr>
  </w:style>
  <w:style w:type="character" w:customStyle="1" w:styleId="Heading2Char">
    <w:name w:val="Heading 2 Char"/>
    <w:aliases w:val="Heading 2 (1.1) Char,H2-TM Char"/>
    <w:basedOn w:val="DefaultParagraphFont"/>
    <w:link w:val="Heading2"/>
    <w:uiPriority w:val="9"/>
    <w:rsid w:val="00A11139"/>
    <w:rPr>
      <w:rFonts w:ascii="Times New Roman" w:eastAsia="MS Mincho" w:hAnsi="Times New Roman"/>
      <w:b/>
      <w:bCs/>
      <w:sz w:val="22"/>
      <w:szCs w:val="22"/>
      <w:lang w:eastAsia="en-US"/>
    </w:rPr>
  </w:style>
  <w:style w:type="character" w:customStyle="1" w:styleId="Heading3Char">
    <w:name w:val="Heading 3 Char"/>
    <w:aliases w:val="Heading 3 (1.1.1) Char"/>
    <w:basedOn w:val="DefaultParagraphFont"/>
    <w:link w:val="Heading3"/>
    <w:uiPriority w:val="9"/>
    <w:rsid w:val="00A11139"/>
    <w:rPr>
      <w:rFonts w:ascii="Arial" w:eastAsia="MS Mincho" w:hAnsi="Arial"/>
      <w:b/>
      <w:bCs/>
      <w:color w:val="73A393"/>
      <w:sz w:val="22"/>
      <w:szCs w:val="22"/>
      <w:lang w:eastAsia="en-US"/>
    </w:rPr>
  </w:style>
  <w:style w:type="table" w:styleId="PlainTable2">
    <w:name w:val="Plain Table 2"/>
    <w:basedOn w:val="TableNormal"/>
    <w:uiPriority w:val="42"/>
    <w:rsid w:val="009412F6"/>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4Char">
    <w:name w:val="Heading 4 Char"/>
    <w:basedOn w:val="DefaultParagraphFont"/>
    <w:link w:val="Heading4"/>
    <w:uiPriority w:val="9"/>
    <w:rsid w:val="00225864"/>
    <w:rPr>
      <w:rFonts w:ascii="Arial" w:eastAsia="MS Mincho" w:hAnsi="Arial"/>
      <w:bCs/>
      <w:i/>
      <w:iCs/>
      <w:color w:val="767769"/>
      <w:sz w:val="22"/>
      <w:szCs w:val="22"/>
      <w:lang w:eastAsia="en-US"/>
    </w:rPr>
  </w:style>
  <w:style w:type="character" w:customStyle="1" w:styleId="Heading5Char">
    <w:name w:val="Heading 5 Char"/>
    <w:basedOn w:val="DefaultParagraphFont"/>
    <w:link w:val="Heading5"/>
    <w:uiPriority w:val="9"/>
    <w:rsid w:val="00225864"/>
    <w:rPr>
      <w:rFonts w:ascii="Arial Narrow" w:eastAsia="MS Mincho" w:hAnsi="Arial Narrow"/>
      <w:b/>
      <w:color w:val="767769"/>
      <w:sz w:val="36"/>
      <w:szCs w:val="22"/>
      <w:lang w:eastAsia="en-US"/>
    </w:rPr>
  </w:style>
  <w:style w:type="character" w:customStyle="1" w:styleId="Heading6Char">
    <w:name w:val="Heading 6 Char"/>
    <w:basedOn w:val="DefaultParagraphFont"/>
    <w:link w:val="Heading6"/>
    <w:uiPriority w:val="9"/>
    <w:rsid w:val="00225864"/>
    <w:rPr>
      <w:rFonts w:asciiTheme="majorHAnsi" w:eastAsiaTheme="majorEastAsia" w:hAnsiTheme="majorHAnsi" w:cstheme="majorBidi"/>
      <w:color w:val="1F3763" w:themeColor="accent1" w:themeShade="7F"/>
      <w:sz w:val="22"/>
      <w:szCs w:val="22"/>
      <w:lang w:eastAsia="en-US"/>
    </w:rPr>
  </w:style>
  <w:style w:type="character" w:customStyle="1" w:styleId="Heading7Char">
    <w:name w:val="Heading 7 Char"/>
    <w:aliases w:val="Appendix Headings Char"/>
    <w:basedOn w:val="DefaultParagraphFont"/>
    <w:link w:val="Heading7"/>
    <w:uiPriority w:val="9"/>
    <w:rsid w:val="00225864"/>
    <w:rPr>
      <w:rFonts w:ascii="Arial" w:eastAsia="MS Mincho" w:hAnsi="Arial"/>
      <w:b/>
      <w:bCs/>
      <w:caps/>
      <w:color w:val="ED7D31" w:themeColor="accent2"/>
      <w:spacing w:val="30"/>
      <w:sz w:val="32"/>
      <w:szCs w:val="22"/>
      <w:lang w:eastAsia="en-US"/>
    </w:rPr>
  </w:style>
  <w:style w:type="character" w:customStyle="1" w:styleId="Heading8Char">
    <w:name w:val="Heading 8 Char"/>
    <w:aliases w:val="A.1. Appendix Char"/>
    <w:basedOn w:val="DefaultParagraphFont"/>
    <w:link w:val="Heading8"/>
    <w:uiPriority w:val="9"/>
    <w:rsid w:val="00225864"/>
    <w:rPr>
      <w:rFonts w:ascii="Arial Bold" w:eastAsiaTheme="majorEastAsia" w:hAnsi="Arial Bold" w:cstheme="majorBidi"/>
      <w:b/>
      <w:bCs/>
      <w:color w:val="44546A" w:themeColor="text2"/>
      <w:spacing w:val="26"/>
      <w:sz w:val="22"/>
      <w:szCs w:val="21"/>
      <w:lang w:eastAsia="en-US"/>
    </w:rPr>
  </w:style>
  <w:style w:type="character" w:customStyle="1" w:styleId="Heading9Char">
    <w:name w:val="Heading 9 Char"/>
    <w:aliases w:val="Heading 9. (A.1.1) Appendix Char"/>
    <w:basedOn w:val="DefaultParagraphFont"/>
    <w:link w:val="Heading9"/>
    <w:uiPriority w:val="9"/>
    <w:rsid w:val="00225864"/>
    <w:rPr>
      <w:rFonts w:ascii="Arial" w:eastAsiaTheme="majorEastAsia" w:hAnsi="Arial" w:cstheme="majorBidi"/>
      <w:b/>
      <w:bCs/>
      <w:iCs/>
      <w:color w:val="A5A5A5" w:themeColor="accent3"/>
      <w:sz w:val="22"/>
      <w:szCs w:val="21"/>
      <w:lang w:eastAsia="en-US"/>
    </w:rPr>
  </w:style>
  <w:style w:type="table" w:customStyle="1" w:styleId="Style2">
    <w:name w:val="Style2"/>
    <w:basedOn w:val="TableNormal"/>
    <w:uiPriority w:val="99"/>
    <w:rsid w:val="00225864"/>
    <w:rPr>
      <w:rFonts w:ascii="Times New Roman" w:eastAsia="MS Mincho" w:hAnsi="Times New Roman"/>
      <w:lang w:eastAsia="en-U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tcPr>
    <w:tblStylePr w:type="firstRow">
      <w:rPr>
        <w:rFonts w:ascii="Times New Roman" w:hAnsi="Times New Roman"/>
        <w:b/>
        <w:color w:val="FFFFFF" w:themeColor="background1"/>
        <w:sz w:val="22"/>
      </w:rPr>
      <w:tblPr/>
      <w:tcPr>
        <w:tcBorders>
          <w:top w:val="single" w:sz="8" w:space="0" w:color="auto"/>
          <w:left w:val="single" w:sz="8" w:space="0" w:color="auto"/>
          <w:bottom w:val="single" w:sz="8" w:space="0" w:color="auto"/>
          <w:right w:val="single" w:sz="8" w:space="0" w:color="auto"/>
          <w:insideH w:val="single" w:sz="8" w:space="0" w:color="auto"/>
          <w:insideV w:val="single" w:sz="8" w:space="0" w:color="auto"/>
        </w:tcBorders>
        <w:shd w:val="clear" w:color="auto" w:fill="A5A5A5" w:themeFill="accent3"/>
      </w:tcPr>
    </w:tblStylePr>
    <w:tblStylePr w:type="firstCol">
      <w:rPr>
        <w:b w:val="0"/>
      </w:rPr>
    </w:tblStylePr>
    <w:tblStylePr w:type="band1Horz">
      <w:tblPr/>
      <w:tcPr>
        <w:shd w:val="clear" w:color="auto" w:fill="FFFFFF" w:themeFill="background1"/>
      </w:tcPr>
    </w:tblStylePr>
    <w:tblStylePr w:type="band2Horz">
      <w:rPr>
        <w:rFonts w:ascii="Times New Roman" w:hAnsi="Times New Roman"/>
        <w:color w:val="auto"/>
        <w:sz w:val="20"/>
      </w:rPr>
      <w:tblPr/>
      <w:tcPr>
        <w:shd w:val="clear" w:color="auto" w:fill="CCCCCC" w:themeFill="text1" w:themeFillTint="33"/>
      </w:tcPr>
    </w:tblStylePr>
  </w:style>
  <w:style w:type="table" w:customStyle="1" w:styleId="Style4">
    <w:name w:val="Style4"/>
    <w:basedOn w:val="TableNormal"/>
    <w:uiPriority w:val="99"/>
    <w:rsid w:val="00225864"/>
    <w:rPr>
      <w:rFonts w:ascii="Arial Narrow" w:eastAsia="MS Mincho" w:hAnsi="Arial Narrow"/>
      <w:lang w:eastAsia="en-US"/>
    </w:rPr>
    <w:tblPr/>
  </w:style>
  <w:style w:type="paragraph" w:styleId="Subtitle">
    <w:name w:val="Subtitle"/>
    <w:aliases w:val="Subtitle - Author"/>
    <w:basedOn w:val="Normal"/>
    <w:next w:val="Normal"/>
    <w:link w:val="SubtitleChar"/>
    <w:autoRedefine/>
    <w:uiPriority w:val="11"/>
    <w:qFormat/>
    <w:rsid w:val="00225864"/>
    <w:pPr>
      <w:numPr>
        <w:ilvl w:val="1"/>
      </w:numPr>
      <w:spacing w:before="480" w:after="240" w:line="276" w:lineRule="auto"/>
      <w:jc w:val="left"/>
    </w:pPr>
    <w:rPr>
      <w:rFonts w:ascii="Arial Narrow Bold" w:eastAsia="MS Mincho" w:hAnsi="Arial Narrow Bold"/>
      <w:b/>
      <w:bCs/>
      <w:caps/>
      <w:color w:val="73A393"/>
      <w:spacing w:val="20"/>
      <w:sz w:val="32"/>
      <w:szCs w:val="32"/>
      <w:lang w:eastAsia="en-US"/>
    </w:rPr>
  </w:style>
  <w:style w:type="character" w:customStyle="1" w:styleId="SubtitleChar">
    <w:name w:val="Subtitle Char"/>
    <w:aliases w:val="Subtitle - Author Char"/>
    <w:basedOn w:val="DefaultParagraphFont"/>
    <w:link w:val="Subtitle"/>
    <w:uiPriority w:val="11"/>
    <w:rsid w:val="00225864"/>
    <w:rPr>
      <w:rFonts w:ascii="Arial Narrow Bold" w:eastAsia="MS Mincho" w:hAnsi="Arial Narrow Bold"/>
      <w:b/>
      <w:bCs/>
      <w:caps/>
      <w:color w:val="73A393"/>
      <w:spacing w:val="20"/>
      <w:sz w:val="32"/>
      <w:szCs w:val="32"/>
      <w:lang w:eastAsia="en-US"/>
    </w:rPr>
  </w:style>
  <w:style w:type="paragraph" w:styleId="Title">
    <w:name w:val="Title"/>
    <w:basedOn w:val="Normal"/>
    <w:next w:val="Normal"/>
    <w:link w:val="TitleChar"/>
    <w:autoRedefine/>
    <w:uiPriority w:val="10"/>
    <w:qFormat/>
    <w:rsid w:val="00225864"/>
    <w:pPr>
      <w:suppressAutoHyphens/>
      <w:spacing w:before="360" w:after="120" w:line="240" w:lineRule="auto"/>
      <w:contextualSpacing/>
      <w:jc w:val="left"/>
    </w:pPr>
    <w:rPr>
      <w:rFonts w:ascii="Arial Bold" w:eastAsia="MS Mincho" w:hAnsi="Arial Bold" w:cs="Arial"/>
      <w:b/>
      <w:bCs/>
      <w:caps/>
      <w:color w:val="767769"/>
      <w:spacing w:val="30"/>
      <w:kern w:val="28"/>
      <w:sz w:val="44"/>
      <w:szCs w:val="44"/>
      <w:lang w:eastAsia="en-US"/>
    </w:rPr>
  </w:style>
  <w:style w:type="character" w:customStyle="1" w:styleId="TitleChar">
    <w:name w:val="Title Char"/>
    <w:basedOn w:val="DefaultParagraphFont"/>
    <w:link w:val="Title"/>
    <w:uiPriority w:val="10"/>
    <w:rsid w:val="00225864"/>
    <w:rPr>
      <w:rFonts w:ascii="Arial Bold" w:eastAsia="MS Mincho" w:hAnsi="Arial Bold" w:cs="Arial"/>
      <w:b/>
      <w:bCs/>
      <w:caps/>
      <w:color w:val="767769"/>
      <w:spacing w:val="30"/>
      <w:kern w:val="28"/>
      <w:sz w:val="44"/>
      <w:szCs w:val="44"/>
      <w:lang w:eastAsia="en-US"/>
    </w:rPr>
  </w:style>
  <w:style w:type="paragraph" w:styleId="ListParagraph">
    <w:name w:val="List Paragraph"/>
    <w:aliases w:val="Bullet L1,List Bullet 1"/>
    <w:basedOn w:val="Normal"/>
    <w:uiPriority w:val="34"/>
    <w:qFormat/>
    <w:rsid w:val="00225864"/>
    <w:pPr>
      <w:numPr>
        <w:numId w:val="25"/>
      </w:numPr>
      <w:spacing w:after="120" w:line="276" w:lineRule="auto"/>
      <w:jc w:val="left"/>
    </w:pPr>
    <w:rPr>
      <w:rFonts w:ascii="Times New Roman" w:eastAsia="MS Mincho" w:hAnsi="Times New Roman"/>
      <w:color w:val="auto"/>
      <w:sz w:val="22"/>
      <w:szCs w:val="22"/>
      <w:lang w:eastAsia="en-US"/>
    </w:rPr>
  </w:style>
  <w:style w:type="paragraph" w:styleId="ListBullet2">
    <w:name w:val="List Bullet 2"/>
    <w:aliases w:val="Bullet L2"/>
    <w:basedOn w:val="ListParagraph"/>
    <w:uiPriority w:val="99"/>
    <w:unhideWhenUsed/>
    <w:qFormat/>
    <w:rsid w:val="00225864"/>
    <w:pPr>
      <w:numPr>
        <w:numId w:val="0"/>
      </w:numPr>
      <w:tabs>
        <w:tab w:val="num" w:pos="720"/>
      </w:tabs>
      <w:ind w:left="720" w:hanging="360"/>
    </w:pPr>
  </w:style>
  <w:style w:type="paragraph" w:styleId="ListBullet3">
    <w:name w:val="List Bullet 3"/>
    <w:aliases w:val="Bullet L3"/>
    <w:basedOn w:val="ListParagraph"/>
    <w:uiPriority w:val="99"/>
    <w:unhideWhenUsed/>
    <w:qFormat/>
    <w:rsid w:val="00225864"/>
    <w:pPr>
      <w:numPr>
        <w:numId w:val="0"/>
      </w:numPr>
      <w:tabs>
        <w:tab w:val="num" w:pos="1080"/>
      </w:tabs>
      <w:ind w:left="1080" w:hanging="360"/>
    </w:pPr>
  </w:style>
  <w:style w:type="paragraph" w:customStyle="1" w:styleId="BulletHeader">
    <w:name w:val="Bullet Header"/>
    <w:basedOn w:val="Normal"/>
    <w:uiPriority w:val="14"/>
    <w:qFormat/>
    <w:rsid w:val="00225864"/>
    <w:pPr>
      <w:spacing w:after="120" w:line="276" w:lineRule="auto"/>
      <w:jc w:val="left"/>
    </w:pPr>
    <w:rPr>
      <w:rFonts w:ascii="Times New Roman" w:eastAsia="MS Mincho" w:hAnsi="Times New Roman"/>
      <w:b/>
      <w:color w:val="auto"/>
      <w:sz w:val="22"/>
      <w:szCs w:val="22"/>
      <w:lang w:eastAsia="en-US"/>
    </w:rPr>
  </w:style>
  <w:style w:type="paragraph" w:customStyle="1" w:styleId="BulletTerm">
    <w:name w:val="Bullet Term"/>
    <w:basedOn w:val="Normal"/>
    <w:rsid w:val="00225864"/>
    <w:pPr>
      <w:numPr>
        <w:numId w:val="30"/>
      </w:numPr>
      <w:spacing w:after="240" w:line="276" w:lineRule="auto"/>
      <w:contextualSpacing/>
      <w:jc w:val="left"/>
    </w:pPr>
    <w:rPr>
      <w:rFonts w:ascii="Georgia" w:eastAsia="MS Mincho" w:hAnsi="Georgia" w:cs="Arial"/>
      <w:b/>
      <w:color w:val="auto"/>
      <w:sz w:val="22"/>
      <w:szCs w:val="22"/>
      <w:lang w:eastAsia="en-US"/>
    </w:rPr>
  </w:style>
  <w:style w:type="numbering" w:styleId="111111">
    <w:name w:val="Outline List 2"/>
    <w:basedOn w:val="NoList"/>
    <w:uiPriority w:val="99"/>
    <w:semiHidden/>
    <w:unhideWhenUsed/>
    <w:rsid w:val="00225864"/>
    <w:pPr>
      <w:numPr>
        <w:numId w:val="27"/>
      </w:numPr>
    </w:pPr>
  </w:style>
  <w:style w:type="paragraph" w:customStyle="1" w:styleId="DateSubtitle">
    <w:name w:val="Date Subtitle"/>
    <w:basedOn w:val="Normal"/>
    <w:autoRedefine/>
    <w:qFormat/>
    <w:rsid w:val="00225864"/>
    <w:pPr>
      <w:spacing w:after="240" w:line="276" w:lineRule="auto"/>
      <w:jc w:val="left"/>
    </w:pPr>
    <w:rPr>
      <w:rFonts w:ascii="Times New Roman" w:eastAsia="MS Mincho" w:hAnsi="Times New Roman"/>
      <w:i/>
      <w:color w:val="44546A" w:themeColor="text2"/>
      <w:sz w:val="22"/>
      <w:szCs w:val="22"/>
      <w:lang w:eastAsia="en-US"/>
    </w:rPr>
  </w:style>
  <w:style w:type="paragraph" w:styleId="TOC1">
    <w:name w:val="toc 1"/>
    <w:basedOn w:val="Normal"/>
    <w:next w:val="Normal"/>
    <w:autoRedefine/>
    <w:uiPriority w:val="39"/>
    <w:unhideWhenUsed/>
    <w:rsid w:val="00225864"/>
    <w:pPr>
      <w:tabs>
        <w:tab w:val="right" w:leader="dot" w:pos="9360"/>
      </w:tabs>
      <w:spacing w:line="276" w:lineRule="auto"/>
      <w:ind w:left="504" w:hanging="504"/>
      <w:jc w:val="left"/>
    </w:pPr>
    <w:rPr>
      <w:rFonts w:ascii="Times New Roman" w:eastAsia="MS Mincho" w:hAnsi="Times New Roman" w:cs="Arial"/>
      <w:color w:val="auto"/>
      <w:sz w:val="22"/>
      <w:szCs w:val="22"/>
      <w:lang w:eastAsia="en-US"/>
    </w:rPr>
  </w:style>
  <w:style w:type="paragraph" w:styleId="TOC2">
    <w:name w:val="toc 2"/>
    <w:basedOn w:val="Normal"/>
    <w:next w:val="Normal"/>
    <w:autoRedefine/>
    <w:uiPriority w:val="39"/>
    <w:unhideWhenUsed/>
    <w:rsid w:val="00225864"/>
    <w:pPr>
      <w:tabs>
        <w:tab w:val="right" w:leader="dot" w:pos="9360"/>
      </w:tabs>
      <w:spacing w:line="276" w:lineRule="auto"/>
      <w:ind w:left="1008" w:hanging="504"/>
      <w:jc w:val="left"/>
    </w:pPr>
    <w:rPr>
      <w:rFonts w:ascii="Times New Roman" w:eastAsia="MS Mincho" w:hAnsi="Times New Roman"/>
      <w:color w:val="auto"/>
      <w:sz w:val="22"/>
      <w:szCs w:val="22"/>
      <w:lang w:eastAsia="en-US"/>
    </w:rPr>
  </w:style>
  <w:style w:type="paragraph" w:styleId="TOC3">
    <w:name w:val="toc 3"/>
    <w:basedOn w:val="Normal"/>
    <w:next w:val="Normal"/>
    <w:autoRedefine/>
    <w:uiPriority w:val="39"/>
    <w:unhideWhenUsed/>
    <w:rsid w:val="00225864"/>
    <w:pPr>
      <w:tabs>
        <w:tab w:val="right" w:leader="dot" w:pos="9360"/>
      </w:tabs>
      <w:spacing w:line="276" w:lineRule="auto"/>
      <w:ind w:left="1944" w:hanging="936"/>
      <w:jc w:val="left"/>
    </w:pPr>
    <w:rPr>
      <w:rFonts w:ascii="Times New Roman" w:eastAsia="MS Mincho" w:hAnsi="Times New Roman"/>
      <w:color w:val="auto"/>
      <w:sz w:val="22"/>
      <w:szCs w:val="22"/>
      <w:lang w:eastAsia="en-US"/>
    </w:rPr>
  </w:style>
  <w:style w:type="paragraph" w:styleId="TOC4">
    <w:name w:val="toc 4"/>
    <w:basedOn w:val="Normal"/>
    <w:next w:val="Normal"/>
    <w:autoRedefine/>
    <w:uiPriority w:val="39"/>
    <w:unhideWhenUsed/>
    <w:rsid w:val="00225864"/>
    <w:pPr>
      <w:tabs>
        <w:tab w:val="right" w:leader="dot" w:pos="9360"/>
      </w:tabs>
      <w:spacing w:line="276" w:lineRule="auto"/>
      <w:ind w:left="1008"/>
      <w:jc w:val="left"/>
    </w:pPr>
    <w:rPr>
      <w:rFonts w:ascii="Times New Roman" w:eastAsia="MS Mincho" w:hAnsi="Times New Roman"/>
      <w:color w:val="auto"/>
      <w:sz w:val="22"/>
      <w:szCs w:val="22"/>
      <w:lang w:eastAsia="en-US"/>
    </w:rPr>
  </w:style>
  <w:style w:type="paragraph" w:styleId="TOC5">
    <w:name w:val="toc 5"/>
    <w:basedOn w:val="Normal"/>
    <w:next w:val="Normal"/>
    <w:autoRedefine/>
    <w:uiPriority w:val="39"/>
    <w:unhideWhenUsed/>
    <w:rsid w:val="00225864"/>
    <w:pPr>
      <w:tabs>
        <w:tab w:val="right" w:leader="dot" w:pos="9360"/>
      </w:tabs>
      <w:spacing w:line="276" w:lineRule="auto"/>
      <w:ind w:left="1368"/>
      <w:jc w:val="left"/>
    </w:pPr>
    <w:rPr>
      <w:rFonts w:ascii="Times New Roman" w:eastAsia="MS Mincho" w:hAnsi="Times New Roman"/>
      <w:color w:val="auto"/>
      <w:sz w:val="22"/>
      <w:szCs w:val="22"/>
      <w:lang w:eastAsia="en-US"/>
    </w:rPr>
  </w:style>
  <w:style w:type="paragraph" w:styleId="TOC6">
    <w:name w:val="toc 6"/>
    <w:basedOn w:val="Normal"/>
    <w:next w:val="Normal"/>
    <w:autoRedefine/>
    <w:uiPriority w:val="39"/>
    <w:unhideWhenUsed/>
    <w:rsid w:val="00225864"/>
    <w:pPr>
      <w:spacing w:after="240" w:line="276" w:lineRule="auto"/>
      <w:ind w:left="1094"/>
      <w:jc w:val="left"/>
    </w:pPr>
    <w:rPr>
      <w:rFonts w:ascii="Times New Roman" w:eastAsia="MS Mincho" w:hAnsi="Times New Roman"/>
      <w:color w:val="auto"/>
      <w:sz w:val="22"/>
      <w:szCs w:val="22"/>
      <w:lang w:eastAsia="en-US"/>
    </w:rPr>
  </w:style>
  <w:style w:type="paragraph" w:styleId="TOC7">
    <w:name w:val="toc 7"/>
    <w:basedOn w:val="Normal"/>
    <w:next w:val="Normal"/>
    <w:autoRedefine/>
    <w:uiPriority w:val="39"/>
    <w:unhideWhenUsed/>
    <w:rsid w:val="00225864"/>
    <w:pPr>
      <w:spacing w:line="276" w:lineRule="auto"/>
      <w:ind w:left="1325"/>
      <w:jc w:val="left"/>
    </w:pPr>
    <w:rPr>
      <w:rFonts w:ascii="Times New Roman" w:eastAsia="MS Mincho" w:hAnsi="Times New Roman"/>
      <w:color w:val="auto"/>
      <w:sz w:val="22"/>
      <w:szCs w:val="22"/>
      <w:lang w:eastAsia="en-US"/>
    </w:rPr>
  </w:style>
  <w:style w:type="paragraph" w:styleId="TOC8">
    <w:name w:val="toc 8"/>
    <w:basedOn w:val="Normal"/>
    <w:next w:val="Normal"/>
    <w:autoRedefine/>
    <w:uiPriority w:val="39"/>
    <w:unhideWhenUsed/>
    <w:rsid w:val="00225864"/>
    <w:pPr>
      <w:spacing w:line="276" w:lineRule="auto"/>
      <w:ind w:left="1541"/>
      <w:jc w:val="left"/>
    </w:pPr>
    <w:rPr>
      <w:rFonts w:ascii="Times New Roman" w:eastAsia="MS Mincho" w:hAnsi="Times New Roman"/>
      <w:color w:val="auto"/>
      <w:sz w:val="22"/>
      <w:szCs w:val="22"/>
      <w:lang w:eastAsia="en-US"/>
    </w:rPr>
  </w:style>
  <w:style w:type="paragraph" w:styleId="TOC9">
    <w:name w:val="toc 9"/>
    <w:basedOn w:val="Normal"/>
    <w:next w:val="Normal"/>
    <w:autoRedefine/>
    <w:uiPriority w:val="39"/>
    <w:unhideWhenUsed/>
    <w:rsid w:val="00225864"/>
    <w:pPr>
      <w:spacing w:line="276" w:lineRule="auto"/>
      <w:ind w:left="1757"/>
      <w:jc w:val="left"/>
    </w:pPr>
    <w:rPr>
      <w:rFonts w:ascii="Times New Roman" w:eastAsia="MS Mincho" w:hAnsi="Times New Roman"/>
      <w:color w:val="auto"/>
      <w:sz w:val="22"/>
      <w:szCs w:val="22"/>
      <w:lang w:eastAsia="en-US"/>
    </w:rPr>
  </w:style>
  <w:style w:type="paragraph" w:styleId="TOCHeading">
    <w:name w:val="TOC Heading"/>
    <w:basedOn w:val="Heading1"/>
    <w:next w:val="Normal"/>
    <w:uiPriority w:val="39"/>
    <w:semiHidden/>
    <w:unhideWhenUsed/>
    <w:qFormat/>
    <w:rsid w:val="00225864"/>
    <w:pPr>
      <w:numPr>
        <w:numId w:val="0"/>
      </w:numPr>
      <w:spacing w:before="480"/>
      <w:ind w:left="3033" w:hanging="425"/>
      <w:outlineLvl w:val="9"/>
    </w:pPr>
    <w:rPr>
      <w:bCs w:val="0"/>
      <w:color w:val="447888"/>
      <w:szCs w:val="32"/>
    </w:rPr>
  </w:style>
  <w:style w:type="table" w:styleId="LightList-Accent6">
    <w:name w:val="Light List Accent 6"/>
    <w:basedOn w:val="TableNormal"/>
    <w:uiPriority w:val="61"/>
    <w:rsid w:val="00225864"/>
    <w:rPr>
      <w:rFonts w:asciiTheme="minorHAnsi" w:eastAsiaTheme="minorHAnsi" w:hAnsiTheme="minorHAnsi" w:cstheme="minorBidi"/>
      <w:sz w:val="22"/>
      <w:szCs w:val="22"/>
      <w:lang w:eastAsia="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styleId="TableofFigures">
    <w:name w:val="table of figures"/>
    <w:basedOn w:val="NoSpacing"/>
    <w:next w:val="NoSpacing"/>
    <w:uiPriority w:val="99"/>
    <w:unhideWhenUsed/>
    <w:rsid w:val="00225864"/>
    <w:pPr>
      <w:widowControl w:val="0"/>
      <w:tabs>
        <w:tab w:val="right" w:leader="dot" w:pos="9360"/>
      </w:tabs>
    </w:pPr>
  </w:style>
  <w:style w:type="paragraph" w:styleId="NoSpacing">
    <w:name w:val="No Spacing"/>
    <w:basedOn w:val="Normal"/>
    <w:link w:val="NoSpacingChar"/>
    <w:uiPriority w:val="1"/>
    <w:qFormat/>
    <w:rsid w:val="00225864"/>
    <w:pPr>
      <w:spacing w:line="276" w:lineRule="auto"/>
      <w:jc w:val="left"/>
    </w:pPr>
    <w:rPr>
      <w:rFonts w:ascii="Times New Roman" w:eastAsia="Calibri" w:hAnsi="Times New Roman"/>
      <w:color w:val="auto"/>
      <w:sz w:val="22"/>
      <w:szCs w:val="22"/>
      <w:lang w:eastAsia="en-US"/>
    </w:rPr>
  </w:style>
  <w:style w:type="character" w:customStyle="1" w:styleId="NoSpacingChar">
    <w:name w:val="No Spacing Char"/>
    <w:link w:val="NoSpacing"/>
    <w:uiPriority w:val="1"/>
    <w:rsid w:val="00225864"/>
    <w:rPr>
      <w:rFonts w:ascii="Times New Roman" w:eastAsia="Calibri" w:hAnsi="Times New Roman"/>
      <w:sz w:val="22"/>
      <w:szCs w:val="22"/>
      <w:lang w:eastAsia="en-US"/>
    </w:rPr>
  </w:style>
  <w:style w:type="table" w:styleId="LightGrid-Accent1">
    <w:name w:val="Light Grid Accent 1"/>
    <w:basedOn w:val="TableNormal"/>
    <w:uiPriority w:val="62"/>
    <w:rsid w:val="00225864"/>
    <w:rPr>
      <w:rFonts w:ascii="Arial Narrow" w:eastAsia="MS Mincho" w:hAnsi="Arial Narrow"/>
      <w:lang w:eastAsia="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Shading">
    <w:name w:val="Light Shading"/>
    <w:basedOn w:val="TableNormal"/>
    <w:uiPriority w:val="60"/>
    <w:rsid w:val="00225864"/>
    <w:rPr>
      <w:rFonts w:ascii="Arial Narrow" w:eastAsia="MS Mincho" w:hAnsi="Arial Narrow"/>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225864"/>
    <w:rPr>
      <w:rFonts w:ascii="Arial Narrow" w:eastAsia="MS Mincho" w:hAnsi="Arial Narrow"/>
      <w:color w:val="2F5496" w:themeColor="accent1" w:themeShade="BF"/>
      <w:lang w:eastAsia="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Accent2">
    <w:name w:val="Light Shading Accent 2"/>
    <w:basedOn w:val="TableNormal"/>
    <w:uiPriority w:val="60"/>
    <w:rsid w:val="00225864"/>
    <w:rPr>
      <w:rFonts w:ascii="Arial Narrow" w:eastAsia="MS Mincho" w:hAnsi="Arial Narrow"/>
      <w:color w:val="C45911" w:themeColor="accent2" w:themeShade="BF"/>
      <w:lang w:eastAsia="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225864"/>
    <w:rPr>
      <w:rFonts w:ascii="Arial Narrow" w:eastAsia="MS Mincho" w:hAnsi="Arial Narrow"/>
      <w:color w:val="7B7B7B" w:themeColor="accent3" w:themeShade="BF"/>
      <w:lang w:eastAsia="en-U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3">
    <w:name w:val="Light List Accent 3"/>
    <w:basedOn w:val="TableNormal"/>
    <w:uiPriority w:val="61"/>
    <w:rsid w:val="00225864"/>
    <w:rPr>
      <w:rFonts w:ascii="Arial Narrow" w:eastAsia="MS Mincho" w:hAnsi="Arial Narrow"/>
      <w:lang w:eastAsia="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styleId="FootnoteReference">
    <w:name w:val="footnote reference"/>
    <w:basedOn w:val="DefaultParagraphFont"/>
    <w:uiPriority w:val="99"/>
    <w:unhideWhenUsed/>
    <w:rsid w:val="00225864"/>
    <w:rPr>
      <w:vertAlign w:val="superscript"/>
    </w:rPr>
  </w:style>
  <w:style w:type="table" w:customStyle="1" w:styleId="Style1">
    <w:name w:val="Style1"/>
    <w:basedOn w:val="TableNormal"/>
    <w:uiPriority w:val="99"/>
    <w:rsid w:val="00225864"/>
    <w:rPr>
      <w:rFonts w:ascii="Arial Narrow" w:eastAsia="MS Mincho" w:hAnsi="Arial Narrow"/>
      <w:lang w:eastAsia="en-US"/>
    </w:rPr>
    <w:tblPr>
      <w:tblBorders>
        <w:insideH w:val="single" w:sz="4" w:space="0" w:color="999999" w:themeColor="text1" w:themeTint="66"/>
      </w:tblBorders>
    </w:tblPr>
    <w:tblStylePr w:type="firstRow">
      <w:rPr>
        <w:rFonts w:ascii="Times New Roman" w:hAnsi="Times New Roman"/>
        <w:b/>
        <w:color w:val="FFFFFF" w:themeColor="background1"/>
        <w:sz w:val="22"/>
      </w:rPr>
      <w:tblPr/>
      <w:tcPr>
        <w:shd w:val="clear" w:color="auto" w:fill="ED7D31" w:themeFill="accent2"/>
      </w:tcPr>
    </w:tblStylePr>
  </w:style>
  <w:style w:type="paragraph" w:customStyle="1" w:styleId="BasicParagraph">
    <w:name w:val="[Basic Paragraph]"/>
    <w:basedOn w:val="Normal"/>
    <w:uiPriority w:val="99"/>
    <w:rsid w:val="00225864"/>
    <w:pPr>
      <w:widowControl w:val="0"/>
      <w:autoSpaceDE w:val="0"/>
      <w:autoSpaceDN w:val="0"/>
      <w:adjustRightInd w:val="0"/>
      <w:spacing w:after="240" w:line="288" w:lineRule="auto"/>
      <w:jc w:val="left"/>
      <w:textAlignment w:val="center"/>
    </w:pPr>
    <w:rPr>
      <w:rFonts w:ascii="MinionPro-Regular" w:eastAsia="MS Mincho" w:hAnsi="MinionPro-Regular" w:cs="MinionPro-Regular"/>
      <w:sz w:val="24"/>
      <w:szCs w:val="24"/>
      <w:lang w:eastAsia="en-US"/>
    </w:rPr>
  </w:style>
  <w:style w:type="character" w:styleId="Strong">
    <w:name w:val="Strong"/>
    <w:basedOn w:val="DefaultParagraphFont"/>
    <w:uiPriority w:val="22"/>
    <w:qFormat/>
    <w:rsid w:val="00225864"/>
    <w:rPr>
      <w:b/>
      <w:bCs/>
    </w:rPr>
  </w:style>
  <w:style w:type="paragraph" w:customStyle="1" w:styleId="Mainsubtitle">
    <w:name w:val="Main subtitle"/>
    <w:basedOn w:val="Normal"/>
    <w:qFormat/>
    <w:rsid w:val="00225864"/>
    <w:pPr>
      <w:spacing w:after="240" w:line="276" w:lineRule="auto"/>
      <w:jc w:val="left"/>
    </w:pPr>
    <w:rPr>
      <w:rFonts w:asciiTheme="majorHAnsi" w:eastAsia="MS Mincho" w:hAnsiTheme="majorHAnsi"/>
      <w:i/>
      <w:color w:val="000000" w:themeColor="text1"/>
      <w:sz w:val="32"/>
      <w:szCs w:val="40"/>
      <w:lang w:eastAsia="en-US"/>
    </w:rPr>
  </w:style>
  <w:style w:type="paragraph" w:customStyle="1" w:styleId="SponsorOrganization">
    <w:name w:val="Sponsor Organization"/>
    <w:basedOn w:val="Normal"/>
    <w:qFormat/>
    <w:rsid w:val="00225864"/>
    <w:pPr>
      <w:spacing w:after="240" w:line="276" w:lineRule="auto"/>
      <w:jc w:val="left"/>
    </w:pPr>
    <w:rPr>
      <w:rFonts w:asciiTheme="majorHAnsi" w:eastAsia="MS Mincho" w:hAnsiTheme="majorHAnsi"/>
      <w:color w:val="A5A5A5" w:themeColor="accent3"/>
      <w:sz w:val="28"/>
      <w:szCs w:val="28"/>
      <w:lang w:eastAsia="en-US"/>
    </w:rPr>
  </w:style>
  <w:style w:type="paragraph" w:customStyle="1" w:styleId="Body">
    <w:name w:val="Body"/>
    <w:rsid w:val="00225864"/>
    <w:pPr>
      <w:pBdr>
        <w:top w:val="nil"/>
        <w:left w:val="nil"/>
        <w:bottom w:val="nil"/>
        <w:right w:val="nil"/>
        <w:between w:val="nil"/>
        <w:bar w:val="nil"/>
      </w:pBdr>
      <w:spacing w:line="276" w:lineRule="auto"/>
    </w:pPr>
    <w:rPr>
      <w:rFonts w:ascii="Times New Roman" w:eastAsia="Arial Unicode MS" w:hAnsi="Arial Unicode MS" w:cs="Arial Unicode MS"/>
      <w:color w:val="000000"/>
      <w:sz w:val="22"/>
      <w:szCs w:val="22"/>
      <w:u w:color="000000"/>
      <w:bdr w:val="nil"/>
      <w:lang w:eastAsia="en-US"/>
    </w:rPr>
  </w:style>
  <w:style w:type="paragraph" w:customStyle="1" w:styleId="Subcaption">
    <w:name w:val="Subcaption"/>
    <w:basedOn w:val="Normal"/>
    <w:next w:val="Normal"/>
    <w:qFormat/>
    <w:rsid w:val="00225864"/>
    <w:pPr>
      <w:spacing w:after="240" w:line="276" w:lineRule="auto"/>
      <w:jc w:val="left"/>
    </w:pPr>
    <w:rPr>
      <w:rFonts w:ascii="Arial" w:eastAsia="MS Mincho" w:hAnsi="Arial"/>
      <w:i/>
      <w:color w:val="000000" w:themeColor="text1"/>
      <w:sz w:val="18"/>
      <w:szCs w:val="22"/>
      <w:lang w:eastAsia="en-US"/>
    </w:rPr>
  </w:style>
  <w:style w:type="table" w:styleId="PlainTable3">
    <w:name w:val="Plain Table 3"/>
    <w:basedOn w:val="TableNormal"/>
    <w:uiPriority w:val="99"/>
    <w:rsid w:val="00225864"/>
    <w:rPr>
      <w:rFonts w:ascii="Arial Narrow" w:eastAsia="MS Mincho" w:hAnsi="Arial Narrow"/>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H1UTOC">
    <w:name w:val="H1 U TOC"/>
    <w:basedOn w:val="BulletHeader"/>
    <w:qFormat/>
    <w:rsid w:val="00225864"/>
    <w:pPr>
      <w:numPr>
        <w:numId w:val="37"/>
      </w:numPr>
    </w:pPr>
  </w:style>
  <w:style w:type="table" w:customStyle="1" w:styleId="Style11">
    <w:name w:val="Style11"/>
    <w:basedOn w:val="TableNormal"/>
    <w:uiPriority w:val="99"/>
    <w:rsid w:val="00225864"/>
    <w:rPr>
      <w:rFonts w:ascii="Arial Narrow" w:eastAsia="MS Mincho" w:hAnsi="Arial Narrow"/>
      <w:lang w:eastAsia="en-US"/>
    </w:rPr>
    <w:tblPr>
      <w:tblBorders>
        <w:insideH w:val="single" w:sz="4" w:space="0" w:color="999999" w:themeColor="text1" w:themeTint="66"/>
      </w:tblBorders>
    </w:tblPr>
    <w:tblStylePr w:type="firstRow">
      <w:rPr>
        <w:rFonts w:ascii="Times New Roman" w:hAnsi="Times New Roman"/>
        <w:b/>
        <w:color w:val="FFFFFF" w:themeColor="background1"/>
        <w:sz w:val="22"/>
      </w:rPr>
      <w:tblPr/>
      <w:tcPr>
        <w:shd w:val="clear" w:color="auto" w:fill="ED7D31" w:themeFill="accent2"/>
      </w:tcPr>
    </w:tblStylePr>
  </w:style>
  <w:style w:type="paragraph" w:customStyle="1" w:styleId="H2UnnumberedTOC">
    <w:name w:val="H2 Unnumbered TOC"/>
    <w:basedOn w:val="Normal"/>
    <w:link w:val="H2UnnumberedTOCChar"/>
    <w:qFormat/>
    <w:rsid w:val="00225864"/>
    <w:pPr>
      <w:spacing w:after="120" w:line="276" w:lineRule="auto"/>
      <w:jc w:val="left"/>
    </w:pPr>
    <w:rPr>
      <w:rFonts w:ascii="Arial Bold" w:eastAsia="MS Mincho" w:hAnsi="Arial Bold"/>
      <w:b/>
      <w:caps/>
      <w:color w:val="000000" w:themeColor="text1"/>
      <w:spacing w:val="24"/>
      <w:sz w:val="24"/>
      <w:szCs w:val="24"/>
      <w:lang w:eastAsia="en-US"/>
    </w:rPr>
  </w:style>
  <w:style w:type="paragraph" w:customStyle="1" w:styleId="H1UNoTOC">
    <w:name w:val="H1 U No TOC"/>
    <w:basedOn w:val="H1UTOC"/>
    <w:qFormat/>
    <w:rsid w:val="00225864"/>
  </w:style>
  <w:style w:type="paragraph" w:customStyle="1" w:styleId="NumberedL1">
    <w:name w:val="Numbered L1"/>
    <w:basedOn w:val="ListParagraph"/>
    <w:qFormat/>
    <w:rsid w:val="00225864"/>
    <w:pPr>
      <w:numPr>
        <w:numId w:val="26"/>
      </w:numPr>
    </w:pPr>
  </w:style>
  <w:style w:type="paragraph" w:customStyle="1" w:styleId="NumberL2">
    <w:name w:val="Number L2"/>
    <w:basedOn w:val="ListParagraph"/>
    <w:qFormat/>
    <w:rsid w:val="00225864"/>
    <w:pPr>
      <w:numPr>
        <w:ilvl w:val="1"/>
        <w:numId w:val="26"/>
      </w:numPr>
    </w:pPr>
  </w:style>
  <w:style w:type="paragraph" w:customStyle="1" w:styleId="NumberL3">
    <w:name w:val="Number L3"/>
    <w:basedOn w:val="ListParagraph"/>
    <w:qFormat/>
    <w:rsid w:val="00225864"/>
    <w:pPr>
      <w:numPr>
        <w:ilvl w:val="2"/>
        <w:numId w:val="26"/>
      </w:numPr>
    </w:pPr>
  </w:style>
  <w:style w:type="paragraph" w:customStyle="1" w:styleId="References">
    <w:name w:val="References"/>
    <w:basedOn w:val="Normal"/>
    <w:qFormat/>
    <w:rsid w:val="00225864"/>
    <w:pPr>
      <w:spacing w:after="240" w:line="276" w:lineRule="auto"/>
      <w:ind w:left="720" w:hanging="720"/>
      <w:jc w:val="left"/>
    </w:pPr>
    <w:rPr>
      <w:rFonts w:ascii="Times New Roman" w:eastAsia="MS Mincho" w:hAnsi="Times New Roman"/>
      <w:color w:val="auto"/>
      <w:sz w:val="22"/>
      <w:szCs w:val="22"/>
      <w:lang w:eastAsia="en-US"/>
    </w:rPr>
  </w:style>
  <w:style w:type="table" w:customStyle="1" w:styleId="WITable">
    <w:name w:val="WI Table"/>
    <w:basedOn w:val="TableNormal"/>
    <w:uiPriority w:val="99"/>
    <w:rsid w:val="00225864"/>
    <w:rPr>
      <w:rFonts w:ascii="Arial Narrow" w:eastAsia="MS Mincho" w:hAnsi="Arial Narrow"/>
      <w:lang w:eastAsia="en-US"/>
    </w:rPr>
    <w:tblPr/>
  </w:style>
  <w:style w:type="table" w:customStyle="1" w:styleId="Style3">
    <w:name w:val="Style3"/>
    <w:basedOn w:val="TableNormal"/>
    <w:uiPriority w:val="99"/>
    <w:rsid w:val="00225864"/>
    <w:pPr>
      <w:jc w:val="center"/>
    </w:pPr>
    <w:rPr>
      <w:rFonts w:ascii="Arial Narrow" w:eastAsia="MS Mincho" w:hAnsi="Arial Narrow"/>
      <w:lang w:eastAsia="en-US"/>
    </w:rPr>
    <w:tblPr/>
    <w:tcPr>
      <w:vAlign w:val="center"/>
    </w:tcPr>
  </w:style>
  <w:style w:type="character" w:styleId="IntenseReference">
    <w:name w:val="Intense Reference"/>
    <w:basedOn w:val="DefaultParagraphFont"/>
    <w:uiPriority w:val="32"/>
    <w:rsid w:val="00225864"/>
    <w:rPr>
      <w:b/>
      <w:bCs/>
      <w:smallCaps/>
      <w:color w:val="4472C4" w:themeColor="accent1"/>
      <w:spacing w:val="5"/>
    </w:rPr>
  </w:style>
  <w:style w:type="paragraph" w:customStyle="1" w:styleId="TableText">
    <w:name w:val="Table Text"/>
    <w:basedOn w:val="Normal"/>
    <w:rsid w:val="00225864"/>
    <w:pPr>
      <w:spacing w:line="276" w:lineRule="auto"/>
      <w:jc w:val="left"/>
    </w:pPr>
    <w:rPr>
      <w:rFonts w:ascii="Times New Roman" w:eastAsia="Times New Roman" w:hAnsi="Times New Roman"/>
      <w:color w:val="auto"/>
      <w:lang w:eastAsia="en-US"/>
    </w:rPr>
  </w:style>
  <w:style w:type="paragraph" w:customStyle="1" w:styleId="H2NOTOC">
    <w:name w:val="H2 NO TOC"/>
    <w:basedOn w:val="H2UnnumberedTOC"/>
    <w:link w:val="H2NOTOCChar"/>
    <w:qFormat/>
    <w:rsid w:val="00225864"/>
  </w:style>
  <w:style w:type="character" w:customStyle="1" w:styleId="H2UnnumberedTOCChar">
    <w:name w:val="H2 Unnumbered TOC Char"/>
    <w:basedOn w:val="DefaultParagraphFont"/>
    <w:link w:val="H2UnnumberedTOC"/>
    <w:rsid w:val="00225864"/>
    <w:rPr>
      <w:rFonts w:ascii="Arial Bold" w:eastAsia="MS Mincho" w:hAnsi="Arial Bold"/>
      <w:b/>
      <w:caps/>
      <w:color w:val="000000" w:themeColor="text1"/>
      <w:spacing w:val="24"/>
      <w:sz w:val="24"/>
      <w:szCs w:val="24"/>
      <w:lang w:eastAsia="en-US"/>
    </w:rPr>
  </w:style>
  <w:style w:type="character" w:customStyle="1" w:styleId="H2NOTOCChar">
    <w:name w:val="H2 NO TOC Char"/>
    <w:basedOn w:val="H2UnnumberedTOCChar"/>
    <w:link w:val="H2NOTOC"/>
    <w:rsid w:val="00225864"/>
    <w:rPr>
      <w:rFonts w:ascii="Arial Bold" w:eastAsia="MS Mincho" w:hAnsi="Arial Bold"/>
      <w:b/>
      <w:caps/>
      <w:color w:val="000000" w:themeColor="text1"/>
      <w:spacing w:val="24"/>
      <w:sz w:val="24"/>
      <w:szCs w:val="24"/>
      <w:lang w:eastAsia="en-US"/>
    </w:rPr>
  </w:style>
  <w:style w:type="paragraph" w:customStyle="1" w:styleId="AppendixA1">
    <w:name w:val="Appendix A.1"/>
    <w:basedOn w:val="Heading7"/>
    <w:rsid w:val="00225864"/>
    <w:pPr>
      <w:numPr>
        <w:ilvl w:val="1"/>
        <w:numId w:val="29"/>
      </w:numPr>
    </w:pPr>
    <w:rPr>
      <w:color w:val="44546A" w:themeColor="text2"/>
      <w:spacing w:val="26"/>
      <w:sz w:val="28"/>
    </w:rPr>
  </w:style>
  <w:style w:type="paragraph" w:customStyle="1" w:styleId="Heading10">
    <w:name w:val="Heading 1.0"/>
    <w:basedOn w:val="Heading1"/>
    <w:rsid w:val="00225864"/>
    <w:pPr>
      <w:numPr>
        <w:numId w:val="0"/>
      </w:numPr>
      <w:spacing w:before="92" w:after="240"/>
      <w:ind w:left="3033" w:hanging="425"/>
    </w:pPr>
    <w:rPr>
      <w:rFonts w:cs="Arial"/>
      <w:b w:val="0"/>
      <w:bCs w:val="0"/>
      <w:color w:val="7CA9AC"/>
      <w:sz w:val="24"/>
      <w:szCs w:val="24"/>
    </w:rPr>
  </w:style>
  <w:style w:type="paragraph" w:customStyle="1" w:styleId="H1TM">
    <w:name w:val="H1 TM"/>
    <w:basedOn w:val="H1UTOC"/>
    <w:next w:val="Normal"/>
    <w:qFormat/>
    <w:rsid w:val="00225864"/>
    <w:pPr>
      <w:spacing w:after="240"/>
    </w:pPr>
    <w:rPr>
      <w:sz w:val="28"/>
    </w:rPr>
  </w:style>
  <w:style w:type="paragraph" w:customStyle="1" w:styleId="DocumentTypeTitle">
    <w:name w:val="Document Type Title"/>
    <w:basedOn w:val="Normal"/>
    <w:link w:val="DocumentTypeTitleChar"/>
    <w:rsid w:val="00225864"/>
    <w:pPr>
      <w:pBdr>
        <w:bottom w:val="single" w:sz="4" w:space="3" w:color="7BAAAD"/>
      </w:pBdr>
      <w:spacing w:before="480" w:after="240" w:line="276" w:lineRule="auto"/>
      <w:jc w:val="right"/>
    </w:pPr>
    <w:rPr>
      <w:rFonts w:ascii="Arial" w:eastAsia="MS Mincho" w:hAnsi="Arial" w:cs="Arial"/>
      <w:b/>
      <w:bCs/>
      <w:color w:val="7BAAAD"/>
      <w:sz w:val="28"/>
      <w:szCs w:val="36"/>
      <w:lang w:eastAsia="en-US"/>
    </w:rPr>
  </w:style>
  <w:style w:type="character" w:customStyle="1" w:styleId="DocumentTypeTitleChar">
    <w:name w:val="Document Type Title Char"/>
    <w:basedOn w:val="DefaultParagraphFont"/>
    <w:link w:val="DocumentTypeTitle"/>
    <w:rsid w:val="00225864"/>
    <w:rPr>
      <w:rFonts w:ascii="Arial" w:eastAsia="MS Mincho" w:hAnsi="Arial" w:cs="Arial"/>
      <w:b/>
      <w:bCs/>
      <w:color w:val="7BAAAD"/>
      <w:sz w:val="28"/>
      <w:szCs w:val="36"/>
      <w:lang w:eastAsia="en-US"/>
    </w:rPr>
  </w:style>
  <w:style w:type="paragraph" w:styleId="Revision">
    <w:name w:val="Revision"/>
    <w:hidden/>
    <w:uiPriority w:val="99"/>
    <w:semiHidden/>
    <w:rsid w:val="00225864"/>
    <w:rPr>
      <w:rFonts w:ascii="Times New Roman" w:eastAsia="MS Mincho" w:hAnsi="Times New Roman"/>
      <w:sz w:val="22"/>
      <w:szCs w:val="22"/>
      <w:lang w:eastAsia="en-US"/>
    </w:rPr>
  </w:style>
  <w:style w:type="paragraph" w:customStyle="1" w:styleId="H3TM">
    <w:name w:val="H3 TM"/>
    <w:basedOn w:val="Heading3"/>
    <w:next w:val="Normal"/>
    <w:qFormat/>
    <w:rsid w:val="00225864"/>
    <w:pPr>
      <w:numPr>
        <w:ilvl w:val="0"/>
        <w:numId w:val="0"/>
      </w:numPr>
    </w:pPr>
    <w:rPr>
      <w:rFonts w:cs="Arial"/>
      <w:bCs w:val="0"/>
    </w:rPr>
  </w:style>
  <w:style w:type="paragraph" w:customStyle="1" w:styleId="H4TM">
    <w:name w:val="H4 TM"/>
    <w:basedOn w:val="Heading4"/>
    <w:next w:val="Normal"/>
    <w:qFormat/>
    <w:rsid w:val="00225864"/>
    <w:pPr>
      <w:numPr>
        <w:ilvl w:val="0"/>
        <w:numId w:val="0"/>
      </w:numPr>
      <w:spacing w:before="240"/>
    </w:pPr>
    <w:rPr>
      <w:rFonts w:cs="Arial"/>
      <w:bCs w:val="0"/>
      <w:iCs w:val="0"/>
    </w:rPr>
  </w:style>
  <w:style w:type="character" w:styleId="Mention">
    <w:name w:val="Mention"/>
    <w:basedOn w:val="DefaultParagraphFont"/>
    <w:uiPriority w:val="99"/>
    <w:unhideWhenUsed/>
    <w:rsid w:val="00225864"/>
    <w:rPr>
      <w:color w:val="2B579A"/>
      <w:shd w:val="clear" w:color="auto" w:fill="E1DFDD"/>
    </w:rPr>
  </w:style>
  <w:style w:type="character" w:customStyle="1" w:styleId="cf01">
    <w:name w:val="cf01"/>
    <w:basedOn w:val="DefaultParagraphFont"/>
    <w:rsid w:val="00225864"/>
    <w:rPr>
      <w:rFonts w:ascii="Segoe UI" w:hAnsi="Segoe UI" w:cs="Segoe UI" w:hint="default"/>
      <w:sz w:val="18"/>
      <w:szCs w:val="18"/>
    </w:rPr>
  </w:style>
  <w:style w:type="character" w:styleId="Emphasis">
    <w:name w:val="Emphasis"/>
    <w:basedOn w:val="DefaultParagraphFont"/>
    <w:uiPriority w:val="20"/>
    <w:qFormat/>
    <w:rsid w:val="00225864"/>
    <w:rPr>
      <w:i/>
      <w:iCs/>
    </w:rPr>
  </w:style>
  <w:style w:type="character" w:customStyle="1" w:styleId="markedcontent">
    <w:name w:val="markedcontent"/>
    <w:basedOn w:val="DefaultParagraphFont"/>
    <w:rsid w:val="00225864"/>
  </w:style>
  <w:style w:type="character" w:customStyle="1" w:styleId="lrzxr">
    <w:name w:val="lrzxr"/>
    <w:basedOn w:val="DefaultParagraphFont"/>
    <w:rsid w:val="00225864"/>
  </w:style>
  <w:style w:type="character" w:customStyle="1" w:styleId="it16">
    <w:name w:val="it16"/>
    <w:basedOn w:val="DefaultParagraphFont"/>
    <w:rsid w:val="00225864"/>
  </w:style>
  <w:style w:type="paragraph" w:customStyle="1" w:styleId="p">
    <w:name w:val="p"/>
    <w:basedOn w:val="Normal"/>
    <w:rsid w:val="00225864"/>
    <w:pPr>
      <w:spacing w:before="100" w:beforeAutospacing="1" w:after="100" w:afterAutospacing="1" w:line="240" w:lineRule="auto"/>
      <w:jc w:val="left"/>
    </w:pPr>
    <w:rPr>
      <w:rFonts w:ascii="Times New Roman" w:eastAsia="Times New Roman" w:hAnsi="Times New Roman"/>
      <w:color w:val="auto"/>
      <w:sz w:val="24"/>
      <w:szCs w:val="24"/>
      <w:lang w:eastAsia="en-US"/>
    </w:rPr>
  </w:style>
  <w:style w:type="table" w:customStyle="1" w:styleId="Style21">
    <w:name w:val="Style21"/>
    <w:basedOn w:val="TableNormal"/>
    <w:uiPriority w:val="99"/>
    <w:rsid w:val="00225864"/>
    <w:rPr>
      <w:rFonts w:ascii="Times New Roman" w:eastAsia="MS Mincho" w:hAnsi="Times New Roman"/>
      <w:lang w:eastAsia="en-U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tcPr>
    <w:tblStylePr w:type="firstRow">
      <w:rPr>
        <w:rFonts w:ascii="Times New Roman" w:hAnsi="Times New Roman"/>
        <w:b/>
        <w:color w:val="FFFFFF"/>
        <w:sz w:val="22"/>
      </w:rPr>
      <w:tblPr/>
      <w:tcPr>
        <w:tcBorders>
          <w:top w:val="single" w:sz="8" w:space="0" w:color="auto"/>
          <w:left w:val="single" w:sz="8" w:space="0" w:color="auto"/>
          <w:bottom w:val="single" w:sz="8" w:space="0" w:color="auto"/>
          <w:right w:val="single" w:sz="8" w:space="0" w:color="auto"/>
          <w:insideH w:val="single" w:sz="8" w:space="0" w:color="auto"/>
          <w:insideV w:val="single" w:sz="8" w:space="0" w:color="auto"/>
        </w:tcBorders>
        <w:shd w:val="clear" w:color="auto" w:fill="73A393"/>
      </w:tcPr>
    </w:tblStylePr>
    <w:tblStylePr w:type="firstCol">
      <w:rPr>
        <w:b w:val="0"/>
      </w:rPr>
    </w:tblStylePr>
    <w:tblStylePr w:type="band1Horz">
      <w:tblPr/>
      <w:tcPr>
        <w:shd w:val="clear" w:color="auto" w:fill="FFFFFF"/>
      </w:tcPr>
    </w:tblStylePr>
    <w:tblStylePr w:type="band2Horz">
      <w:rPr>
        <w:rFonts w:ascii="Times New Roman" w:hAnsi="Times New Roman"/>
        <w:color w:val="auto"/>
        <w:sz w:val="20"/>
      </w:rPr>
      <w:tblPr/>
      <w:tcPr>
        <w:shd w:val="clear" w:color="auto" w:fill="CCCCCC"/>
      </w:tcPr>
    </w:tblStylePr>
  </w:style>
  <w:style w:type="character" w:customStyle="1" w:styleId="title-text">
    <w:name w:val="title-text"/>
    <w:basedOn w:val="DefaultParagraphFont"/>
    <w:rsid w:val="00225864"/>
  </w:style>
  <w:style w:type="paragraph" w:customStyle="1" w:styleId="html-xx">
    <w:name w:val="html-xx"/>
    <w:basedOn w:val="Normal"/>
    <w:rsid w:val="00225864"/>
    <w:pPr>
      <w:spacing w:before="100" w:beforeAutospacing="1" w:after="100" w:afterAutospacing="1" w:line="240" w:lineRule="auto"/>
      <w:jc w:val="left"/>
    </w:pPr>
    <w:rPr>
      <w:rFonts w:ascii="Times New Roman" w:eastAsia="Times New Roman" w:hAnsi="Times New Roman"/>
      <w:color w:val="auto"/>
      <w:sz w:val="24"/>
      <w:szCs w:val="24"/>
      <w:lang w:eastAsia="en-US"/>
    </w:rPr>
  </w:style>
  <w:style w:type="character" w:customStyle="1" w:styleId="html-italic">
    <w:name w:val="html-italic"/>
    <w:basedOn w:val="DefaultParagraphFont"/>
    <w:rsid w:val="00225864"/>
  </w:style>
  <w:style w:type="paragraph" w:customStyle="1" w:styleId="Default">
    <w:name w:val="Default"/>
    <w:rsid w:val="00225864"/>
    <w:pPr>
      <w:autoSpaceDE w:val="0"/>
      <w:autoSpaceDN w:val="0"/>
      <w:adjustRightInd w:val="0"/>
    </w:pPr>
    <w:rPr>
      <w:rFonts w:ascii="Times New Roman" w:eastAsia="MS Mincho" w:hAnsi="Times New Roman"/>
      <w:color w:val="000000"/>
      <w:sz w:val="24"/>
      <w:szCs w:val="24"/>
      <w:lang w:eastAsia="en-US"/>
    </w:rPr>
  </w:style>
  <w:style w:type="character" w:customStyle="1" w:styleId="uicontrol">
    <w:name w:val="uicontrol"/>
    <w:basedOn w:val="DefaultParagraphFont"/>
    <w:rsid w:val="00225864"/>
  </w:style>
  <w:style w:type="paragraph" w:customStyle="1" w:styleId="pw-post-body-paragraph">
    <w:name w:val="pw-post-body-paragraph"/>
    <w:basedOn w:val="Normal"/>
    <w:rsid w:val="00225864"/>
    <w:pPr>
      <w:spacing w:before="100" w:beforeAutospacing="1" w:after="100" w:afterAutospacing="1" w:line="240" w:lineRule="auto"/>
      <w:jc w:val="left"/>
    </w:pPr>
    <w:rPr>
      <w:rFonts w:ascii="Times New Roman" w:eastAsia="Times New Roman" w:hAnsi="Times New Roman"/>
      <w:color w:val="auto"/>
      <w:sz w:val="24"/>
      <w:szCs w:val="24"/>
      <w:lang w:eastAsia="en-US"/>
    </w:rPr>
  </w:style>
  <w:style w:type="paragraph" w:customStyle="1" w:styleId="ll">
    <w:name w:val="ll"/>
    <w:basedOn w:val="Normal"/>
    <w:rsid w:val="00225864"/>
    <w:pPr>
      <w:spacing w:before="100" w:beforeAutospacing="1" w:after="100" w:afterAutospacing="1" w:line="240" w:lineRule="auto"/>
      <w:jc w:val="left"/>
    </w:pPr>
    <w:rPr>
      <w:rFonts w:ascii="Times New Roman" w:eastAsia="Times New Roman" w:hAnsi="Times New Roman"/>
      <w:color w:val="auto"/>
      <w:sz w:val="24"/>
      <w:szCs w:val="24"/>
      <w:lang w:eastAsia="en-US"/>
    </w:rPr>
  </w:style>
  <w:style w:type="character" w:customStyle="1" w:styleId="author">
    <w:name w:val="author"/>
    <w:basedOn w:val="DefaultParagraphFont"/>
    <w:rsid w:val="00225864"/>
  </w:style>
  <w:style w:type="character" w:customStyle="1" w:styleId="pubyear">
    <w:name w:val="pubyear"/>
    <w:basedOn w:val="DefaultParagraphFont"/>
    <w:rsid w:val="00225864"/>
  </w:style>
  <w:style w:type="character" w:customStyle="1" w:styleId="chaptertitle">
    <w:name w:val="chaptertitle"/>
    <w:basedOn w:val="DefaultParagraphFont"/>
    <w:rsid w:val="00225864"/>
  </w:style>
  <w:style w:type="character" w:customStyle="1" w:styleId="editor">
    <w:name w:val="editor"/>
    <w:basedOn w:val="DefaultParagraphFont"/>
    <w:rsid w:val="00225864"/>
  </w:style>
  <w:style w:type="character" w:customStyle="1" w:styleId="booktitle">
    <w:name w:val="booktitle"/>
    <w:basedOn w:val="DefaultParagraphFont"/>
    <w:rsid w:val="00225864"/>
  </w:style>
  <w:style w:type="character" w:customStyle="1" w:styleId="pagefirst">
    <w:name w:val="pagefirst"/>
    <w:basedOn w:val="DefaultParagraphFont"/>
    <w:rsid w:val="00225864"/>
  </w:style>
  <w:style w:type="character" w:customStyle="1" w:styleId="pagelast">
    <w:name w:val="pagelast"/>
    <w:basedOn w:val="DefaultParagraphFont"/>
    <w:rsid w:val="00225864"/>
  </w:style>
  <w:style w:type="character" w:customStyle="1" w:styleId="publisherlocation">
    <w:name w:val="publisherlocation"/>
    <w:basedOn w:val="DefaultParagraphFont"/>
    <w:rsid w:val="00225864"/>
  </w:style>
  <w:style w:type="paragraph" w:customStyle="1" w:styleId="SupplementaryMaterial">
    <w:name w:val="Supplementary Material"/>
    <w:basedOn w:val="Title"/>
    <w:next w:val="Title"/>
    <w:qFormat/>
    <w:rsid w:val="00225864"/>
    <w:pPr>
      <w:suppressLineNumbers/>
      <w:suppressAutoHyphens w:val="0"/>
      <w:spacing w:before="240"/>
      <w:contextualSpacing w:val="0"/>
      <w:jc w:val="center"/>
    </w:pPr>
    <w:rPr>
      <w:rFonts w:ascii="Times New Roman" w:eastAsiaTheme="minorHAnsi" w:hAnsi="Times New Roman" w:cs="Times New Roman"/>
      <w:bCs w:val="0"/>
      <w:i/>
      <w:caps w:val="0"/>
      <w:color w:val="auto"/>
      <w:spacing w:val="0"/>
      <w:kern w:val="0"/>
      <w:sz w:val="32"/>
      <w:szCs w:val="32"/>
    </w:rPr>
  </w:style>
  <w:style w:type="character" w:customStyle="1" w:styleId="ui-provider">
    <w:name w:val="ui-provider"/>
    <w:basedOn w:val="DefaultParagraphFont"/>
    <w:rsid w:val="00225864"/>
  </w:style>
  <w:style w:type="character" w:customStyle="1" w:styleId="ec-description">
    <w:name w:val="ec-description"/>
    <w:basedOn w:val="DefaultParagraphFont"/>
    <w:rsid w:val="002258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2.xml"/><Relationship Id="rId27" Type="http://schemas.openxmlformats.org/officeDocument/2006/relationships/theme" Target="theme/theme1.xml"/></Relationships>
</file>

<file path=word/_rels/header3.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cameron\Downloads\remotesensing-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832CD02197568409053675A55533824" ma:contentTypeVersion="17" ma:contentTypeDescription="Create a new document." ma:contentTypeScope="" ma:versionID="5c0b57b2da8e70abe13386ca0e6bd714">
  <xsd:schema xmlns:xsd="http://www.w3.org/2001/XMLSchema" xmlns:xs="http://www.w3.org/2001/XMLSchema" xmlns:p="http://schemas.microsoft.com/office/2006/metadata/properties" xmlns:ns2="e7bb6383-1f47-4342-8050-bafe0265687d" xmlns:ns3="01094617-8eca-47f8-9e59-e92e120642c3" targetNamespace="http://schemas.microsoft.com/office/2006/metadata/properties" ma:root="true" ma:fieldsID="e25a318f744beab26b0f804e47491c3e" ns2:_="" ns3:_="">
    <xsd:import namespace="e7bb6383-1f47-4342-8050-bafe0265687d"/>
    <xsd:import namespace="01094617-8eca-47f8-9e59-e92e120642c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bb6383-1f47-4342-8050-bafe026568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9831230-c580-4f22-b116-8b6cae3b92a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1094617-8eca-47f8-9e59-e92e120642c3"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c0ade30f-df5e-4e81-950e-333b0fd181c6}" ma:internalName="TaxCatchAll" ma:showField="CatchAllData" ma:web="01094617-8eca-47f8-9e59-e92e120642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5B93CFC-5312-497C-91B1-C1E6625F8EB0}">
  <ds:schemaRefs>
    <ds:schemaRef ds:uri="http://schemas.microsoft.com/sharepoint/v3/contenttype/forms"/>
  </ds:schemaRefs>
</ds:datastoreItem>
</file>

<file path=customXml/itemProps2.xml><?xml version="1.0" encoding="utf-8"?>
<ds:datastoreItem xmlns:ds="http://schemas.openxmlformats.org/officeDocument/2006/customXml" ds:itemID="{C5D693E8-58A9-4995-94EE-CCF6593E4D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bb6383-1f47-4342-8050-bafe0265687d"/>
    <ds:schemaRef ds:uri="01094617-8eca-47f8-9e59-e92e120642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remotesensing-template</Template>
  <TotalTime>2</TotalTime>
  <Pages>14</Pages>
  <Words>31100</Words>
  <Characters>177276</Characters>
  <Application>Microsoft Office Word</Application>
  <DocSecurity>0</DocSecurity>
  <Lines>1477</Lines>
  <Paragraphs>415</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Type of the Paper (Article</vt:lpstr>
      <vt:lpstr>Supplementary Materials</vt:lpstr>
      <vt:lpstr>    Supplement 1. Accuracy Metrics of WSAV-Net </vt:lpstr>
      <vt:lpstr>    Supplement 2. Look-up Table for Carbon Flux Values from Literature Review </vt:lpstr>
    </vt:vector>
  </TitlesOfParts>
  <Company/>
  <LinksUpToDate>false</LinksUpToDate>
  <CharactersWithSpaces>207961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Charley Cameron</dc:creator>
  <cp:keywords/>
  <dc:description/>
  <cp:lastModifiedBy>Charley Cameron</cp:lastModifiedBy>
  <cp:revision>3</cp:revision>
  <cp:lastPrinted>2023-03-18T04:55:00Z</cp:lastPrinted>
  <dcterms:created xsi:type="dcterms:W3CDTF">2023-05-12T18:08:00Z</dcterms:created>
  <dcterms:modified xsi:type="dcterms:W3CDTF">2023-05-12T18:10:00Z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zotero-version="6.0.6"&gt;&lt;session id="lMvYmy5j"/&gt;&lt;style id="http://www.zotero.org/styles/remote-sensing" hasBibliography="1" bibliographyStyleHasBeenSet="1"/&gt;&lt;prefs&gt;&lt;pref name="fieldType" value="Field"/&gt;&lt;/prefs&gt;&lt;/data&gt;</vt:lpwstr>
  </property>
  <property fmtid="{D5CDD505-2E9C-101B-9397-08002B2CF9AE}" pid="3" name="ContentTypeId">
    <vt:lpwstr>0x0101004832CD02197568409053675A55533824</vt:lpwstr>
  </property>
</Properties>
</file>