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9706" w14:textId="77777777" w:rsidR="00E52111" w:rsidRDefault="00000000">
      <w:pPr>
        <w:spacing w:line="240" w:lineRule="auto"/>
        <w:jc w:val="both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  <w:noProof/>
        </w:rPr>
        <w:drawing>
          <wp:inline distT="114300" distB="114300" distL="114300" distR="114300" wp14:anchorId="5E47FAB1" wp14:editId="0A693331">
            <wp:extent cx="5900738" cy="4871153"/>
            <wp:effectExtent l="12700" t="12700" r="12700" b="127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4871153"/>
                    </a:xfrm>
                    <a:prstGeom prst="rect">
                      <a:avLst/>
                    </a:prstGeom>
                    <a:ln w="127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FCDACA1" w14:textId="77777777" w:rsidR="00E52111" w:rsidRDefault="00000000">
      <w:pPr>
        <w:spacing w:after="240" w:line="240" w:lineRule="auto"/>
        <w:jc w:val="both"/>
      </w:pPr>
      <w:r>
        <w:rPr>
          <w:rFonts w:ascii="Georgia" w:eastAsia="Georgia" w:hAnsi="Georgia" w:cs="Georgia"/>
          <w:b/>
        </w:rPr>
        <w:t>Figure S1:</w:t>
      </w:r>
      <w:r>
        <w:rPr>
          <w:rFonts w:ascii="Georgia" w:eastAsia="Georgia" w:hAnsi="Georgia" w:cs="Georgia"/>
        </w:rPr>
        <w:t xml:space="preserve"> The six (6) Northern states </w:t>
      </w:r>
      <w:proofErr w:type="spellStart"/>
      <w:r>
        <w:rPr>
          <w:rFonts w:ascii="Georgia" w:eastAsia="Georgia" w:hAnsi="Georgia" w:cs="Georgia"/>
        </w:rPr>
        <w:t>SCIDaR</w:t>
      </w:r>
      <w:proofErr w:type="spellEnd"/>
      <w:r>
        <w:rPr>
          <w:rFonts w:ascii="Georgia" w:eastAsia="Georgia" w:hAnsi="Georgia" w:cs="Georgia"/>
        </w:rPr>
        <w:t xml:space="preserve"> provides RI strengthening support (USAID, 2019)</w:t>
      </w:r>
    </w:p>
    <w:p w14:paraId="60646218" w14:textId="77777777" w:rsidR="00E52111" w:rsidRDefault="00E52111"/>
    <w:p w14:paraId="0614291C" w14:textId="77777777" w:rsidR="00E52111" w:rsidRDefault="00E52111"/>
    <w:p w14:paraId="4E79CA59" w14:textId="77777777" w:rsidR="00E52111" w:rsidRDefault="00000000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  <w:noProof/>
        </w:rPr>
        <w:lastRenderedPageBreak/>
        <w:drawing>
          <wp:inline distT="114300" distB="114300" distL="114300" distR="114300" wp14:anchorId="00DD9EF2" wp14:editId="5127499C">
            <wp:extent cx="5943600" cy="4572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54947F" w14:textId="77777777" w:rsidR="00E52111" w:rsidRDefault="00000000">
      <w:pPr>
        <w:spacing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Figure S2: </w:t>
      </w:r>
      <w:r>
        <w:rPr>
          <w:rFonts w:ascii="Georgia" w:eastAsia="Georgia" w:hAnsi="Georgia" w:cs="Georgia"/>
        </w:rPr>
        <w:t>The study model/framework using SEM designed path analysis [Hypothesis H</w:t>
      </w:r>
      <w:r>
        <w:rPr>
          <w:rFonts w:ascii="Georgia" w:eastAsia="Georgia" w:hAnsi="Georgia" w:cs="Georgia"/>
          <w:vertAlign w:val="subscript"/>
        </w:rPr>
        <w:t xml:space="preserve">2.1 </w:t>
      </w:r>
      <w:r>
        <w:rPr>
          <w:rFonts w:ascii="Georgia" w:eastAsia="Georgia" w:hAnsi="Georgia" w:cs="Georgia"/>
        </w:rPr>
        <w:t>- H</w:t>
      </w:r>
      <w:r>
        <w:rPr>
          <w:rFonts w:ascii="Georgia" w:eastAsia="Georgia" w:hAnsi="Georgia" w:cs="Georgia"/>
          <w:vertAlign w:val="subscript"/>
        </w:rPr>
        <w:t>6.1</w:t>
      </w:r>
      <w:r>
        <w:rPr>
          <w:rFonts w:ascii="Georgia" w:eastAsia="Georgia" w:hAnsi="Georgia" w:cs="Georgia"/>
        </w:rPr>
        <w:t>]</w:t>
      </w:r>
    </w:p>
    <w:p w14:paraId="137B0E25" w14:textId="7923870E" w:rsidR="00E52111" w:rsidRPr="001D2E0E" w:rsidRDefault="00000000" w:rsidP="001D2E0E">
      <w:pPr>
        <w:spacing w:after="240"/>
        <w:rPr>
          <w:rFonts w:ascii="Georgia" w:eastAsia="Georgia" w:hAnsi="Georgia" w:cs="Georgia"/>
        </w:rPr>
      </w:pPr>
      <w:r>
        <w:br w:type="page"/>
      </w:r>
      <w:bookmarkStart w:id="0" w:name="_p9yw89r8nfen" w:colFirst="0" w:colLast="0"/>
      <w:bookmarkEnd w:id="0"/>
    </w:p>
    <w:p w14:paraId="72DA6626" w14:textId="77777777" w:rsidR="00E52111" w:rsidRDefault="00000000">
      <w:pPr>
        <w:spacing w:after="160" w:line="259" w:lineRule="auto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>Table S1:</w:t>
      </w:r>
      <w:r>
        <w:rPr>
          <w:rFonts w:ascii="Georgia" w:eastAsia="Georgia" w:hAnsi="Georgia" w:cs="Georgia"/>
        </w:rPr>
        <w:t xml:space="preserve"> Questionnaire guide for survey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5100"/>
        <w:gridCol w:w="1920"/>
        <w:gridCol w:w="1380"/>
      </w:tblGrid>
      <w:tr w:rsidR="00E52111" w14:paraId="7673430B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AF4C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Level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DB3D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 xml:space="preserve">Focus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8AD4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Participants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AE6C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</w:rPr>
            </w:pPr>
            <w:r>
              <w:rPr>
                <w:rFonts w:ascii="Georgia" w:eastAsia="Georgia" w:hAnsi="Georgia" w:cs="Georgia"/>
                <w:b/>
              </w:rPr>
              <w:t>Interview method</w:t>
            </w:r>
          </w:p>
        </w:tc>
      </w:tr>
      <w:tr w:rsidR="00E52111" w14:paraId="68796B12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E6B8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State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0613" w14:textId="77777777" w:rsidR="00E52111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perceived effect of COVID-19 on SPHCMB operations and its routine activities</w:t>
            </w:r>
          </w:p>
          <w:p w14:paraId="3F2CC997" w14:textId="77777777" w:rsidR="00E52111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Impact of the pandemic on the availability of resources and personnel to implement program activities</w:t>
            </w:r>
          </w:p>
          <w:p w14:paraId="343E72A8" w14:textId="77777777" w:rsidR="00E52111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effect on the delivery of essential PHC services across health facilities and LGAs</w:t>
            </w:r>
          </w:p>
          <w:p w14:paraId="5AC177D6" w14:textId="77777777" w:rsidR="00E52111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Possible strategies to encourage personnel to continue program implementation throughout the pandemic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40A8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HCH, ES SPHCMB, Directors, PMs and program officers (2 program officers and directors)</w:t>
            </w:r>
          </w:p>
          <w:p w14:paraId="090046CD" w14:textId="77777777" w:rsidR="00E52111" w:rsidRDefault="00E521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CAD0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KII</w:t>
            </w:r>
          </w:p>
        </w:tc>
      </w:tr>
      <w:tr w:rsidR="00E52111" w14:paraId="273AB04C" w14:textId="77777777">
        <w:trPr>
          <w:trHeight w:val="1755"/>
        </w:trPr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85C1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LGA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0C63" w14:textId="77777777" w:rsidR="00E52111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effect of COVID-19 on LGA operations and its routine activities</w:t>
            </w:r>
          </w:p>
          <w:p w14:paraId="68D5128C" w14:textId="77777777" w:rsidR="00E52111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effect on the delivery of essential PHC services across health facilities in LGAs</w:t>
            </w:r>
          </w:p>
          <w:p w14:paraId="513563DE" w14:textId="77777777" w:rsidR="00E52111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effect of the pandemic on resource availability for PHC services in the LGA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21C8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LGHA team (2 respondents per LGA)</w:t>
            </w:r>
          </w:p>
          <w:p w14:paraId="5F2D98DF" w14:textId="77777777" w:rsidR="00E52111" w:rsidRDefault="00E521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8B16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KII</w:t>
            </w:r>
          </w:p>
        </w:tc>
      </w:tr>
      <w:tr w:rsidR="00E52111" w14:paraId="02D0729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1D44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Health facility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8261" w14:textId="77777777" w:rsidR="00E52111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general perspective of community dwellers and health workers on PHC services during the pandemic</w:t>
            </w:r>
          </w:p>
          <w:p w14:paraId="3B43CAC9" w14:textId="77777777" w:rsidR="00E52111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Essential needs of the service providers that will enable continuity of service provision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4B20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Service providers, health facility in-charges (2 service providers per HF)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D6C1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KII</w:t>
            </w:r>
          </w:p>
        </w:tc>
      </w:tr>
      <w:tr w:rsidR="00E52111" w14:paraId="6A98C3B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1752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Settlements</w:t>
            </w:r>
          </w:p>
        </w:tc>
        <w:tc>
          <w:tcPr>
            <w:tcW w:w="5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54D2" w14:textId="77777777" w:rsidR="00E52111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The general perspective of community dwellers on health facility visits during the pandemic</w:t>
            </w:r>
          </w:p>
          <w:p w14:paraId="0049D755" w14:textId="77777777" w:rsidR="00E52111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Possible strategies to motivate community members to access essential services during the pandemic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7F98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Traditional leaders, VCMs and caregivers (2 caregivers per settlement/facility)</w:t>
            </w:r>
          </w:p>
          <w:p w14:paraId="5EE9A809" w14:textId="77777777" w:rsidR="00E52111" w:rsidRDefault="00E52111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43E0" w14:textId="77777777" w:rsidR="00E52111" w:rsidRDefault="00000000">
            <w:pPr>
              <w:widowControl w:val="0"/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KII</w:t>
            </w:r>
          </w:p>
        </w:tc>
      </w:tr>
    </w:tbl>
    <w:p w14:paraId="01990712" w14:textId="77777777" w:rsidR="00E52111" w:rsidRDefault="00E52111">
      <w:pPr>
        <w:spacing w:after="160" w:line="259" w:lineRule="auto"/>
        <w:jc w:val="both"/>
        <w:rPr>
          <w:rFonts w:ascii="Georgia" w:eastAsia="Georgia" w:hAnsi="Georgia" w:cs="Georgia"/>
        </w:rPr>
      </w:pPr>
    </w:p>
    <w:p w14:paraId="66B0EADE" w14:textId="77777777" w:rsidR="00E52111" w:rsidRDefault="00000000">
      <w:pPr>
        <w:spacing w:after="160" w:line="259" w:lineRule="auto"/>
        <w:jc w:val="both"/>
        <w:rPr>
          <w:rFonts w:ascii="Georgia" w:eastAsia="Georgia" w:hAnsi="Georgia" w:cs="Georgia"/>
        </w:rPr>
      </w:pPr>
      <w:r>
        <w:br w:type="page"/>
      </w:r>
    </w:p>
    <w:p w14:paraId="2C2F42BB" w14:textId="77777777" w:rsidR="00E52111" w:rsidRDefault="00000000">
      <w:pPr>
        <w:spacing w:before="24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 xml:space="preserve">Table S2: </w:t>
      </w:r>
      <w:r>
        <w:rPr>
          <w:rFonts w:ascii="Georgia" w:eastAsia="Georgia" w:hAnsi="Georgia" w:cs="Georgia"/>
        </w:rPr>
        <w:t>Kaiser-Meyer-Olkin and Bartlett's Test</w:t>
      </w:r>
    </w:p>
    <w:tbl>
      <w:tblPr>
        <w:tblStyle w:val="a0"/>
        <w:tblW w:w="9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95"/>
        <w:gridCol w:w="2325"/>
        <w:gridCol w:w="1470"/>
      </w:tblGrid>
      <w:tr w:rsidR="00E52111" w14:paraId="7CBC8666" w14:textId="77777777">
        <w:tc>
          <w:tcPr>
            <w:tcW w:w="529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DD72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KMO Measure of Sampling Adequacy.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2C4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FBF9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</w:rPr>
              <w:t>0.951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3553F7F9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FC80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Bartlett's Test of Sphericity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A7AC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Approx. Chi-Square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3DE9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5841.294</w:t>
            </w:r>
          </w:p>
        </w:tc>
      </w:tr>
      <w:tr w:rsidR="00E52111" w14:paraId="1BDEBC77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ED9C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77EE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df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9B7C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276</w:t>
            </w:r>
          </w:p>
        </w:tc>
      </w:tr>
      <w:tr w:rsidR="00E52111" w14:paraId="7783AE02" w14:textId="77777777">
        <w:tc>
          <w:tcPr>
            <w:tcW w:w="52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E198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B5F2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Sig.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552E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&lt;0.001</w:t>
            </w:r>
          </w:p>
        </w:tc>
      </w:tr>
    </w:tbl>
    <w:p w14:paraId="11B77CF0" w14:textId="77777777" w:rsidR="00E52111" w:rsidRDefault="00E52111">
      <w:pPr>
        <w:spacing w:before="240" w:after="240" w:line="480" w:lineRule="auto"/>
        <w:jc w:val="both"/>
        <w:rPr>
          <w:rFonts w:ascii="Georgia" w:eastAsia="Georgia" w:hAnsi="Georgia" w:cs="Georgia"/>
        </w:rPr>
      </w:pPr>
    </w:p>
    <w:p w14:paraId="4740C08E" w14:textId="77777777" w:rsidR="00E52111" w:rsidRDefault="00E52111">
      <w:pPr>
        <w:spacing w:after="240"/>
        <w:rPr>
          <w:rFonts w:ascii="Georgia" w:eastAsia="Georgia" w:hAnsi="Georgia" w:cs="Georgia"/>
        </w:rPr>
      </w:pPr>
    </w:p>
    <w:p w14:paraId="1A27D85C" w14:textId="77777777" w:rsidR="00E52111" w:rsidRDefault="00000000">
      <w:pPr>
        <w:spacing w:before="240"/>
        <w:jc w:val="both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b/>
        </w:rPr>
        <w:t xml:space="preserve">Table S3: </w:t>
      </w:r>
      <w:r>
        <w:rPr>
          <w:rFonts w:ascii="Georgia" w:eastAsia="Georgia" w:hAnsi="Georgia" w:cs="Georgia"/>
        </w:rPr>
        <w:t>Initial Eigenvalues and Rotation Sums of Squared Loadings</w:t>
      </w:r>
    </w:p>
    <w:tbl>
      <w:tblPr>
        <w:tblStyle w:val="a1"/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870"/>
        <w:gridCol w:w="1575"/>
        <w:gridCol w:w="1650"/>
        <w:gridCol w:w="855"/>
        <w:gridCol w:w="2055"/>
        <w:gridCol w:w="1710"/>
      </w:tblGrid>
      <w:tr w:rsidR="00E52111" w14:paraId="00B0680B" w14:textId="77777777">
        <w:tc>
          <w:tcPr>
            <w:tcW w:w="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13EC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Comp</w:t>
            </w:r>
          </w:p>
        </w:tc>
        <w:tc>
          <w:tcPr>
            <w:tcW w:w="409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F7B1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Initial Eigenvalues</w:t>
            </w:r>
          </w:p>
        </w:tc>
        <w:tc>
          <w:tcPr>
            <w:tcW w:w="46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E231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Rotation Sums of Squared Loadings</w:t>
            </w:r>
          </w:p>
        </w:tc>
      </w:tr>
      <w:tr w:rsidR="00E52111" w14:paraId="46B6D54F" w14:textId="77777777"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2A3E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417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Total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9A9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% of Variance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D4EE0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Cumulative 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ADC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Total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AE25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% of Variance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BA60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Cumulative %</w:t>
            </w:r>
          </w:p>
        </w:tc>
      </w:tr>
      <w:tr w:rsidR="00E52111" w14:paraId="54616EA1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08C5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5BF1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13.551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CF18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56.462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9B72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56.462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72214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6.794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45EA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28.306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E40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28.306</w:t>
            </w:r>
          </w:p>
        </w:tc>
      </w:tr>
      <w:tr w:rsidR="00E52111" w14:paraId="67F62673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DF606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0E5C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1.767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B285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7.362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5CA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63.824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3F51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4.776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FFA9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19.899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CC30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48.205</w:t>
            </w:r>
          </w:p>
        </w:tc>
      </w:tr>
      <w:tr w:rsidR="00E52111" w14:paraId="23F7CA10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01E3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41D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1.185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05C2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4.938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AF9A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68.762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95C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3.483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4C8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14.513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C10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62.718</w:t>
            </w:r>
          </w:p>
        </w:tc>
      </w:tr>
      <w:tr w:rsidR="00E52111" w14:paraId="0D56E1B9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9B34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2077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1.053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316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4.388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EA6D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73.150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1F4E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2.504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C6A8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10.432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F445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73.150</w:t>
            </w:r>
          </w:p>
        </w:tc>
      </w:tr>
      <w:tr w:rsidR="00E52111" w14:paraId="14C031F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23FD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7A12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0.890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0A9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3.707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F4A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76.857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AF6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9D05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8ECC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E52111" w14:paraId="7F9CB3ED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260E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9F95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0.634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EF5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2.641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EE9C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79.498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BDFF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D77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1B43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  <w:tr w:rsidR="00E52111" w14:paraId="37653E56" w14:textId="77777777"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7C17" w14:textId="77777777" w:rsidR="00E52111" w:rsidRDefault="00000000">
            <w:pPr>
              <w:spacing w:line="240" w:lineRule="auto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54E6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0.596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CD87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2.485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82F1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  <w:color w:val="948A54"/>
              </w:rPr>
            </w:pPr>
            <w:r>
              <w:rPr>
                <w:rFonts w:ascii="Georgia" w:eastAsia="Georgia" w:hAnsi="Georgia" w:cs="Georgia"/>
                <w:color w:val="948A54"/>
              </w:rPr>
              <w:t>81.983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3BA7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6949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D36A" w14:textId="77777777" w:rsidR="00E52111" w:rsidRDefault="00000000">
            <w:pPr>
              <w:spacing w:line="240" w:lineRule="auto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 </w:t>
            </w:r>
          </w:p>
        </w:tc>
      </w:tr>
    </w:tbl>
    <w:p w14:paraId="42152A64" w14:textId="77777777" w:rsidR="00E52111" w:rsidRDefault="00000000">
      <w:pPr>
        <w:spacing w:after="240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sz w:val="18"/>
          <w:szCs w:val="18"/>
        </w:rPr>
        <w:t xml:space="preserve">Note: </w:t>
      </w:r>
      <w:r>
        <w:rPr>
          <w:rFonts w:ascii="Georgia" w:eastAsia="Georgia" w:hAnsi="Georgia" w:cs="Georgia"/>
          <w:i/>
          <w:sz w:val="18"/>
          <w:szCs w:val="18"/>
        </w:rPr>
        <w:t>Comp=Component</w:t>
      </w:r>
    </w:p>
    <w:p w14:paraId="410828E0" w14:textId="77777777" w:rsidR="00E52111" w:rsidRDefault="00E52111">
      <w:pPr>
        <w:spacing w:before="240" w:after="240"/>
        <w:rPr>
          <w:rFonts w:ascii="Georgia" w:eastAsia="Georgia" w:hAnsi="Georgia" w:cs="Georgia"/>
        </w:rPr>
      </w:pPr>
    </w:p>
    <w:p w14:paraId="7114FE73" w14:textId="77777777" w:rsidR="00E52111" w:rsidRDefault="00000000">
      <w:pPr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</w:rPr>
        <w:lastRenderedPageBreak/>
        <w:drawing>
          <wp:inline distT="114300" distB="114300" distL="114300" distR="114300" wp14:anchorId="6B3FB924" wp14:editId="06AE8CB9">
            <wp:extent cx="5943600" cy="34163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728341" w14:textId="77777777" w:rsidR="00E52111" w:rsidRDefault="00000000">
      <w:pPr>
        <w:spacing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Figure S3:</w:t>
      </w:r>
      <w:r>
        <w:rPr>
          <w:rFonts w:ascii="Georgia" w:eastAsia="Georgia" w:hAnsi="Georgia" w:cs="Georgia"/>
        </w:rPr>
        <w:t xml:space="preserve"> Components with factor loadings matrix</w:t>
      </w:r>
    </w:p>
    <w:p w14:paraId="3D2229A8" w14:textId="77777777" w:rsidR="00E52111" w:rsidRDefault="00E52111">
      <w:pPr>
        <w:spacing w:after="240"/>
        <w:rPr>
          <w:rFonts w:ascii="Georgia" w:eastAsia="Georgia" w:hAnsi="Georgia" w:cs="Georgia"/>
        </w:rPr>
      </w:pPr>
    </w:p>
    <w:p w14:paraId="16F50073" w14:textId="77777777" w:rsidR="001D2E0E" w:rsidRDefault="001D2E0E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br w:type="page"/>
      </w:r>
    </w:p>
    <w:p w14:paraId="62A4F216" w14:textId="1F4436BF" w:rsidR="00E52111" w:rsidRDefault="00000000">
      <w:pPr>
        <w:spacing w:before="240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lastRenderedPageBreak/>
        <w:t xml:space="preserve">Table S4: </w:t>
      </w:r>
      <w:r>
        <w:rPr>
          <w:rFonts w:ascii="Georgia" w:eastAsia="Georgia" w:hAnsi="Georgia" w:cs="Georgia"/>
        </w:rPr>
        <w:t>Initial Eigenvalues and Rotation Sums of Squared Loadings</w:t>
      </w:r>
    </w:p>
    <w:tbl>
      <w:tblPr>
        <w:tblStyle w:val="a2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1080"/>
        <w:gridCol w:w="1080"/>
        <w:gridCol w:w="1080"/>
        <w:gridCol w:w="1080"/>
        <w:gridCol w:w="1080"/>
        <w:gridCol w:w="1065"/>
        <w:gridCol w:w="1080"/>
        <w:gridCol w:w="1065"/>
      </w:tblGrid>
      <w:tr w:rsidR="00E52111" w14:paraId="0FDB6955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E830F2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Indicators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AB6E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370FC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Cronbach’s α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656C6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FBC7B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Cronbach’s α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288DE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C3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D9483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Cronbach’s α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B32EC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C4</w:t>
            </w:r>
          </w:p>
        </w:tc>
        <w:tc>
          <w:tcPr>
            <w:tcW w:w="1065" w:type="dxa"/>
            <w:tcBorders>
              <w:top w:val="single" w:sz="6" w:space="0" w:color="B7B7B7"/>
              <w:left w:val="single" w:sz="6" w:space="0" w:color="999999"/>
              <w:bottom w:val="single" w:sz="6" w:space="0" w:color="B7B7B7"/>
              <w:right w:val="single" w:sz="6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16843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Cronbach’s α</w:t>
            </w:r>
          </w:p>
        </w:tc>
      </w:tr>
      <w:tr w:rsidR="00E52111" w14:paraId="51C50E8E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64A78F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SD1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7D164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0.537</w:t>
            </w:r>
          </w:p>
        </w:tc>
        <w:tc>
          <w:tcPr>
            <w:tcW w:w="10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CD83D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0.728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473F8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5CB38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0E0B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99CB0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0EEA1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B7B7B7"/>
              <w:left w:val="single" w:sz="6" w:space="0" w:color="999999"/>
              <w:bottom w:val="single" w:sz="6" w:space="0" w:color="B7B7B7"/>
              <w:right w:val="single" w:sz="6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7375BA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6F1E3B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FCC5074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SD2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37371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0.678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48B1F0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DF1C7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5366E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A09BA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080B57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BEF8A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B7B7B7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56687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4889BE07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B89D99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  <w:t>SD3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D82B51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>0.199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69601D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98F39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C553B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A28D92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20D42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772A7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A5ED3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</w:tr>
      <w:tr w:rsidR="00E52111" w14:paraId="5A51B04C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4C0016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  <w:t>SD4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AC3B4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>0.495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F6A4911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81CED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E8FAC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E8804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8DE62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C44A0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E57D34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</w:tr>
      <w:tr w:rsidR="00E52111" w14:paraId="69C12AE1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E53B77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SD5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26EE4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0.643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8F7CB8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B08CC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5009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C45BF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09455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B6B57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5C3DF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7E736F9D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96DBE5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07EB81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0.680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68D9F0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7DC3F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D4F89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D50678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9FACB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B27F3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C72F6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12C96747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8DE661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CBD2F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0.692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68D1EE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D4A518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269F7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C0F9B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37C42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6C151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C7294F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057A6F2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8BD453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5D639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0.766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C1B5B3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646FD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226BF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94775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B2F63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9C328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4B7F1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4FF708EA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AC429E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CE4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8483C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0.728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C08E6F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251F0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2510B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DF70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FB494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F37BC7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4591C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6799826E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1DCFA0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CE5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9B3061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0.767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FC84F5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85691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E1E93F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2046E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4DA8D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54447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8D3275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3F5182F9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2DB4E5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M&amp;E1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F815D2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0.719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DE8DB6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4EF46F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829FB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36007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BD2FB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DC992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EC825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4A53AFEA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1A60DA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M&amp;E2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024F3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0.659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A66194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FA27C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D411C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BA99A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AA60C9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3CC92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FEAD8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33C58653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9093BB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M&amp;E3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8019B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0.691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685953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37B40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F03039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AE239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97CFB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07747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80CF2A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AA65C92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BBEE496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M&amp;E4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541E7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0.661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20A7A0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CB5F0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70A127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74626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EF380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45F42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B48D8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A22B44A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3A0F80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VSC1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717FC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3F22A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2106B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0C1843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0BA48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0.575</w:t>
            </w:r>
          </w:p>
        </w:tc>
        <w:tc>
          <w:tcPr>
            <w:tcW w:w="106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B2740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0.742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1A0CD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6BFF0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05AA2CC6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6B3614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VSC2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C0663C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2E79D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5484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BB2D2D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4E5B8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0.543</w:t>
            </w:r>
          </w:p>
        </w:tc>
        <w:tc>
          <w:tcPr>
            <w:tcW w:w="106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1A9F37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35AD1E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E336B5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1375516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844992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VSC3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A07553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5DA78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F1B46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A18CE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A8804C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0.607</w:t>
            </w:r>
          </w:p>
        </w:tc>
        <w:tc>
          <w:tcPr>
            <w:tcW w:w="106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4EBB6E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7919F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EE5081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DED6EB9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BF87A0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HF1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C2BDF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44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DB4F7E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0.787</w:t>
            </w:r>
          </w:p>
        </w:tc>
        <w:tc>
          <w:tcPr>
            <w:tcW w:w="10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97B53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0.861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0F8CF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A0C4D6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EAC3A6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0497A80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7AF47F3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BD6A1B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HF2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9C387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2E2E7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B8E51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0.835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39921A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A6B4C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8712AA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7D262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2D5A7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5254F5B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C04D3A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HF3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5F560E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75227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B7FEB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0.860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B41B0E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7EE11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8E3CF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C5DB79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B818195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293774D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062427F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HF4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49DC8A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2738D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BD1E5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0.784</w:t>
            </w:r>
          </w:p>
        </w:tc>
        <w:tc>
          <w:tcPr>
            <w:tcW w:w="10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43032C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DD6E9A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E8C59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F0FBC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999999"/>
              <w:left w:val="single" w:sz="6" w:space="0" w:color="999999"/>
              <w:bottom w:val="single" w:sz="6" w:space="0" w:color="B7B7B7"/>
              <w:right w:val="single" w:sz="4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F918C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E52111" w14:paraId="1D0D02F0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891B18" w14:textId="77777777" w:rsidR="00E52111" w:rsidRDefault="00000000" w:rsidP="001D2E0E">
            <w:pPr>
              <w:widowControl w:val="0"/>
              <w:spacing w:line="240" w:lineRule="auto"/>
              <w:jc w:val="both"/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EEECE1"/>
                <w:sz w:val="16"/>
                <w:szCs w:val="16"/>
              </w:rPr>
              <w:t>L&amp;G1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E135CB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D990ED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99A851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DB0B8F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574882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85A214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FA7C708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color w:val="EEECE1"/>
                <w:sz w:val="16"/>
                <w:szCs w:val="16"/>
              </w:rPr>
            </w:pPr>
            <w:r>
              <w:rPr>
                <w:rFonts w:ascii="Georgia" w:eastAsia="Georgia" w:hAnsi="Georgia" w:cs="Georgia"/>
                <w:color w:val="EEECE1"/>
                <w:sz w:val="16"/>
                <w:szCs w:val="16"/>
              </w:rPr>
              <w:t>0.487</w:t>
            </w:r>
          </w:p>
        </w:tc>
        <w:tc>
          <w:tcPr>
            <w:tcW w:w="1065" w:type="dxa"/>
            <w:vMerge w:val="restart"/>
            <w:tcBorders>
              <w:top w:val="single" w:sz="6" w:space="0" w:color="B7B7B7"/>
              <w:left w:val="single" w:sz="6" w:space="0" w:color="999999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8B8227" w14:textId="77777777" w:rsidR="00E52111" w:rsidRDefault="00000000" w:rsidP="001D2E0E">
            <w:pPr>
              <w:widowControl w:val="0"/>
              <w:spacing w:line="240" w:lineRule="auto"/>
              <w:jc w:val="center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0.892</w:t>
            </w:r>
          </w:p>
        </w:tc>
      </w:tr>
      <w:tr w:rsidR="00E52111" w14:paraId="75866189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672D4" w14:textId="77777777" w:rsidR="00E52111" w:rsidRDefault="00000000" w:rsidP="001D2E0E">
            <w:pPr>
              <w:spacing w:line="240" w:lineRule="auto"/>
              <w:jc w:val="both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L&amp;G2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FE6FD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D45B0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7393F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BE43A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F63B4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0DA0A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98FD2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0.814</w:t>
            </w:r>
          </w:p>
        </w:tc>
        <w:tc>
          <w:tcPr>
            <w:tcW w:w="1065" w:type="dxa"/>
            <w:vMerge/>
            <w:tcBorders>
              <w:top w:val="single" w:sz="6" w:space="0" w:color="B7B7B7"/>
              <w:left w:val="single" w:sz="6" w:space="0" w:color="999999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DF2B20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</w:tr>
      <w:tr w:rsidR="00E52111" w14:paraId="18129A1A" w14:textId="77777777" w:rsidTr="001D2E0E">
        <w:trPr>
          <w:trHeight w:val="288"/>
        </w:trPr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8A8CD" w14:textId="77777777" w:rsidR="00E52111" w:rsidRDefault="00000000" w:rsidP="001D2E0E">
            <w:pPr>
              <w:spacing w:line="240" w:lineRule="auto"/>
              <w:jc w:val="both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L&amp;G3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086D5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1625B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73A1E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D4A85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09DF0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80749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C422E" w14:textId="77777777" w:rsidR="00E52111" w:rsidRDefault="00000000" w:rsidP="001D2E0E">
            <w:pPr>
              <w:spacing w:line="240" w:lineRule="auto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0.837</w:t>
            </w:r>
          </w:p>
        </w:tc>
        <w:tc>
          <w:tcPr>
            <w:tcW w:w="1065" w:type="dxa"/>
            <w:vMerge/>
            <w:tcBorders>
              <w:top w:val="single" w:sz="6" w:space="0" w:color="B7B7B7"/>
              <w:left w:val="single" w:sz="6" w:space="0" w:color="999999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E39D33" w14:textId="77777777" w:rsidR="00E52111" w:rsidRDefault="00E52111" w:rsidP="001D2E0E">
            <w:pPr>
              <w:spacing w:line="240" w:lineRule="auto"/>
              <w:jc w:val="both"/>
              <w:rPr>
                <w:rFonts w:ascii="Georgia" w:eastAsia="Georgia" w:hAnsi="Georgia" w:cs="Georgia"/>
              </w:rPr>
            </w:pPr>
          </w:p>
        </w:tc>
      </w:tr>
    </w:tbl>
    <w:p w14:paraId="1CAE927E" w14:textId="77777777" w:rsidR="00E52111" w:rsidRDefault="00E52111">
      <w:pPr>
        <w:spacing w:before="240"/>
        <w:jc w:val="both"/>
        <w:rPr>
          <w:rFonts w:ascii="Georgia" w:eastAsia="Georgia" w:hAnsi="Georgia" w:cs="Georgia"/>
        </w:rPr>
      </w:pPr>
    </w:p>
    <w:p w14:paraId="7036A457" w14:textId="77777777" w:rsidR="00E52111" w:rsidRDefault="00E52111">
      <w:pPr>
        <w:spacing w:after="240"/>
        <w:rPr>
          <w:rFonts w:ascii="Georgia" w:eastAsia="Georgia" w:hAnsi="Georgia" w:cs="Georgia"/>
        </w:rPr>
      </w:pPr>
    </w:p>
    <w:p w14:paraId="7B4BA320" w14:textId="77777777" w:rsidR="00E52111" w:rsidRDefault="00000000">
      <w:pPr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</w:rPr>
        <w:drawing>
          <wp:inline distT="114300" distB="114300" distL="114300" distR="114300" wp14:anchorId="71594562" wp14:editId="08C7B8F1">
            <wp:extent cx="5943600" cy="4229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BDF6D7" w14:textId="77777777" w:rsidR="00E52111" w:rsidRDefault="00000000">
      <w:pPr>
        <w:spacing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Figure S4:</w:t>
      </w:r>
      <w:r>
        <w:rPr>
          <w:rFonts w:ascii="Georgia" w:eastAsia="Georgia" w:hAnsi="Georgia" w:cs="Georgia"/>
        </w:rPr>
        <w:t xml:space="preserve"> Factor loading in components</w:t>
      </w:r>
    </w:p>
    <w:p w14:paraId="55B36574" w14:textId="77777777" w:rsidR="00E52111" w:rsidRDefault="00E52111">
      <w:pPr>
        <w:spacing w:after="240"/>
        <w:rPr>
          <w:rFonts w:ascii="Georgia" w:eastAsia="Georgia" w:hAnsi="Georgia" w:cs="Georgia"/>
          <w:u w:val="single"/>
        </w:rPr>
      </w:pPr>
    </w:p>
    <w:sectPr w:rsidR="00E521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086"/>
    <w:multiLevelType w:val="multilevel"/>
    <w:tmpl w:val="9026A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B853C3"/>
    <w:multiLevelType w:val="multilevel"/>
    <w:tmpl w:val="2DAC9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5A27B5"/>
    <w:multiLevelType w:val="multilevel"/>
    <w:tmpl w:val="1D1E8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4F1D01"/>
    <w:multiLevelType w:val="multilevel"/>
    <w:tmpl w:val="D18679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3460A4"/>
    <w:multiLevelType w:val="multilevel"/>
    <w:tmpl w:val="8F902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9223849">
    <w:abstractNumId w:val="1"/>
  </w:num>
  <w:num w:numId="2" w16cid:durableId="569460203">
    <w:abstractNumId w:val="3"/>
  </w:num>
  <w:num w:numId="3" w16cid:durableId="131677912">
    <w:abstractNumId w:val="2"/>
  </w:num>
  <w:num w:numId="4" w16cid:durableId="1136870059">
    <w:abstractNumId w:val="4"/>
  </w:num>
  <w:num w:numId="5" w16cid:durableId="54699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11"/>
    <w:rsid w:val="00066411"/>
    <w:rsid w:val="001D2E0E"/>
    <w:rsid w:val="00E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55D6"/>
  <w15:docId w15:val="{3047CA3A-63D7-4662-ACC1-BF52E92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Aigbogun</dc:creator>
  <cp:lastModifiedBy>Eric Aigbogun</cp:lastModifiedBy>
  <cp:revision>3</cp:revision>
  <dcterms:created xsi:type="dcterms:W3CDTF">2023-04-24T20:08:00Z</dcterms:created>
  <dcterms:modified xsi:type="dcterms:W3CDTF">2023-04-24T20:10:00Z</dcterms:modified>
</cp:coreProperties>
</file>