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8C4B" w14:textId="77777777" w:rsidR="005824C8" w:rsidRPr="00F263B7" w:rsidRDefault="005824C8" w:rsidP="005824C8">
      <w:pPr>
        <w:spacing w:line="360" w:lineRule="auto"/>
        <w:jc w:val="right"/>
        <w:rPr>
          <w:rFonts w:ascii="Palatino Linotype" w:hAnsi="Palatino Linotype" w:cs="Times New Roman"/>
          <w:b/>
          <w:bCs/>
          <w:sz w:val="40"/>
          <w:szCs w:val="40"/>
        </w:rPr>
      </w:pPr>
      <w:r w:rsidRPr="00F263B7">
        <w:rPr>
          <w:rFonts w:ascii="Palatino Linotype" w:hAnsi="Palatino Linotype" w:cs="Times New Roman"/>
          <w:b/>
          <w:bCs/>
          <w:sz w:val="40"/>
          <w:szCs w:val="40"/>
        </w:rPr>
        <w:t>Supplementary Information</w:t>
      </w:r>
    </w:p>
    <w:p w14:paraId="2150D676" w14:textId="77777777" w:rsidR="00F263B7" w:rsidRPr="00FE7528" w:rsidRDefault="00F263B7" w:rsidP="00F263B7">
      <w:pPr>
        <w:pStyle w:val="MDPI11articletype"/>
      </w:pPr>
      <w:r w:rsidRPr="00FE7528">
        <w:t xml:space="preserve">Case Report </w:t>
      </w:r>
    </w:p>
    <w:p w14:paraId="35403865" w14:textId="77777777" w:rsidR="00F263B7" w:rsidRPr="00FE7528" w:rsidRDefault="00F263B7" w:rsidP="00F263B7">
      <w:pPr>
        <w:pStyle w:val="MDPI12title"/>
      </w:pPr>
      <w:r w:rsidRPr="00FE7528">
        <w:t>Information technology interventions in the implementation of grid-connected rooftop solar projects in India</w:t>
      </w:r>
    </w:p>
    <w:p w14:paraId="7BC05820" w14:textId="77777777" w:rsidR="00F263B7" w:rsidRPr="00FE7528" w:rsidRDefault="00F263B7" w:rsidP="00F263B7">
      <w:pPr>
        <w:pStyle w:val="MDPI13authornames"/>
      </w:pPr>
      <w:r w:rsidRPr="00FE7528">
        <w:t>Ishan Purohit</w:t>
      </w:r>
      <w:r w:rsidRPr="00FE7528">
        <w:rPr>
          <w:vertAlign w:val="superscript"/>
        </w:rPr>
        <w:t>1</w:t>
      </w:r>
      <w:r w:rsidRPr="00FE7528">
        <w:t>, Ashish Kumar Sharma</w:t>
      </w:r>
      <w:r w:rsidRPr="00FE7528">
        <w:rPr>
          <w:vertAlign w:val="superscript"/>
        </w:rPr>
        <w:t>1</w:t>
      </w:r>
      <w:r w:rsidRPr="00FE7528">
        <w:t xml:space="preserve"> and Pallav Purohit</w:t>
      </w:r>
      <w:r w:rsidRPr="00FE7528">
        <w:rPr>
          <w:vertAlign w:val="superscript"/>
        </w:rPr>
        <w:t>2</w:t>
      </w:r>
      <w:r w:rsidRPr="00FE7528">
        <w:t>*</w:t>
      </w:r>
    </w:p>
    <w:p w14:paraId="7E6A5E70" w14:textId="147F090E" w:rsidR="00F263B7" w:rsidRPr="00FE7528" w:rsidRDefault="00F263B7" w:rsidP="00F263B7">
      <w:pPr>
        <w:pStyle w:val="MDPI16affiliation"/>
        <w:ind w:left="180" w:hanging="180"/>
        <w:jc w:val="both"/>
      </w:pPr>
      <w:r w:rsidRPr="00FE7528">
        <w:rPr>
          <w:vertAlign w:val="superscript"/>
        </w:rPr>
        <w:t>1</w:t>
      </w:r>
      <w:r w:rsidRPr="00FE7528">
        <w:tab/>
        <w:t xml:space="preserve">International Finance Corporation (IFC), The World Bank Group, New Delhi – 110037, India; </w:t>
      </w:r>
      <w:hyperlink r:id="rId8" w:history="1">
        <w:r w:rsidRPr="00FE7528">
          <w:rPr>
            <w:rStyle w:val="Hyperlink"/>
          </w:rPr>
          <w:t>ipurohit@ifc.org</w:t>
        </w:r>
      </w:hyperlink>
      <w:r w:rsidRPr="00FE7528">
        <w:t xml:space="preserve"> (I.P.), </w:t>
      </w:r>
      <w:hyperlink r:id="rId9" w:history="1">
        <w:r w:rsidRPr="00FE7528">
          <w:rPr>
            <w:rStyle w:val="Hyperlink"/>
          </w:rPr>
          <w:t>asharma39@ifc.org</w:t>
        </w:r>
      </w:hyperlink>
      <w:r w:rsidRPr="00FE7528">
        <w:t xml:space="preserve"> (A.K.S.) </w:t>
      </w:r>
    </w:p>
    <w:p w14:paraId="51B5DB68" w14:textId="77777777" w:rsidR="00F263B7" w:rsidRPr="00FE7528" w:rsidRDefault="00F263B7" w:rsidP="00F263B7">
      <w:pPr>
        <w:pStyle w:val="MDPI16affiliation"/>
        <w:ind w:left="180" w:hanging="180"/>
        <w:jc w:val="both"/>
      </w:pPr>
      <w:r w:rsidRPr="00FE7528">
        <w:rPr>
          <w:vertAlign w:val="superscript"/>
        </w:rPr>
        <w:t>2</w:t>
      </w:r>
      <w:r w:rsidRPr="00FE7528">
        <w:tab/>
        <w:t xml:space="preserve">International Institute for Applied Systems Analysis (IIASA), </w:t>
      </w:r>
      <w:proofErr w:type="spellStart"/>
      <w:r w:rsidRPr="00FE7528">
        <w:t>Schlossplatz</w:t>
      </w:r>
      <w:proofErr w:type="spellEnd"/>
      <w:r w:rsidRPr="00FE7528">
        <w:t xml:space="preserve"> 1, A-2361, Laxenburg, Austria; </w:t>
      </w:r>
      <w:hyperlink r:id="rId10" w:history="1">
        <w:r w:rsidRPr="00FE7528">
          <w:rPr>
            <w:rStyle w:val="Hyperlink"/>
          </w:rPr>
          <w:t>purohit@iiasa.ac.at</w:t>
        </w:r>
      </w:hyperlink>
      <w:r w:rsidRPr="00FE7528">
        <w:t xml:space="preserve"> (P.P.)</w:t>
      </w:r>
    </w:p>
    <w:p w14:paraId="281ADAE1" w14:textId="3423F5D0" w:rsidR="005824C8" w:rsidRPr="005D7934" w:rsidRDefault="00F263B7" w:rsidP="00F263B7">
      <w:pPr>
        <w:pStyle w:val="MDPI16affiliation"/>
        <w:ind w:left="180" w:hanging="180"/>
        <w:jc w:val="both"/>
      </w:pPr>
      <w:r w:rsidRPr="00FE7528">
        <w:rPr>
          <w:b/>
        </w:rPr>
        <w:t>*</w:t>
      </w:r>
      <w:r w:rsidRPr="00FE7528">
        <w:tab/>
        <w:t xml:space="preserve">Correspondence: </w:t>
      </w:r>
      <w:hyperlink r:id="rId11" w:history="1">
        <w:r w:rsidRPr="00FE7528">
          <w:rPr>
            <w:rStyle w:val="Hyperlink"/>
          </w:rPr>
          <w:t>ipurohit@ifc.org</w:t>
        </w:r>
      </w:hyperlink>
      <w:r w:rsidRPr="00FE7528">
        <w:t xml:space="preserve"> (</w:t>
      </w:r>
      <w:r>
        <w:t>I</w:t>
      </w:r>
      <w:r w:rsidRPr="00FE7528">
        <w:t>.P.); Tel.: +</w:t>
      </w:r>
      <w:r>
        <w:t>91-9899113184</w:t>
      </w:r>
    </w:p>
    <w:p w14:paraId="59F6FDCF" w14:textId="77777777" w:rsidR="005824C8" w:rsidRPr="005D7934" w:rsidRDefault="005824C8" w:rsidP="00F263B7">
      <w:pPr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5D7934">
        <w:rPr>
          <w:rFonts w:ascii="Palatino Linotype" w:hAnsi="Palatino Linotype" w:cs="Times New Roman"/>
          <w:b/>
          <w:bCs/>
          <w:sz w:val="24"/>
          <w:szCs w:val="24"/>
        </w:rPr>
        <w:br w:type="page"/>
      </w:r>
    </w:p>
    <w:p w14:paraId="7DD955DF" w14:textId="77777777" w:rsidR="00AE5E8C" w:rsidRPr="005D7934" w:rsidRDefault="00AE5E8C" w:rsidP="00F263B7">
      <w:pPr>
        <w:spacing w:line="36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  <w:sectPr w:rsidR="00AE5E8C" w:rsidRPr="005D7934" w:rsidSect="00AE5E8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D9034A" w14:textId="61B25C3B" w:rsidR="00E768EE" w:rsidRPr="00362107" w:rsidRDefault="006479D4" w:rsidP="00362107">
      <w:pPr>
        <w:spacing w:line="360" w:lineRule="auto"/>
        <w:ind w:firstLine="180"/>
        <w:rPr>
          <w:rFonts w:ascii="Palatino Linotype" w:hAnsi="Palatino Linotype" w:cs="Times New Roman"/>
          <w:b/>
          <w:bCs/>
          <w:sz w:val="20"/>
          <w:szCs w:val="20"/>
        </w:rPr>
      </w:pPr>
      <w:bookmarkStart w:id="0" w:name="_Hlk126147741"/>
      <w:r w:rsidRPr="00362107">
        <w:rPr>
          <w:rFonts w:ascii="Palatino Linotype" w:hAnsi="Palatino Linotype" w:cs="Times New Roman"/>
          <w:b/>
          <w:bCs/>
          <w:sz w:val="20"/>
          <w:szCs w:val="20"/>
        </w:rPr>
        <w:lastRenderedPageBreak/>
        <w:t xml:space="preserve">Table </w:t>
      </w:r>
      <w:r w:rsidR="00444DCE" w:rsidRPr="00362107">
        <w:rPr>
          <w:rFonts w:ascii="Palatino Linotype" w:hAnsi="Palatino Linotype" w:cs="Times New Roman"/>
          <w:b/>
          <w:bCs/>
          <w:sz w:val="20"/>
          <w:szCs w:val="20"/>
        </w:rPr>
        <w:t>S</w:t>
      </w:r>
      <w:r w:rsidRPr="00362107">
        <w:rPr>
          <w:rFonts w:ascii="Palatino Linotype" w:hAnsi="Palatino Linotype" w:cs="Times New Roman"/>
          <w:b/>
          <w:bCs/>
          <w:sz w:val="20"/>
          <w:szCs w:val="20"/>
        </w:rPr>
        <w:t xml:space="preserve">1. </w:t>
      </w:r>
      <w:r w:rsidR="0018372B" w:rsidRPr="00362107">
        <w:rPr>
          <w:rFonts w:ascii="Palatino Linotype" w:hAnsi="Palatino Linotype" w:cs="Times New Roman"/>
          <w:b/>
          <w:bCs/>
          <w:sz w:val="20"/>
          <w:szCs w:val="20"/>
        </w:rPr>
        <w:t>Capacity</w:t>
      </w:r>
      <w:r w:rsidR="009B4B25" w:rsidRPr="00362107">
        <w:rPr>
          <w:rFonts w:ascii="Palatino Linotype" w:hAnsi="Palatino Linotype" w:cs="Times New Roman"/>
          <w:b/>
          <w:bCs/>
          <w:sz w:val="20"/>
          <w:szCs w:val="20"/>
        </w:rPr>
        <w:t xml:space="preserve"> (MW)</w:t>
      </w:r>
      <w:r w:rsidR="0018372B" w:rsidRPr="00362107">
        <w:rPr>
          <w:rFonts w:ascii="Palatino Linotype" w:hAnsi="Palatino Linotype" w:cs="Times New Roman"/>
          <w:b/>
          <w:bCs/>
          <w:sz w:val="20"/>
          <w:szCs w:val="20"/>
        </w:rPr>
        <w:t xml:space="preserve"> allocated to states for RTS implementation in India</w:t>
      </w:r>
      <w:r w:rsidR="00362107">
        <w:rPr>
          <w:rFonts w:ascii="Palatino Linotype" w:hAnsi="Palatino Linotype" w:cs="Times New Roman"/>
          <w:b/>
          <w:bCs/>
          <w:sz w:val="20"/>
          <w:szCs w:val="20"/>
        </w:rPr>
        <w:t>.</w:t>
      </w:r>
    </w:p>
    <w:tbl>
      <w:tblPr>
        <w:tblStyle w:val="TableGrid2"/>
        <w:tblW w:w="15210" w:type="dxa"/>
        <w:jc w:val="center"/>
        <w:tblLayout w:type="fixed"/>
        <w:tblLook w:val="04A0" w:firstRow="1" w:lastRow="0" w:firstColumn="1" w:lastColumn="0" w:noHBand="0" w:noVBand="1"/>
      </w:tblPr>
      <w:tblGrid>
        <w:gridCol w:w="3023"/>
        <w:gridCol w:w="1275"/>
        <w:gridCol w:w="1276"/>
        <w:gridCol w:w="1276"/>
        <w:gridCol w:w="1276"/>
        <w:gridCol w:w="1276"/>
        <w:gridCol w:w="1276"/>
        <w:gridCol w:w="1276"/>
        <w:gridCol w:w="1276"/>
        <w:gridCol w:w="1980"/>
      </w:tblGrid>
      <w:tr w:rsidR="00AE5E8C" w:rsidRPr="00362107" w14:paraId="0A2C2116" w14:textId="77777777" w:rsidTr="00362107">
        <w:trPr>
          <w:jc w:val="center"/>
        </w:trPr>
        <w:tc>
          <w:tcPr>
            <w:tcW w:w="3023" w:type="dxa"/>
            <w:vMerge w:val="restart"/>
            <w:vAlign w:val="center"/>
          </w:tcPr>
          <w:bookmarkEnd w:id="0"/>
          <w:p w14:paraId="2265365F" w14:textId="04C78B47" w:rsidR="00AE5E8C" w:rsidRPr="00362107" w:rsidRDefault="00AE5E8C" w:rsidP="00362107">
            <w:pPr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18"/>
                <w:szCs w:val="18"/>
              </w:rPr>
            </w:pPr>
            <w:r w:rsidRPr="00362107">
              <w:rPr>
                <w:rFonts w:ascii="Palatino Linotype" w:hAnsi="Palatino Linotype" w:cs="Times New Roman"/>
                <w:b/>
                <w:bCs/>
                <w:color w:val="000000"/>
                <w:sz w:val="18"/>
                <w:szCs w:val="18"/>
              </w:rPr>
              <w:t>States/UTs</w:t>
            </w:r>
          </w:p>
        </w:tc>
        <w:tc>
          <w:tcPr>
            <w:tcW w:w="10207" w:type="dxa"/>
            <w:gridSpan w:val="8"/>
            <w:vAlign w:val="center"/>
          </w:tcPr>
          <w:p w14:paraId="2458D161" w14:textId="5FED3981" w:rsidR="00AE5E8C" w:rsidRPr="00362107" w:rsidRDefault="00AE5E8C" w:rsidP="00362107">
            <w:pPr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18"/>
                <w:szCs w:val="18"/>
              </w:rPr>
            </w:pPr>
            <w:r w:rsidRPr="00362107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 xml:space="preserve">Capacity (MW) </w:t>
            </w:r>
          </w:p>
        </w:tc>
        <w:tc>
          <w:tcPr>
            <w:tcW w:w="1980" w:type="dxa"/>
            <w:vMerge w:val="restart"/>
            <w:vAlign w:val="center"/>
          </w:tcPr>
          <w:p w14:paraId="57422961" w14:textId="77777777" w:rsidR="00AE5E8C" w:rsidRPr="00362107" w:rsidRDefault="00AE5E8C" w:rsidP="00362107">
            <w:pPr>
              <w:ind w:left="-105" w:right="-105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18"/>
                <w:szCs w:val="18"/>
              </w:rPr>
            </w:pPr>
            <w:r w:rsidRPr="00362107">
              <w:rPr>
                <w:rFonts w:ascii="Palatino Linotype" w:hAnsi="Palatino Linotype" w:cs="Times New Roman"/>
                <w:b/>
                <w:bCs/>
                <w:color w:val="000000"/>
                <w:sz w:val="18"/>
                <w:szCs w:val="18"/>
              </w:rPr>
              <w:t xml:space="preserve">Target capacity </w:t>
            </w:r>
          </w:p>
          <w:p w14:paraId="7E652AE9" w14:textId="203A5651" w:rsidR="00AE5E8C" w:rsidRPr="00362107" w:rsidRDefault="00AE5E8C" w:rsidP="00362107">
            <w:pPr>
              <w:ind w:left="-105" w:right="-105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18"/>
                <w:szCs w:val="18"/>
              </w:rPr>
            </w:pPr>
            <w:r w:rsidRPr="00362107">
              <w:rPr>
                <w:rFonts w:ascii="Palatino Linotype" w:hAnsi="Palatino Linotype" w:cs="Times New Roman"/>
                <w:b/>
                <w:bCs/>
                <w:color w:val="000000"/>
                <w:sz w:val="18"/>
                <w:szCs w:val="18"/>
              </w:rPr>
              <w:t>(MW)</w:t>
            </w:r>
          </w:p>
        </w:tc>
      </w:tr>
      <w:tr w:rsidR="00AE5E8C" w:rsidRPr="00362107" w14:paraId="4B704AF4" w14:textId="77777777" w:rsidTr="00362107">
        <w:trPr>
          <w:trHeight w:val="60"/>
          <w:jc w:val="center"/>
        </w:trPr>
        <w:tc>
          <w:tcPr>
            <w:tcW w:w="3023" w:type="dxa"/>
            <w:vMerge/>
            <w:vAlign w:val="center"/>
          </w:tcPr>
          <w:p w14:paraId="00C4B41E" w14:textId="5E1C7529" w:rsidR="00AE5E8C" w:rsidRPr="00362107" w:rsidRDefault="00AE5E8C" w:rsidP="00362107">
            <w:pPr>
              <w:jc w:val="center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53E9567" w14:textId="77777777" w:rsidR="00AE5E8C" w:rsidRPr="00362107" w:rsidRDefault="00AE5E8C" w:rsidP="00362107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362107">
              <w:rPr>
                <w:rFonts w:ascii="Palatino Linotype" w:hAnsi="Palatino Linotype" w:cs="Times New Roman"/>
                <w:b/>
                <w:bCs/>
                <w:color w:val="000000"/>
                <w:sz w:val="18"/>
                <w:szCs w:val="18"/>
              </w:rPr>
              <w:t>2015-16</w:t>
            </w:r>
          </w:p>
        </w:tc>
        <w:tc>
          <w:tcPr>
            <w:tcW w:w="1276" w:type="dxa"/>
            <w:vAlign w:val="center"/>
          </w:tcPr>
          <w:p w14:paraId="1CF6543B" w14:textId="77777777" w:rsidR="00AE5E8C" w:rsidRPr="00362107" w:rsidRDefault="00AE5E8C" w:rsidP="00362107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362107">
              <w:rPr>
                <w:rFonts w:ascii="Palatino Linotype" w:hAnsi="Palatino Linotype" w:cs="Times New Roman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1276" w:type="dxa"/>
            <w:vAlign w:val="center"/>
          </w:tcPr>
          <w:p w14:paraId="310A292C" w14:textId="77777777" w:rsidR="00AE5E8C" w:rsidRPr="00362107" w:rsidRDefault="00AE5E8C" w:rsidP="00362107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362107">
              <w:rPr>
                <w:rFonts w:ascii="Palatino Linotype" w:hAnsi="Palatino Linotype" w:cs="Times New Roman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1276" w:type="dxa"/>
            <w:vAlign w:val="center"/>
          </w:tcPr>
          <w:p w14:paraId="6DDA54FC" w14:textId="77777777" w:rsidR="00AE5E8C" w:rsidRPr="00362107" w:rsidRDefault="00AE5E8C" w:rsidP="00362107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362107">
              <w:rPr>
                <w:rFonts w:ascii="Palatino Linotype" w:hAnsi="Palatino Linotype" w:cs="Times New Roman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1276" w:type="dxa"/>
            <w:vAlign w:val="center"/>
          </w:tcPr>
          <w:p w14:paraId="6BFB417E" w14:textId="77777777" w:rsidR="00AE5E8C" w:rsidRPr="00362107" w:rsidRDefault="00AE5E8C" w:rsidP="00362107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362107">
              <w:rPr>
                <w:rFonts w:ascii="Palatino Linotype" w:hAnsi="Palatino Linotype" w:cs="Times New Roman"/>
                <w:b/>
                <w:bCs/>
                <w:color w:val="000000"/>
                <w:sz w:val="18"/>
                <w:szCs w:val="18"/>
              </w:rPr>
              <w:t>2019-20</w:t>
            </w:r>
          </w:p>
        </w:tc>
        <w:tc>
          <w:tcPr>
            <w:tcW w:w="1276" w:type="dxa"/>
            <w:vAlign w:val="center"/>
          </w:tcPr>
          <w:p w14:paraId="210C5D43" w14:textId="77777777" w:rsidR="00AE5E8C" w:rsidRPr="00362107" w:rsidRDefault="00AE5E8C" w:rsidP="00362107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362107">
              <w:rPr>
                <w:rFonts w:ascii="Palatino Linotype" w:hAnsi="Palatino Linotype" w:cs="Times New Roman"/>
                <w:b/>
                <w:bCs/>
                <w:color w:val="000000"/>
                <w:sz w:val="18"/>
                <w:szCs w:val="18"/>
              </w:rPr>
              <w:t>2020-21</w:t>
            </w:r>
          </w:p>
        </w:tc>
        <w:tc>
          <w:tcPr>
            <w:tcW w:w="1276" w:type="dxa"/>
            <w:vAlign w:val="center"/>
          </w:tcPr>
          <w:p w14:paraId="726288C3" w14:textId="77777777" w:rsidR="00AE5E8C" w:rsidRPr="00362107" w:rsidRDefault="00AE5E8C" w:rsidP="00362107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362107">
              <w:rPr>
                <w:rFonts w:ascii="Palatino Linotype" w:hAnsi="Palatino Linotype" w:cs="Times New Roman"/>
                <w:b/>
                <w:bCs/>
                <w:color w:val="000000"/>
                <w:sz w:val="18"/>
                <w:szCs w:val="18"/>
              </w:rPr>
              <w:t>2021-22</w:t>
            </w:r>
          </w:p>
        </w:tc>
        <w:tc>
          <w:tcPr>
            <w:tcW w:w="1276" w:type="dxa"/>
            <w:vAlign w:val="center"/>
          </w:tcPr>
          <w:p w14:paraId="49258E3C" w14:textId="77777777" w:rsidR="00AE5E8C" w:rsidRPr="00362107" w:rsidRDefault="00AE5E8C" w:rsidP="00362107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362107">
              <w:rPr>
                <w:rFonts w:ascii="Palatino Linotype" w:hAnsi="Palatino Linotype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980" w:type="dxa"/>
            <w:vMerge/>
            <w:vAlign w:val="center"/>
          </w:tcPr>
          <w:p w14:paraId="40CE7521" w14:textId="5CF5A830" w:rsidR="00AE5E8C" w:rsidRPr="00362107" w:rsidRDefault="00AE5E8C" w:rsidP="00362107">
            <w:pPr>
              <w:ind w:left="-105" w:right="-105"/>
              <w:jc w:val="center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881C88" w:rsidRPr="00362107" w14:paraId="7F8AB95D" w14:textId="77777777" w:rsidTr="00362107">
        <w:trPr>
          <w:jc w:val="center"/>
        </w:trPr>
        <w:tc>
          <w:tcPr>
            <w:tcW w:w="3023" w:type="dxa"/>
            <w:vAlign w:val="center"/>
          </w:tcPr>
          <w:p w14:paraId="2DF855EC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bookmarkStart w:id="1" w:name="_Hlk59002928"/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Andhra Pradesh*</w:t>
            </w:r>
          </w:p>
        </w:tc>
        <w:tc>
          <w:tcPr>
            <w:tcW w:w="1275" w:type="dxa"/>
            <w:vAlign w:val="center"/>
          </w:tcPr>
          <w:p w14:paraId="2B050C10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7BAC86AB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</w:tcPr>
          <w:p w14:paraId="24B74B8E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76" w:type="dxa"/>
            <w:vAlign w:val="center"/>
          </w:tcPr>
          <w:p w14:paraId="26DA3CC3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</w:tcPr>
          <w:p w14:paraId="1D59C4D5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vAlign w:val="center"/>
          </w:tcPr>
          <w:p w14:paraId="17E0D78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</w:tcPr>
          <w:p w14:paraId="27B82537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6" w:type="dxa"/>
            <w:vAlign w:val="center"/>
          </w:tcPr>
          <w:p w14:paraId="5E786F0B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980" w:type="dxa"/>
            <w:vAlign w:val="center"/>
          </w:tcPr>
          <w:p w14:paraId="4D48DE73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881C88" w:rsidRPr="00362107" w14:paraId="77CD6ED1" w14:textId="77777777" w:rsidTr="00362107">
        <w:trPr>
          <w:jc w:val="center"/>
        </w:trPr>
        <w:tc>
          <w:tcPr>
            <w:tcW w:w="3023" w:type="dxa"/>
            <w:vAlign w:val="center"/>
          </w:tcPr>
          <w:p w14:paraId="07F631F4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Bihar</w:t>
            </w:r>
          </w:p>
        </w:tc>
        <w:tc>
          <w:tcPr>
            <w:tcW w:w="1275" w:type="dxa"/>
            <w:vAlign w:val="center"/>
          </w:tcPr>
          <w:p w14:paraId="0AE71936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5EBEEF9A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</w:tcPr>
          <w:p w14:paraId="5DFACF9E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276" w:type="dxa"/>
            <w:vAlign w:val="center"/>
          </w:tcPr>
          <w:p w14:paraId="79FBD715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6" w:type="dxa"/>
            <w:vAlign w:val="center"/>
          </w:tcPr>
          <w:p w14:paraId="4D77360B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276" w:type="dxa"/>
            <w:vAlign w:val="center"/>
          </w:tcPr>
          <w:p w14:paraId="71610FBF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</w:tcPr>
          <w:p w14:paraId="33A604BA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276" w:type="dxa"/>
            <w:vAlign w:val="center"/>
          </w:tcPr>
          <w:p w14:paraId="0310349B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980" w:type="dxa"/>
            <w:vAlign w:val="center"/>
          </w:tcPr>
          <w:p w14:paraId="1FBEDA67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881C88" w:rsidRPr="00362107" w14:paraId="59082589" w14:textId="77777777" w:rsidTr="00362107">
        <w:trPr>
          <w:jc w:val="center"/>
        </w:trPr>
        <w:tc>
          <w:tcPr>
            <w:tcW w:w="3023" w:type="dxa"/>
            <w:vAlign w:val="center"/>
          </w:tcPr>
          <w:p w14:paraId="1F21511F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Chhattisgarh</w:t>
            </w:r>
          </w:p>
        </w:tc>
        <w:tc>
          <w:tcPr>
            <w:tcW w:w="1275" w:type="dxa"/>
            <w:vAlign w:val="center"/>
          </w:tcPr>
          <w:p w14:paraId="5C31DC37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7FDA0E88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276" w:type="dxa"/>
            <w:vAlign w:val="center"/>
          </w:tcPr>
          <w:p w14:paraId="6B6C6E77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276" w:type="dxa"/>
            <w:vAlign w:val="center"/>
          </w:tcPr>
          <w:p w14:paraId="39D6BD32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276" w:type="dxa"/>
            <w:vAlign w:val="center"/>
          </w:tcPr>
          <w:p w14:paraId="7E250BA4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</w:tcPr>
          <w:p w14:paraId="6E3C82AB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6" w:type="dxa"/>
            <w:vAlign w:val="center"/>
          </w:tcPr>
          <w:p w14:paraId="226DD023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276" w:type="dxa"/>
            <w:vAlign w:val="center"/>
          </w:tcPr>
          <w:p w14:paraId="69D6857C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80" w:type="dxa"/>
            <w:vAlign w:val="center"/>
          </w:tcPr>
          <w:p w14:paraId="65CBDDC8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881C88" w:rsidRPr="00362107" w14:paraId="6060BF87" w14:textId="77777777" w:rsidTr="00362107">
        <w:trPr>
          <w:jc w:val="center"/>
        </w:trPr>
        <w:tc>
          <w:tcPr>
            <w:tcW w:w="3023" w:type="dxa"/>
            <w:vAlign w:val="center"/>
          </w:tcPr>
          <w:p w14:paraId="2894D77B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Delhi</w:t>
            </w:r>
          </w:p>
        </w:tc>
        <w:tc>
          <w:tcPr>
            <w:tcW w:w="1275" w:type="dxa"/>
            <w:vAlign w:val="center"/>
          </w:tcPr>
          <w:p w14:paraId="711B53EF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406FF840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276" w:type="dxa"/>
            <w:vAlign w:val="center"/>
          </w:tcPr>
          <w:p w14:paraId="229395FB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276" w:type="dxa"/>
            <w:vAlign w:val="center"/>
          </w:tcPr>
          <w:p w14:paraId="12ED72C9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276" w:type="dxa"/>
            <w:vAlign w:val="center"/>
          </w:tcPr>
          <w:p w14:paraId="3A59502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276" w:type="dxa"/>
            <w:vAlign w:val="center"/>
          </w:tcPr>
          <w:p w14:paraId="0F63C3EE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276" w:type="dxa"/>
            <w:vAlign w:val="center"/>
          </w:tcPr>
          <w:p w14:paraId="01602EF2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76" w:type="dxa"/>
            <w:vAlign w:val="center"/>
          </w:tcPr>
          <w:p w14:paraId="61F5B734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1980" w:type="dxa"/>
            <w:vAlign w:val="center"/>
          </w:tcPr>
          <w:p w14:paraId="2A823610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881C88" w:rsidRPr="00362107" w14:paraId="47B032AB" w14:textId="77777777" w:rsidTr="00362107">
        <w:trPr>
          <w:jc w:val="center"/>
        </w:trPr>
        <w:tc>
          <w:tcPr>
            <w:tcW w:w="3023" w:type="dxa"/>
            <w:vAlign w:val="center"/>
          </w:tcPr>
          <w:p w14:paraId="7AA09553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Gujarat</w:t>
            </w:r>
          </w:p>
        </w:tc>
        <w:tc>
          <w:tcPr>
            <w:tcW w:w="1275" w:type="dxa"/>
            <w:vAlign w:val="center"/>
          </w:tcPr>
          <w:p w14:paraId="7D8D97F2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vAlign w:val="center"/>
          </w:tcPr>
          <w:p w14:paraId="3C0B166D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1276" w:type="dxa"/>
            <w:vAlign w:val="center"/>
          </w:tcPr>
          <w:p w14:paraId="106822A6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</w:tcPr>
          <w:p w14:paraId="060605FC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276" w:type="dxa"/>
            <w:vAlign w:val="center"/>
          </w:tcPr>
          <w:p w14:paraId="3020598F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276" w:type="dxa"/>
            <w:vAlign w:val="center"/>
          </w:tcPr>
          <w:p w14:paraId="64188196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276" w:type="dxa"/>
            <w:vAlign w:val="center"/>
          </w:tcPr>
          <w:p w14:paraId="1B30520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276" w:type="dxa"/>
            <w:vAlign w:val="center"/>
          </w:tcPr>
          <w:p w14:paraId="27C6A32B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3,200</w:t>
            </w:r>
          </w:p>
        </w:tc>
        <w:tc>
          <w:tcPr>
            <w:tcW w:w="1980" w:type="dxa"/>
            <w:vAlign w:val="center"/>
          </w:tcPr>
          <w:p w14:paraId="0A6E61F2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108</w:t>
            </w:r>
          </w:p>
        </w:tc>
      </w:tr>
      <w:tr w:rsidR="00881C88" w:rsidRPr="00362107" w14:paraId="5A2F8381" w14:textId="77777777" w:rsidTr="00362107">
        <w:trPr>
          <w:jc w:val="center"/>
        </w:trPr>
        <w:tc>
          <w:tcPr>
            <w:tcW w:w="3023" w:type="dxa"/>
            <w:vAlign w:val="center"/>
          </w:tcPr>
          <w:p w14:paraId="4D9494F9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Haryana</w:t>
            </w:r>
          </w:p>
        </w:tc>
        <w:tc>
          <w:tcPr>
            <w:tcW w:w="1275" w:type="dxa"/>
            <w:vAlign w:val="center"/>
          </w:tcPr>
          <w:p w14:paraId="5823FFE7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781D2CE3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</w:tcPr>
          <w:p w14:paraId="124FF6DB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</w:tcPr>
          <w:p w14:paraId="20BDE2BD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276" w:type="dxa"/>
            <w:vAlign w:val="center"/>
          </w:tcPr>
          <w:p w14:paraId="2FB02276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276" w:type="dxa"/>
            <w:vAlign w:val="center"/>
          </w:tcPr>
          <w:p w14:paraId="1326CC6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vAlign w:val="center"/>
          </w:tcPr>
          <w:p w14:paraId="527B71F7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76" w:type="dxa"/>
            <w:vAlign w:val="center"/>
          </w:tcPr>
          <w:p w14:paraId="64CFEA9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1,600</w:t>
            </w:r>
          </w:p>
        </w:tc>
        <w:tc>
          <w:tcPr>
            <w:tcW w:w="1980" w:type="dxa"/>
            <w:vAlign w:val="center"/>
          </w:tcPr>
          <w:p w14:paraId="1766B4B7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54</w:t>
            </w:r>
          </w:p>
        </w:tc>
      </w:tr>
      <w:tr w:rsidR="00881C88" w:rsidRPr="00362107" w14:paraId="48854BAB" w14:textId="77777777" w:rsidTr="00362107">
        <w:trPr>
          <w:jc w:val="center"/>
        </w:trPr>
        <w:tc>
          <w:tcPr>
            <w:tcW w:w="3023" w:type="dxa"/>
            <w:vAlign w:val="center"/>
          </w:tcPr>
          <w:p w14:paraId="6BD4E073" w14:textId="5C12F485" w:rsidR="0018372B" w:rsidRPr="00362107" w:rsidRDefault="00881C88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Himachal Pradesh</w:t>
            </w:r>
          </w:p>
        </w:tc>
        <w:tc>
          <w:tcPr>
            <w:tcW w:w="1275" w:type="dxa"/>
            <w:vAlign w:val="center"/>
          </w:tcPr>
          <w:p w14:paraId="60B38DE4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6357563E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76" w:type="dxa"/>
            <w:vAlign w:val="center"/>
          </w:tcPr>
          <w:p w14:paraId="28947060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vAlign w:val="center"/>
          </w:tcPr>
          <w:p w14:paraId="61A7E345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276" w:type="dxa"/>
            <w:vAlign w:val="center"/>
          </w:tcPr>
          <w:p w14:paraId="00C6CA74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276" w:type="dxa"/>
            <w:vAlign w:val="center"/>
          </w:tcPr>
          <w:p w14:paraId="65516555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276" w:type="dxa"/>
            <w:vAlign w:val="center"/>
          </w:tcPr>
          <w:p w14:paraId="7EA959A0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276" w:type="dxa"/>
            <w:vAlign w:val="center"/>
          </w:tcPr>
          <w:p w14:paraId="41E03C12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980" w:type="dxa"/>
            <w:vAlign w:val="center"/>
          </w:tcPr>
          <w:p w14:paraId="526D5C93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881C88" w:rsidRPr="00362107" w14:paraId="16D40F0F" w14:textId="77777777" w:rsidTr="00362107">
        <w:trPr>
          <w:jc w:val="center"/>
        </w:trPr>
        <w:tc>
          <w:tcPr>
            <w:tcW w:w="3023" w:type="dxa"/>
            <w:vAlign w:val="center"/>
          </w:tcPr>
          <w:p w14:paraId="3CB4B7E9" w14:textId="5E3B8302" w:rsidR="0018372B" w:rsidRPr="00362107" w:rsidRDefault="0018372B" w:rsidP="00362107">
            <w:pPr>
              <w:ind w:right="-213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J</w:t>
            </w:r>
            <w:r w:rsidR="00881C88"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ammu and Kashmir</w:t>
            </w:r>
          </w:p>
        </w:tc>
        <w:tc>
          <w:tcPr>
            <w:tcW w:w="1275" w:type="dxa"/>
            <w:vAlign w:val="center"/>
          </w:tcPr>
          <w:p w14:paraId="7C0048D9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31F7998E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276" w:type="dxa"/>
            <w:vAlign w:val="center"/>
          </w:tcPr>
          <w:p w14:paraId="02CAA5A5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276" w:type="dxa"/>
            <w:vAlign w:val="center"/>
          </w:tcPr>
          <w:p w14:paraId="3341623D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276" w:type="dxa"/>
            <w:vAlign w:val="center"/>
          </w:tcPr>
          <w:p w14:paraId="6E6299F2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center"/>
          </w:tcPr>
          <w:p w14:paraId="57B8DD50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6" w:type="dxa"/>
            <w:vAlign w:val="center"/>
          </w:tcPr>
          <w:p w14:paraId="6A0F1E67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76" w:type="dxa"/>
            <w:vAlign w:val="center"/>
          </w:tcPr>
          <w:p w14:paraId="610E352D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980" w:type="dxa"/>
            <w:vAlign w:val="center"/>
          </w:tcPr>
          <w:p w14:paraId="791ADE6E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881C88" w:rsidRPr="00362107" w14:paraId="450D6164" w14:textId="77777777" w:rsidTr="00362107">
        <w:trPr>
          <w:jc w:val="center"/>
        </w:trPr>
        <w:tc>
          <w:tcPr>
            <w:tcW w:w="3023" w:type="dxa"/>
            <w:vAlign w:val="center"/>
          </w:tcPr>
          <w:p w14:paraId="605277E8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Jharkhand</w:t>
            </w:r>
          </w:p>
        </w:tc>
        <w:tc>
          <w:tcPr>
            <w:tcW w:w="1275" w:type="dxa"/>
            <w:vAlign w:val="center"/>
          </w:tcPr>
          <w:p w14:paraId="56CEE7BB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5A9CD2B7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276" w:type="dxa"/>
            <w:vAlign w:val="center"/>
          </w:tcPr>
          <w:p w14:paraId="4D4C91E4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</w:tcPr>
          <w:p w14:paraId="0D85C8C0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</w:tcPr>
          <w:p w14:paraId="607316F5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6" w:type="dxa"/>
            <w:vAlign w:val="center"/>
          </w:tcPr>
          <w:p w14:paraId="3A44B176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276" w:type="dxa"/>
            <w:vAlign w:val="center"/>
          </w:tcPr>
          <w:p w14:paraId="7858CA64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276" w:type="dxa"/>
            <w:vAlign w:val="center"/>
          </w:tcPr>
          <w:p w14:paraId="015945F5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980" w:type="dxa"/>
            <w:vAlign w:val="center"/>
          </w:tcPr>
          <w:p w14:paraId="58DD8392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881C88" w:rsidRPr="00362107" w14:paraId="4C74844C" w14:textId="77777777" w:rsidTr="00362107">
        <w:trPr>
          <w:jc w:val="center"/>
        </w:trPr>
        <w:tc>
          <w:tcPr>
            <w:tcW w:w="3023" w:type="dxa"/>
            <w:vAlign w:val="center"/>
          </w:tcPr>
          <w:p w14:paraId="2D5E071B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Karnataka</w:t>
            </w:r>
          </w:p>
        </w:tc>
        <w:tc>
          <w:tcPr>
            <w:tcW w:w="1275" w:type="dxa"/>
            <w:vAlign w:val="center"/>
          </w:tcPr>
          <w:p w14:paraId="0B435F1E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32A4C03D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1276" w:type="dxa"/>
            <w:vAlign w:val="center"/>
          </w:tcPr>
          <w:p w14:paraId="756FC2CB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276" w:type="dxa"/>
            <w:vAlign w:val="center"/>
          </w:tcPr>
          <w:p w14:paraId="5B90CF65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1276" w:type="dxa"/>
            <w:vAlign w:val="center"/>
          </w:tcPr>
          <w:p w14:paraId="5D713406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1276" w:type="dxa"/>
            <w:vAlign w:val="center"/>
          </w:tcPr>
          <w:p w14:paraId="5AE5BE5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276" w:type="dxa"/>
            <w:vAlign w:val="center"/>
          </w:tcPr>
          <w:p w14:paraId="3AC31818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1276" w:type="dxa"/>
            <w:vAlign w:val="center"/>
          </w:tcPr>
          <w:p w14:paraId="6980356C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2,300</w:t>
            </w:r>
          </w:p>
        </w:tc>
        <w:tc>
          <w:tcPr>
            <w:tcW w:w="1980" w:type="dxa"/>
            <w:vAlign w:val="center"/>
          </w:tcPr>
          <w:p w14:paraId="768E4EDE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78</w:t>
            </w:r>
          </w:p>
        </w:tc>
      </w:tr>
      <w:tr w:rsidR="00881C88" w:rsidRPr="00362107" w14:paraId="0F9C9860" w14:textId="77777777" w:rsidTr="00362107">
        <w:trPr>
          <w:jc w:val="center"/>
        </w:trPr>
        <w:tc>
          <w:tcPr>
            <w:tcW w:w="3023" w:type="dxa"/>
            <w:vAlign w:val="center"/>
          </w:tcPr>
          <w:p w14:paraId="2D0435F2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Kerala</w:t>
            </w:r>
          </w:p>
        </w:tc>
        <w:tc>
          <w:tcPr>
            <w:tcW w:w="1275" w:type="dxa"/>
            <w:vAlign w:val="center"/>
          </w:tcPr>
          <w:p w14:paraId="159652B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42EF189B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276" w:type="dxa"/>
            <w:vAlign w:val="center"/>
          </w:tcPr>
          <w:p w14:paraId="698FD703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</w:tcPr>
          <w:p w14:paraId="4E386CB9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</w:tcPr>
          <w:p w14:paraId="65AFDEDB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6" w:type="dxa"/>
            <w:vAlign w:val="center"/>
          </w:tcPr>
          <w:p w14:paraId="270555BF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276" w:type="dxa"/>
            <w:vAlign w:val="center"/>
          </w:tcPr>
          <w:p w14:paraId="12B7403B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276" w:type="dxa"/>
            <w:vAlign w:val="center"/>
          </w:tcPr>
          <w:p w14:paraId="1B27C19F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980" w:type="dxa"/>
            <w:vAlign w:val="center"/>
          </w:tcPr>
          <w:p w14:paraId="5F3BAE5A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881C88" w:rsidRPr="00362107" w14:paraId="2308D82C" w14:textId="77777777" w:rsidTr="00362107">
        <w:trPr>
          <w:jc w:val="center"/>
        </w:trPr>
        <w:tc>
          <w:tcPr>
            <w:tcW w:w="3023" w:type="dxa"/>
            <w:vAlign w:val="center"/>
          </w:tcPr>
          <w:p w14:paraId="058E6103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Madhya Pradesh</w:t>
            </w:r>
          </w:p>
        </w:tc>
        <w:tc>
          <w:tcPr>
            <w:tcW w:w="1275" w:type="dxa"/>
            <w:vAlign w:val="center"/>
          </w:tcPr>
          <w:p w14:paraId="422C642A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3C0B8250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276" w:type="dxa"/>
            <w:vAlign w:val="center"/>
          </w:tcPr>
          <w:p w14:paraId="209315D9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1276" w:type="dxa"/>
            <w:vAlign w:val="center"/>
          </w:tcPr>
          <w:p w14:paraId="45B9F70E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276" w:type="dxa"/>
            <w:vAlign w:val="center"/>
          </w:tcPr>
          <w:p w14:paraId="0A47AA08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1276" w:type="dxa"/>
            <w:vAlign w:val="center"/>
          </w:tcPr>
          <w:p w14:paraId="7A52B57E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276" w:type="dxa"/>
            <w:vAlign w:val="center"/>
          </w:tcPr>
          <w:p w14:paraId="520992A4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1276" w:type="dxa"/>
            <w:vAlign w:val="center"/>
          </w:tcPr>
          <w:p w14:paraId="544B7EC2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2,200</w:t>
            </w:r>
          </w:p>
        </w:tc>
        <w:tc>
          <w:tcPr>
            <w:tcW w:w="1980" w:type="dxa"/>
            <w:vAlign w:val="center"/>
          </w:tcPr>
          <w:p w14:paraId="6F4AC8DE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74</w:t>
            </w:r>
          </w:p>
        </w:tc>
      </w:tr>
      <w:tr w:rsidR="00881C88" w:rsidRPr="00362107" w14:paraId="3E724A4D" w14:textId="77777777" w:rsidTr="00362107">
        <w:trPr>
          <w:jc w:val="center"/>
        </w:trPr>
        <w:tc>
          <w:tcPr>
            <w:tcW w:w="3023" w:type="dxa"/>
            <w:vAlign w:val="center"/>
          </w:tcPr>
          <w:p w14:paraId="2559DCA3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Maharashtra</w:t>
            </w:r>
          </w:p>
        </w:tc>
        <w:tc>
          <w:tcPr>
            <w:tcW w:w="1275" w:type="dxa"/>
            <w:vAlign w:val="center"/>
          </w:tcPr>
          <w:p w14:paraId="03722C17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center"/>
          </w:tcPr>
          <w:p w14:paraId="4E121DC9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1276" w:type="dxa"/>
            <w:vAlign w:val="center"/>
          </w:tcPr>
          <w:p w14:paraId="280D8109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1276" w:type="dxa"/>
            <w:vAlign w:val="center"/>
          </w:tcPr>
          <w:p w14:paraId="291C0805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1276" w:type="dxa"/>
            <w:vAlign w:val="center"/>
          </w:tcPr>
          <w:p w14:paraId="336C61D0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1276" w:type="dxa"/>
            <w:vAlign w:val="center"/>
          </w:tcPr>
          <w:p w14:paraId="5FF132AA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1276" w:type="dxa"/>
            <w:vAlign w:val="center"/>
          </w:tcPr>
          <w:p w14:paraId="43319640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1060</w:t>
            </w:r>
          </w:p>
        </w:tc>
        <w:tc>
          <w:tcPr>
            <w:tcW w:w="1276" w:type="dxa"/>
            <w:vAlign w:val="center"/>
          </w:tcPr>
          <w:p w14:paraId="605DDDB4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4,700</w:t>
            </w:r>
          </w:p>
        </w:tc>
        <w:tc>
          <w:tcPr>
            <w:tcW w:w="1980" w:type="dxa"/>
            <w:vAlign w:val="center"/>
          </w:tcPr>
          <w:p w14:paraId="0C0F3509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160</w:t>
            </w:r>
          </w:p>
        </w:tc>
      </w:tr>
      <w:tr w:rsidR="00881C88" w:rsidRPr="00362107" w14:paraId="5C8AE79A" w14:textId="77777777" w:rsidTr="00362107">
        <w:trPr>
          <w:jc w:val="center"/>
        </w:trPr>
        <w:tc>
          <w:tcPr>
            <w:tcW w:w="3023" w:type="dxa"/>
            <w:vAlign w:val="center"/>
          </w:tcPr>
          <w:p w14:paraId="41993002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Orissa</w:t>
            </w:r>
          </w:p>
        </w:tc>
        <w:tc>
          <w:tcPr>
            <w:tcW w:w="1275" w:type="dxa"/>
            <w:vAlign w:val="center"/>
          </w:tcPr>
          <w:p w14:paraId="2CD393DF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4BDC8F0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</w:tcPr>
          <w:p w14:paraId="6766EDA8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276" w:type="dxa"/>
            <w:vAlign w:val="center"/>
          </w:tcPr>
          <w:p w14:paraId="72B82D2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6" w:type="dxa"/>
            <w:vAlign w:val="center"/>
          </w:tcPr>
          <w:p w14:paraId="1EA848CC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276" w:type="dxa"/>
            <w:vAlign w:val="center"/>
          </w:tcPr>
          <w:p w14:paraId="38FD6CB0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</w:tcPr>
          <w:p w14:paraId="6D3F66B7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276" w:type="dxa"/>
            <w:vAlign w:val="center"/>
          </w:tcPr>
          <w:p w14:paraId="34545EF6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980" w:type="dxa"/>
            <w:vAlign w:val="center"/>
          </w:tcPr>
          <w:p w14:paraId="23CBCD2C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881C88" w:rsidRPr="00362107" w14:paraId="021BC267" w14:textId="77777777" w:rsidTr="00362107">
        <w:trPr>
          <w:jc w:val="center"/>
        </w:trPr>
        <w:tc>
          <w:tcPr>
            <w:tcW w:w="3023" w:type="dxa"/>
            <w:vAlign w:val="center"/>
          </w:tcPr>
          <w:p w14:paraId="57E3D7E2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Punjab</w:t>
            </w:r>
          </w:p>
        </w:tc>
        <w:tc>
          <w:tcPr>
            <w:tcW w:w="1275" w:type="dxa"/>
            <w:vAlign w:val="center"/>
          </w:tcPr>
          <w:p w14:paraId="5ADDEA3E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0E70310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</w:tcPr>
          <w:p w14:paraId="0114BD19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76" w:type="dxa"/>
            <w:vAlign w:val="center"/>
          </w:tcPr>
          <w:p w14:paraId="13A7115F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</w:tcPr>
          <w:p w14:paraId="0B522037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vAlign w:val="center"/>
          </w:tcPr>
          <w:p w14:paraId="68AA8D85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</w:tcPr>
          <w:p w14:paraId="72041DF6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6" w:type="dxa"/>
            <w:vAlign w:val="center"/>
          </w:tcPr>
          <w:p w14:paraId="22FE6B7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980" w:type="dxa"/>
            <w:vAlign w:val="center"/>
          </w:tcPr>
          <w:p w14:paraId="156C984F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881C88" w:rsidRPr="00362107" w14:paraId="786B9889" w14:textId="77777777" w:rsidTr="00362107">
        <w:trPr>
          <w:jc w:val="center"/>
        </w:trPr>
        <w:tc>
          <w:tcPr>
            <w:tcW w:w="3023" w:type="dxa"/>
            <w:vAlign w:val="center"/>
          </w:tcPr>
          <w:p w14:paraId="7DFDA9A1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Rajasthan</w:t>
            </w:r>
          </w:p>
        </w:tc>
        <w:tc>
          <w:tcPr>
            <w:tcW w:w="1275" w:type="dxa"/>
            <w:vAlign w:val="center"/>
          </w:tcPr>
          <w:p w14:paraId="076178E2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4167362A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1276" w:type="dxa"/>
            <w:vAlign w:val="center"/>
          </w:tcPr>
          <w:p w14:paraId="2F95CEB6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276" w:type="dxa"/>
            <w:vAlign w:val="center"/>
          </w:tcPr>
          <w:p w14:paraId="2127F3B6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1276" w:type="dxa"/>
            <w:vAlign w:val="center"/>
          </w:tcPr>
          <w:p w14:paraId="14BD4D8F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1276" w:type="dxa"/>
            <w:vAlign w:val="center"/>
          </w:tcPr>
          <w:p w14:paraId="3D552285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276" w:type="dxa"/>
            <w:vAlign w:val="center"/>
          </w:tcPr>
          <w:p w14:paraId="061A0B4E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276" w:type="dxa"/>
            <w:vAlign w:val="center"/>
          </w:tcPr>
          <w:p w14:paraId="303071A6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2,300</w:t>
            </w:r>
          </w:p>
        </w:tc>
        <w:tc>
          <w:tcPr>
            <w:tcW w:w="1980" w:type="dxa"/>
            <w:vAlign w:val="center"/>
          </w:tcPr>
          <w:p w14:paraId="4D84BDA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78</w:t>
            </w:r>
          </w:p>
        </w:tc>
      </w:tr>
      <w:tr w:rsidR="00881C88" w:rsidRPr="00362107" w14:paraId="3BD2561D" w14:textId="77777777" w:rsidTr="00362107">
        <w:trPr>
          <w:jc w:val="center"/>
        </w:trPr>
        <w:tc>
          <w:tcPr>
            <w:tcW w:w="3023" w:type="dxa"/>
            <w:vAlign w:val="center"/>
          </w:tcPr>
          <w:p w14:paraId="52C7B1CF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Tamil Nadu</w:t>
            </w:r>
          </w:p>
        </w:tc>
        <w:tc>
          <w:tcPr>
            <w:tcW w:w="1275" w:type="dxa"/>
            <w:vAlign w:val="center"/>
          </w:tcPr>
          <w:p w14:paraId="51FD3DB8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vAlign w:val="center"/>
          </w:tcPr>
          <w:p w14:paraId="7B35AEC8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276" w:type="dxa"/>
            <w:vAlign w:val="center"/>
          </w:tcPr>
          <w:p w14:paraId="557F20EC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1276" w:type="dxa"/>
            <w:vAlign w:val="center"/>
          </w:tcPr>
          <w:p w14:paraId="091ED7BA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1276" w:type="dxa"/>
            <w:vAlign w:val="center"/>
          </w:tcPr>
          <w:p w14:paraId="7F46B3D0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1276" w:type="dxa"/>
            <w:vAlign w:val="center"/>
          </w:tcPr>
          <w:p w14:paraId="566D2A12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vAlign w:val="center"/>
          </w:tcPr>
          <w:p w14:paraId="34F3E9F4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276" w:type="dxa"/>
            <w:vAlign w:val="center"/>
          </w:tcPr>
          <w:p w14:paraId="0C630152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980" w:type="dxa"/>
            <w:vAlign w:val="center"/>
          </w:tcPr>
          <w:p w14:paraId="4D366BCC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118</w:t>
            </w:r>
          </w:p>
        </w:tc>
      </w:tr>
      <w:tr w:rsidR="00881C88" w:rsidRPr="00362107" w14:paraId="24EDC47C" w14:textId="77777777" w:rsidTr="00362107">
        <w:trPr>
          <w:jc w:val="center"/>
        </w:trPr>
        <w:tc>
          <w:tcPr>
            <w:tcW w:w="3023" w:type="dxa"/>
            <w:vAlign w:val="center"/>
          </w:tcPr>
          <w:p w14:paraId="0F3E6AAF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Telangana*</w:t>
            </w:r>
          </w:p>
        </w:tc>
        <w:tc>
          <w:tcPr>
            <w:tcW w:w="1275" w:type="dxa"/>
            <w:vAlign w:val="center"/>
          </w:tcPr>
          <w:p w14:paraId="688F6E60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618A388F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</w:tcPr>
          <w:p w14:paraId="0EA89E1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76" w:type="dxa"/>
            <w:vAlign w:val="center"/>
          </w:tcPr>
          <w:p w14:paraId="75C4BD07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</w:tcPr>
          <w:p w14:paraId="1794A0FE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vAlign w:val="center"/>
          </w:tcPr>
          <w:p w14:paraId="3BF0F608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</w:tcPr>
          <w:p w14:paraId="261B6EDE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6" w:type="dxa"/>
            <w:vAlign w:val="center"/>
          </w:tcPr>
          <w:p w14:paraId="05790BF3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980" w:type="dxa"/>
            <w:vAlign w:val="center"/>
          </w:tcPr>
          <w:p w14:paraId="0FCC1FD4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881C88" w:rsidRPr="00362107" w14:paraId="3469C3DC" w14:textId="77777777" w:rsidTr="00362107">
        <w:trPr>
          <w:jc w:val="center"/>
        </w:trPr>
        <w:tc>
          <w:tcPr>
            <w:tcW w:w="3023" w:type="dxa"/>
            <w:vAlign w:val="center"/>
          </w:tcPr>
          <w:p w14:paraId="509792ED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Uttarakhand</w:t>
            </w:r>
          </w:p>
        </w:tc>
        <w:tc>
          <w:tcPr>
            <w:tcW w:w="1275" w:type="dxa"/>
            <w:vAlign w:val="center"/>
          </w:tcPr>
          <w:p w14:paraId="61EC6BAE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45EBED65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76" w:type="dxa"/>
            <w:vAlign w:val="center"/>
          </w:tcPr>
          <w:p w14:paraId="06FF06D9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76" w:type="dxa"/>
            <w:vAlign w:val="center"/>
          </w:tcPr>
          <w:p w14:paraId="00B66D6E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276" w:type="dxa"/>
            <w:vAlign w:val="center"/>
          </w:tcPr>
          <w:p w14:paraId="7190CA15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center"/>
          </w:tcPr>
          <w:p w14:paraId="5AA57F84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76" w:type="dxa"/>
            <w:vAlign w:val="center"/>
          </w:tcPr>
          <w:p w14:paraId="1A19C1F3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center"/>
          </w:tcPr>
          <w:p w14:paraId="69323655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980" w:type="dxa"/>
            <w:vAlign w:val="center"/>
          </w:tcPr>
          <w:p w14:paraId="465B376A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881C88" w:rsidRPr="00362107" w14:paraId="6C5EB911" w14:textId="77777777" w:rsidTr="00362107">
        <w:trPr>
          <w:jc w:val="center"/>
        </w:trPr>
        <w:tc>
          <w:tcPr>
            <w:tcW w:w="3023" w:type="dxa"/>
            <w:vAlign w:val="center"/>
          </w:tcPr>
          <w:p w14:paraId="588BAD68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Uttar Pradesh</w:t>
            </w:r>
          </w:p>
        </w:tc>
        <w:tc>
          <w:tcPr>
            <w:tcW w:w="1275" w:type="dxa"/>
            <w:vAlign w:val="center"/>
          </w:tcPr>
          <w:p w14:paraId="01884A7F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center"/>
          </w:tcPr>
          <w:p w14:paraId="649EAA33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276" w:type="dxa"/>
            <w:vAlign w:val="center"/>
          </w:tcPr>
          <w:p w14:paraId="35F44BFB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1276" w:type="dxa"/>
            <w:vAlign w:val="center"/>
          </w:tcPr>
          <w:p w14:paraId="7813BF3C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276" w:type="dxa"/>
            <w:vAlign w:val="center"/>
          </w:tcPr>
          <w:p w14:paraId="289C65F2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1276" w:type="dxa"/>
            <w:vAlign w:val="center"/>
          </w:tcPr>
          <w:p w14:paraId="12FFC637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1276" w:type="dxa"/>
            <w:vAlign w:val="center"/>
          </w:tcPr>
          <w:p w14:paraId="7963E286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1276" w:type="dxa"/>
            <w:vAlign w:val="center"/>
          </w:tcPr>
          <w:p w14:paraId="07F637E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4,300</w:t>
            </w:r>
          </w:p>
        </w:tc>
        <w:tc>
          <w:tcPr>
            <w:tcW w:w="1980" w:type="dxa"/>
            <w:vAlign w:val="center"/>
          </w:tcPr>
          <w:p w14:paraId="0BCA5655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145</w:t>
            </w:r>
          </w:p>
        </w:tc>
      </w:tr>
      <w:tr w:rsidR="00881C88" w:rsidRPr="00362107" w14:paraId="34617A3D" w14:textId="77777777" w:rsidTr="00362107">
        <w:trPr>
          <w:jc w:val="center"/>
        </w:trPr>
        <w:tc>
          <w:tcPr>
            <w:tcW w:w="3023" w:type="dxa"/>
            <w:vAlign w:val="center"/>
          </w:tcPr>
          <w:p w14:paraId="08EEB83E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West Bengal</w:t>
            </w:r>
          </w:p>
        </w:tc>
        <w:tc>
          <w:tcPr>
            <w:tcW w:w="1275" w:type="dxa"/>
            <w:vAlign w:val="center"/>
          </w:tcPr>
          <w:p w14:paraId="491EC7C3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3CE2683F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1276" w:type="dxa"/>
            <w:vAlign w:val="center"/>
          </w:tcPr>
          <w:p w14:paraId="54C5FBA6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1276" w:type="dxa"/>
            <w:vAlign w:val="center"/>
          </w:tcPr>
          <w:p w14:paraId="4A53E313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1276" w:type="dxa"/>
            <w:vAlign w:val="center"/>
          </w:tcPr>
          <w:p w14:paraId="0F3B2C98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1276" w:type="dxa"/>
            <w:vAlign w:val="center"/>
          </w:tcPr>
          <w:p w14:paraId="6C2A6AC7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276" w:type="dxa"/>
            <w:vAlign w:val="center"/>
          </w:tcPr>
          <w:p w14:paraId="324F50E6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276" w:type="dxa"/>
            <w:vAlign w:val="center"/>
          </w:tcPr>
          <w:p w14:paraId="27DF6418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2,100</w:t>
            </w:r>
          </w:p>
        </w:tc>
        <w:tc>
          <w:tcPr>
            <w:tcW w:w="1980" w:type="dxa"/>
            <w:vAlign w:val="center"/>
          </w:tcPr>
          <w:p w14:paraId="400FACB5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881C88" w:rsidRPr="00362107" w14:paraId="1137F391" w14:textId="77777777" w:rsidTr="00362107">
        <w:trPr>
          <w:jc w:val="center"/>
        </w:trPr>
        <w:tc>
          <w:tcPr>
            <w:tcW w:w="3023" w:type="dxa"/>
            <w:vAlign w:val="center"/>
          </w:tcPr>
          <w:p w14:paraId="1A9B51E0" w14:textId="2C1DC4C3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 xml:space="preserve">Arunachal </w:t>
            </w:r>
            <w:r w:rsidR="00881C88"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Pradesh</w:t>
            </w:r>
          </w:p>
        </w:tc>
        <w:tc>
          <w:tcPr>
            <w:tcW w:w="1275" w:type="dxa"/>
            <w:vAlign w:val="center"/>
          </w:tcPr>
          <w:p w14:paraId="53A0BE70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58B6B424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7429A0AB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7C05A6EB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14:paraId="7FE18DA9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0B049C2F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4AE8806E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5493CF2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80" w:type="dxa"/>
            <w:vAlign w:val="center"/>
          </w:tcPr>
          <w:p w14:paraId="457E16A8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881C88" w:rsidRPr="00362107" w14:paraId="15C2044C" w14:textId="77777777" w:rsidTr="00362107">
        <w:trPr>
          <w:jc w:val="center"/>
        </w:trPr>
        <w:tc>
          <w:tcPr>
            <w:tcW w:w="3023" w:type="dxa"/>
            <w:vAlign w:val="center"/>
          </w:tcPr>
          <w:p w14:paraId="2A87AE8F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Assam</w:t>
            </w:r>
          </w:p>
        </w:tc>
        <w:tc>
          <w:tcPr>
            <w:tcW w:w="1275" w:type="dxa"/>
            <w:vAlign w:val="center"/>
          </w:tcPr>
          <w:p w14:paraId="32407639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6E042D1D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center"/>
          </w:tcPr>
          <w:p w14:paraId="3143AB85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center"/>
          </w:tcPr>
          <w:p w14:paraId="0C17DC12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76" w:type="dxa"/>
            <w:vAlign w:val="center"/>
          </w:tcPr>
          <w:p w14:paraId="0A624E59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76" w:type="dxa"/>
            <w:vAlign w:val="center"/>
          </w:tcPr>
          <w:p w14:paraId="78645B75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center"/>
          </w:tcPr>
          <w:p w14:paraId="3D15A15F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276" w:type="dxa"/>
            <w:vAlign w:val="center"/>
          </w:tcPr>
          <w:p w14:paraId="01DC9BBF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980" w:type="dxa"/>
            <w:vAlign w:val="center"/>
          </w:tcPr>
          <w:p w14:paraId="074FA6E3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881C88" w:rsidRPr="00362107" w14:paraId="708DE372" w14:textId="77777777" w:rsidTr="00362107">
        <w:trPr>
          <w:jc w:val="center"/>
        </w:trPr>
        <w:tc>
          <w:tcPr>
            <w:tcW w:w="3023" w:type="dxa"/>
            <w:vAlign w:val="center"/>
          </w:tcPr>
          <w:p w14:paraId="4F2B9A10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Manipur</w:t>
            </w:r>
          </w:p>
        </w:tc>
        <w:tc>
          <w:tcPr>
            <w:tcW w:w="1275" w:type="dxa"/>
            <w:vAlign w:val="center"/>
          </w:tcPr>
          <w:p w14:paraId="56C226D3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71584810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62D17EBA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19F79B96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14:paraId="4B18803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14:paraId="05FAA235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7B2D8CE3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1D82E52A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80" w:type="dxa"/>
            <w:vAlign w:val="center"/>
          </w:tcPr>
          <w:p w14:paraId="419E4A1C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881C88" w:rsidRPr="00362107" w14:paraId="331E6E2C" w14:textId="77777777" w:rsidTr="00362107">
        <w:trPr>
          <w:jc w:val="center"/>
        </w:trPr>
        <w:tc>
          <w:tcPr>
            <w:tcW w:w="3023" w:type="dxa"/>
            <w:vAlign w:val="center"/>
          </w:tcPr>
          <w:p w14:paraId="0E5B6D00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Meghalaya</w:t>
            </w:r>
          </w:p>
        </w:tc>
        <w:tc>
          <w:tcPr>
            <w:tcW w:w="1275" w:type="dxa"/>
            <w:vAlign w:val="center"/>
          </w:tcPr>
          <w:p w14:paraId="647151B8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6A58ECF0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70869F02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778EF82C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14:paraId="42D3B847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14:paraId="4F516537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00A4DEA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4FFD6C54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80" w:type="dxa"/>
            <w:vAlign w:val="center"/>
          </w:tcPr>
          <w:p w14:paraId="4831A1F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881C88" w:rsidRPr="00362107" w14:paraId="33006178" w14:textId="77777777" w:rsidTr="00362107">
        <w:trPr>
          <w:jc w:val="center"/>
        </w:trPr>
        <w:tc>
          <w:tcPr>
            <w:tcW w:w="3023" w:type="dxa"/>
            <w:vAlign w:val="center"/>
          </w:tcPr>
          <w:p w14:paraId="31755CBC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Mizoram</w:t>
            </w:r>
          </w:p>
        </w:tc>
        <w:tc>
          <w:tcPr>
            <w:tcW w:w="1275" w:type="dxa"/>
            <w:vAlign w:val="center"/>
          </w:tcPr>
          <w:p w14:paraId="7E736E76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2D61A0BA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155FBCCA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14DA5439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14:paraId="16DDC316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14:paraId="5491D53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79ACAD76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708780F3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80" w:type="dxa"/>
            <w:vAlign w:val="center"/>
          </w:tcPr>
          <w:p w14:paraId="196AD880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881C88" w:rsidRPr="00362107" w14:paraId="403CF01A" w14:textId="77777777" w:rsidTr="00362107">
        <w:trPr>
          <w:jc w:val="center"/>
        </w:trPr>
        <w:tc>
          <w:tcPr>
            <w:tcW w:w="3023" w:type="dxa"/>
            <w:vAlign w:val="center"/>
          </w:tcPr>
          <w:p w14:paraId="30A81090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Nagaland</w:t>
            </w:r>
          </w:p>
        </w:tc>
        <w:tc>
          <w:tcPr>
            <w:tcW w:w="1275" w:type="dxa"/>
            <w:vAlign w:val="center"/>
          </w:tcPr>
          <w:p w14:paraId="3A90213B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4657A1C2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2AE57AB3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40A0FC18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14:paraId="7AF4011A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14:paraId="7DDB4138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5F620E6F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4FD0935D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80" w:type="dxa"/>
            <w:vAlign w:val="center"/>
          </w:tcPr>
          <w:p w14:paraId="0FB224DD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881C88" w:rsidRPr="00362107" w14:paraId="10860D6D" w14:textId="77777777" w:rsidTr="00362107">
        <w:trPr>
          <w:jc w:val="center"/>
        </w:trPr>
        <w:tc>
          <w:tcPr>
            <w:tcW w:w="3023" w:type="dxa"/>
            <w:vAlign w:val="center"/>
          </w:tcPr>
          <w:p w14:paraId="7CD3E9A9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Sikkim</w:t>
            </w:r>
          </w:p>
        </w:tc>
        <w:tc>
          <w:tcPr>
            <w:tcW w:w="1275" w:type="dxa"/>
            <w:vAlign w:val="center"/>
          </w:tcPr>
          <w:p w14:paraId="68B7FEE3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5BA4C76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071450B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316859AA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14:paraId="0B448D8D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14:paraId="5FF715F0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25118F7A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2DB9F564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80" w:type="dxa"/>
            <w:vAlign w:val="center"/>
          </w:tcPr>
          <w:p w14:paraId="5207CE66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881C88" w:rsidRPr="00362107" w14:paraId="64447A96" w14:textId="77777777" w:rsidTr="00362107">
        <w:trPr>
          <w:jc w:val="center"/>
        </w:trPr>
        <w:tc>
          <w:tcPr>
            <w:tcW w:w="3023" w:type="dxa"/>
            <w:vAlign w:val="center"/>
          </w:tcPr>
          <w:p w14:paraId="01BDD76F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Tripura</w:t>
            </w:r>
          </w:p>
        </w:tc>
        <w:tc>
          <w:tcPr>
            <w:tcW w:w="1275" w:type="dxa"/>
            <w:vAlign w:val="center"/>
          </w:tcPr>
          <w:p w14:paraId="6AFE5FB7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3BAAD7A2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241F3ED7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5DBA818A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14:paraId="5708774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14:paraId="7AD3D692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2BDB96B3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22312E04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80" w:type="dxa"/>
            <w:vAlign w:val="center"/>
          </w:tcPr>
          <w:p w14:paraId="53BF12E3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881C88" w:rsidRPr="00362107" w14:paraId="3AA38E51" w14:textId="77777777" w:rsidTr="00362107">
        <w:trPr>
          <w:jc w:val="center"/>
        </w:trPr>
        <w:tc>
          <w:tcPr>
            <w:tcW w:w="3023" w:type="dxa"/>
            <w:vAlign w:val="center"/>
          </w:tcPr>
          <w:p w14:paraId="321FAA74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Chandigarh</w:t>
            </w:r>
          </w:p>
        </w:tc>
        <w:tc>
          <w:tcPr>
            <w:tcW w:w="1275" w:type="dxa"/>
            <w:vAlign w:val="center"/>
          </w:tcPr>
          <w:p w14:paraId="03DAF57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0206A69A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vAlign w:val="center"/>
          </w:tcPr>
          <w:p w14:paraId="54321E69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vAlign w:val="center"/>
          </w:tcPr>
          <w:p w14:paraId="21C59264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vAlign w:val="center"/>
          </w:tcPr>
          <w:p w14:paraId="338DD48E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6" w:type="dxa"/>
            <w:vAlign w:val="center"/>
          </w:tcPr>
          <w:p w14:paraId="63201756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center"/>
          </w:tcPr>
          <w:p w14:paraId="612C3095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76" w:type="dxa"/>
            <w:vAlign w:val="center"/>
          </w:tcPr>
          <w:p w14:paraId="7750A502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80" w:type="dxa"/>
            <w:vAlign w:val="center"/>
          </w:tcPr>
          <w:p w14:paraId="6BD7389B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881C88" w:rsidRPr="00362107" w14:paraId="4BA81886" w14:textId="77777777" w:rsidTr="00362107">
        <w:trPr>
          <w:jc w:val="center"/>
        </w:trPr>
        <w:tc>
          <w:tcPr>
            <w:tcW w:w="3023" w:type="dxa"/>
            <w:vAlign w:val="center"/>
          </w:tcPr>
          <w:p w14:paraId="2F978495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Goa</w:t>
            </w:r>
          </w:p>
        </w:tc>
        <w:tc>
          <w:tcPr>
            <w:tcW w:w="1275" w:type="dxa"/>
            <w:vAlign w:val="center"/>
          </w:tcPr>
          <w:p w14:paraId="62C602B9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61634EB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center"/>
          </w:tcPr>
          <w:p w14:paraId="39CED430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center"/>
          </w:tcPr>
          <w:p w14:paraId="4EAF00E4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6" w:type="dxa"/>
            <w:vAlign w:val="center"/>
          </w:tcPr>
          <w:p w14:paraId="2AC2014C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76" w:type="dxa"/>
            <w:vAlign w:val="center"/>
          </w:tcPr>
          <w:p w14:paraId="6FB88B9C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center"/>
          </w:tcPr>
          <w:p w14:paraId="15D0D90F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76" w:type="dxa"/>
            <w:vAlign w:val="center"/>
          </w:tcPr>
          <w:p w14:paraId="0823D1D2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80" w:type="dxa"/>
            <w:vAlign w:val="center"/>
          </w:tcPr>
          <w:p w14:paraId="61350FB2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881C88" w:rsidRPr="00362107" w14:paraId="15E9F410" w14:textId="77777777" w:rsidTr="00362107">
        <w:trPr>
          <w:jc w:val="center"/>
        </w:trPr>
        <w:tc>
          <w:tcPr>
            <w:tcW w:w="3023" w:type="dxa"/>
            <w:vAlign w:val="center"/>
          </w:tcPr>
          <w:p w14:paraId="0AC1A5FF" w14:textId="77777777" w:rsidR="0018372B" w:rsidRPr="00362107" w:rsidRDefault="0018372B" w:rsidP="00362107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Dadra &amp; Nagar Haveli</w:t>
            </w:r>
          </w:p>
        </w:tc>
        <w:tc>
          <w:tcPr>
            <w:tcW w:w="1275" w:type="dxa"/>
            <w:vAlign w:val="center"/>
          </w:tcPr>
          <w:p w14:paraId="4209EEE5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121E971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6" w:type="dxa"/>
            <w:vAlign w:val="center"/>
          </w:tcPr>
          <w:p w14:paraId="3A9632C7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6" w:type="dxa"/>
            <w:vAlign w:val="center"/>
          </w:tcPr>
          <w:p w14:paraId="2F26E0B3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center"/>
          </w:tcPr>
          <w:p w14:paraId="0186F5CB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vAlign w:val="center"/>
          </w:tcPr>
          <w:p w14:paraId="31901A27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vAlign w:val="center"/>
          </w:tcPr>
          <w:p w14:paraId="004826DC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276" w:type="dxa"/>
            <w:vAlign w:val="center"/>
          </w:tcPr>
          <w:p w14:paraId="6B0778FC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0" w:type="dxa"/>
            <w:vAlign w:val="center"/>
          </w:tcPr>
          <w:p w14:paraId="18B94071" w14:textId="77777777" w:rsidR="0018372B" w:rsidRPr="00362107" w:rsidRDefault="0018372B" w:rsidP="00362107">
            <w:pPr>
              <w:jc w:val="righ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881C88" w:rsidRPr="00362107" w14:paraId="1654FA1B" w14:textId="77777777" w:rsidTr="00362107">
        <w:trPr>
          <w:jc w:val="center"/>
        </w:trPr>
        <w:tc>
          <w:tcPr>
            <w:tcW w:w="3023" w:type="dxa"/>
            <w:hideMark/>
          </w:tcPr>
          <w:p w14:paraId="4B44C874" w14:textId="77777777" w:rsidR="0018372B" w:rsidRPr="00362107" w:rsidRDefault="0018372B" w:rsidP="00362107">
            <w:pPr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Daman &amp; Diu</w:t>
            </w:r>
          </w:p>
        </w:tc>
        <w:tc>
          <w:tcPr>
            <w:tcW w:w="1275" w:type="dxa"/>
            <w:hideMark/>
          </w:tcPr>
          <w:p w14:paraId="28CADE49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hideMark/>
          </w:tcPr>
          <w:p w14:paraId="09BE6FB0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hideMark/>
          </w:tcPr>
          <w:p w14:paraId="69CF6C41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hideMark/>
          </w:tcPr>
          <w:p w14:paraId="5578F817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hideMark/>
          </w:tcPr>
          <w:p w14:paraId="1CD27B93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6" w:type="dxa"/>
            <w:hideMark/>
          </w:tcPr>
          <w:p w14:paraId="51DB7B7C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hideMark/>
          </w:tcPr>
          <w:p w14:paraId="6C1D3004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76" w:type="dxa"/>
            <w:hideMark/>
          </w:tcPr>
          <w:p w14:paraId="36C7FFD7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80" w:type="dxa"/>
            <w:hideMark/>
          </w:tcPr>
          <w:p w14:paraId="31AEB4A5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881C88" w:rsidRPr="00362107" w14:paraId="38F4D700" w14:textId="77777777" w:rsidTr="00362107">
        <w:trPr>
          <w:trHeight w:val="60"/>
          <w:jc w:val="center"/>
        </w:trPr>
        <w:tc>
          <w:tcPr>
            <w:tcW w:w="3023" w:type="dxa"/>
            <w:hideMark/>
          </w:tcPr>
          <w:p w14:paraId="550BA151" w14:textId="77777777" w:rsidR="0018372B" w:rsidRPr="00362107" w:rsidRDefault="0018372B" w:rsidP="00362107">
            <w:pPr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Puducherry</w:t>
            </w:r>
          </w:p>
        </w:tc>
        <w:tc>
          <w:tcPr>
            <w:tcW w:w="1275" w:type="dxa"/>
            <w:hideMark/>
          </w:tcPr>
          <w:p w14:paraId="3A389384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hideMark/>
          </w:tcPr>
          <w:p w14:paraId="278008CB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hideMark/>
          </w:tcPr>
          <w:p w14:paraId="75DE256A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hideMark/>
          </w:tcPr>
          <w:p w14:paraId="664E5342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hideMark/>
          </w:tcPr>
          <w:p w14:paraId="65DCFFA3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6" w:type="dxa"/>
            <w:hideMark/>
          </w:tcPr>
          <w:p w14:paraId="6A48094C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hideMark/>
          </w:tcPr>
          <w:p w14:paraId="689996D4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76" w:type="dxa"/>
            <w:hideMark/>
          </w:tcPr>
          <w:p w14:paraId="673C2445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80" w:type="dxa"/>
            <w:hideMark/>
          </w:tcPr>
          <w:p w14:paraId="0948626E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881C88" w:rsidRPr="00362107" w14:paraId="71BFFEF6" w14:textId="77777777" w:rsidTr="00362107">
        <w:trPr>
          <w:jc w:val="center"/>
        </w:trPr>
        <w:tc>
          <w:tcPr>
            <w:tcW w:w="3023" w:type="dxa"/>
            <w:hideMark/>
          </w:tcPr>
          <w:p w14:paraId="23E8E7F4" w14:textId="77777777" w:rsidR="0018372B" w:rsidRPr="00362107" w:rsidRDefault="0018372B" w:rsidP="00362107">
            <w:pPr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Andaman &amp; Nicobar</w:t>
            </w:r>
          </w:p>
        </w:tc>
        <w:tc>
          <w:tcPr>
            <w:tcW w:w="1275" w:type="dxa"/>
            <w:hideMark/>
          </w:tcPr>
          <w:p w14:paraId="39174406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hideMark/>
          </w:tcPr>
          <w:p w14:paraId="4C995F7D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hideMark/>
          </w:tcPr>
          <w:p w14:paraId="32F118ED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hideMark/>
          </w:tcPr>
          <w:p w14:paraId="6655FFC2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hideMark/>
          </w:tcPr>
          <w:p w14:paraId="0C419025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hideMark/>
          </w:tcPr>
          <w:p w14:paraId="4A4386AD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hideMark/>
          </w:tcPr>
          <w:p w14:paraId="1B926D45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hideMark/>
          </w:tcPr>
          <w:p w14:paraId="5B76C269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0" w:type="dxa"/>
            <w:hideMark/>
          </w:tcPr>
          <w:p w14:paraId="760D27E2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881C88" w:rsidRPr="00362107" w14:paraId="49E5E1EF" w14:textId="77777777" w:rsidTr="00362107">
        <w:trPr>
          <w:jc w:val="center"/>
        </w:trPr>
        <w:tc>
          <w:tcPr>
            <w:tcW w:w="3023" w:type="dxa"/>
            <w:hideMark/>
          </w:tcPr>
          <w:p w14:paraId="6DA518ED" w14:textId="77777777" w:rsidR="0018372B" w:rsidRPr="00362107" w:rsidRDefault="0018372B" w:rsidP="00362107">
            <w:pPr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Lakshadweep</w:t>
            </w:r>
          </w:p>
        </w:tc>
        <w:tc>
          <w:tcPr>
            <w:tcW w:w="1275" w:type="dxa"/>
            <w:hideMark/>
          </w:tcPr>
          <w:p w14:paraId="71BA3C26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hideMark/>
          </w:tcPr>
          <w:p w14:paraId="10A267FB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hideMark/>
          </w:tcPr>
          <w:p w14:paraId="417BCA7F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hideMark/>
          </w:tcPr>
          <w:p w14:paraId="45143A76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hideMark/>
          </w:tcPr>
          <w:p w14:paraId="34138FEB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hideMark/>
          </w:tcPr>
          <w:p w14:paraId="6D84F60C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hideMark/>
          </w:tcPr>
          <w:p w14:paraId="20E015BC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hideMark/>
          </w:tcPr>
          <w:p w14:paraId="4FAE8C03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0" w:type="dxa"/>
            <w:hideMark/>
          </w:tcPr>
          <w:p w14:paraId="763E2A33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881C88" w:rsidRPr="00362107" w14:paraId="3F414206" w14:textId="77777777" w:rsidTr="00362107">
        <w:trPr>
          <w:jc w:val="center"/>
        </w:trPr>
        <w:tc>
          <w:tcPr>
            <w:tcW w:w="3023" w:type="dxa"/>
            <w:hideMark/>
          </w:tcPr>
          <w:p w14:paraId="13196DF6" w14:textId="0D1228F0" w:rsidR="0018372B" w:rsidRPr="00362107" w:rsidRDefault="00881C88" w:rsidP="00362107">
            <w:pPr>
              <w:jc w:val="both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75" w:type="dxa"/>
            <w:hideMark/>
          </w:tcPr>
          <w:p w14:paraId="519C2B91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hideMark/>
          </w:tcPr>
          <w:p w14:paraId="6F40322A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4,800</w:t>
            </w:r>
          </w:p>
        </w:tc>
        <w:tc>
          <w:tcPr>
            <w:tcW w:w="1276" w:type="dxa"/>
            <w:hideMark/>
          </w:tcPr>
          <w:p w14:paraId="0CD162F5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276" w:type="dxa"/>
            <w:hideMark/>
          </w:tcPr>
          <w:p w14:paraId="57CE017B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6,000</w:t>
            </w:r>
          </w:p>
        </w:tc>
        <w:tc>
          <w:tcPr>
            <w:tcW w:w="1276" w:type="dxa"/>
            <w:hideMark/>
          </w:tcPr>
          <w:p w14:paraId="151BB988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7,000</w:t>
            </w:r>
          </w:p>
        </w:tc>
        <w:tc>
          <w:tcPr>
            <w:tcW w:w="1276" w:type="dxa"/>
            <w:hideMark/>
          </w:tcPr>
          <w:p w14:paraId="63A954D2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1276" w:type="dxa"/>
            <w:hideMark/>
          </w:tcPr>
          <w:p w14:paraId="7227E1E4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9,000</w:t>
            </w:r>
          </w:p>
        </w:tc>
        <w:tc>
          <w:tcPr>
            <w:tcW w:w="1276" w:type="dxa"/>
            <w:hideMark/>
          </w:tcPr>
          <w:p w14:paraId="7F11CD5A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40,000</w:t>
            </w:r>
          </w:p>
        </w:tc>
        <w:tc>
          <w:tcPr>
            <w:tcW w:w="1980" w:type="dxa"/>
            <w:hideMark/>
          </w:tcPr>
          <w:p w14:paraId="68FFFAB1" w14:textId="77777777" w:rsidR="0018372B" w:rsidRPr="00362107" w:rsidRDefault="0018372B" w:rsidP="00362107">
            <w:pPr>
              <w:jc w:val="right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362107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1350</w:t>
            </w:r>
          </w:p>
        </w:tc>
      </w:tr>
    </w:tbl>
    <w:bookmarkEnd w:id="1"/>
    <w:p w14:paraId="2AD52FBA" w14:textId="044DE981" w:rsidR="00444DCE" w:rsidRPr="00362107" w:rsidRDefault="00BB2ACF" w:rsidP="00362107">
      <w:pPr>
        <w:spacing w:after="0" w:line="240" w:lineRule="auto"/>
        <w:jc w:val="both"/>
        <w:rPr>
          <w:rFonts w:ascii="Palatino Linotype" w:hAnsi="Palatino Linotype" w:cs="Times New Roman"/>
          <w:sz w:val="16"/>
          <w:szCs w:val="16"/>
        </w:rPr>
      </w:pPr>
      <w:r w:rsidRPr="00362107">
        <w:rPr>
          <w:rFonts w:ascii="Palatino Linotype" w:hAnsi="Palatino Linotype" w:cs="Times New Roman"/>
          <w:b/>
          <w:bCs/>
          <w:sz w:val="16"/>
          <w:szCs w:val="16"/>
        </w:rPr>
        <w:t xml:space="preserve">    </w:t>
      </w:r>
      <w:r w:rsidRPr="00362107">
        <w:rPr>
          <w:rFonts w:ascii="Palatino Linotype" w:hAnsi="Palatino Linotype" w:cs="Times New Roman"/>
          <w:sz w:val="16"/>
          <w:szCs w:val="16"/>
        </w:rPr>
        <w:t xml:space="preserve">Source: </w:t>
      </w:r>
      <w:hyperlink r:id="rId12" w:history="1">
        <w:r w:rsidRPr="00362107">
          <w:rPr>
            <w:rStyle w:val="Hyperlink"/>
            <w:rFonts w:ascii="Palatino Linotype" w:hAnsi="Palatino Linotype" w:cs="Times New Roman"/>
            <w:sz w:val="16"/>
            <w:szCs w:val="16"/>
          </w:rPr>
          <w:t>https://www.itsmysun.com/solar-state-wise-policy/</w:t>
        </w:r>
      </w:hyperlink>
      <w:r w:rsidRPr="00362107">
        <w:rPr>
          <w:rFonts w:ascii="Palatino Linotype" w:hAnsi="Palatino Linotype" w:cs="Times New Roman"/>
          <w:sz w:val="16"/>
          <w:szCs w:val="16"/>
        </w:rPr>
        <w:t xml:space="preserve"> (accessed on 31/01/2023)</w:t>
      </w:r>
    </w:p>
    <w:p w14:paraId="552EC4E5" w14:textId="77777777" w:rsidR="00444DCE" w:rsidRPr="00362107" w:rsidRDefault="00444DCE">
      <w:pPr>
        <w:rPr>
          <w:rFonts w:ascii="Palatino Linotype" w:hAnsi="Palatino Linotype" w:cs="Times New Roman"/>
          <w:b/>
          <w:bCs/>
        </w:rPr>
      </w:pPr>
      <w:r w:rsidRPr="00362107">
        <w:rPr>
          <w:rFonts w:ascii="Palatino Linotype" w:hAnsi="Palatino Linotype" w:cs="Times New Roman"/>
          <w:b/>
          <w:bCs/>
        </w:rPr>
        <w:br w:type="page"/>
      </w:r>
    </w:p>
    <w:p w14:paraId="7E446A0B" w14:textId="6B2B3FBF" w:rsidR="00444DCE" w:rsidRPr="005D7934" w:rsidRDefault="00444DCE" w:rsidP="005D7934">
      <w:pPr>
        <w:spacing w:line="360" w:lineRule="auto"/>
        <w:rPr>
          <w:rFonts w:ascii="Palatino Linotype" w:hAnsi="Palatino Linotype" w:cs="Times New Roman"/>
          <w:b/>
          <w:bCs/>
          <w:sz w:val="24"/>
          <w:szCs w:val="24"/>
        </w:rPr>
      </w:pPr>
      <w:bookmarkStart w:id="2" w:name="_Hlk126147783"/>
      <w:r w:rsidRPr="005D7934">
        <w:rPr>
          <w:rFonts w:ascii="Palatino Linotype" w:hAnsi="Palatino Linotype" w:cs="Times New Roman"/>
          <w:b/>
          <w:bCs/>
          <w:sz w:val="24"/>
          <w:szCs w:val="24"/>
        </w:rPr>
        <w:lastRenderedPageBreak/>
        <w:t xml:space="preserve">Table S2. </w:t>
      </w:r>
      <w:r w:rsidR="001B5312" w:rsidRPr="005D7934">
        <w:rPr>
          <w:rFonts w:ascii="Palatino Linotype" w:hAnsi="Palatino Linotype" w:cs="Times New Roman"/>
          <w:b/>
          <w:bCs/>
          <w:sz w:val="24"/>
          <w:szCs w:val="24"/>
        </w:rPr>
        <w:t>RTS policy</w:t>
      </w:r>
      <w:r w:rsidR="00F17BA0" w:rsidRPr="005D7934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="00AE5E8C" w:rsidRPr="005D7934">
        <w:rPr>
          <w:rFonts w:ascii="Palatino Linotype" w:hAnsi="Palatino Linotype" w:cs="Times New Roman"/>
          <w:b/>
          <w:bCs/>
          <w:sz w:val="24"/>
          <w:szCs w:val="24"/>
        </w:rPr>
        <w:t>and</w:t>
      </w:r>
      <w:r w:rsidR="001B5312" w:rsidRPr="005D7934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="00F17BA0" w:rsidRPr="005D7934">
        <w:rPr>
          <w:rFonts w:ascii="Palatino Linotype" w:hAnsi="Palatino Linotype" w:cs="Times New Roman"/>
          <w:b/>
          <w:bCs/>
          <w:sz w:val="24"/>
          <w:szCs w:val="24"/>
        </w:rPr>
        <w:t xml:space="preserve">regulations </w:t>
      </w:r>
      <w:r w:rsidRPr="005D7934">
        <w:rPr>
          <w:rFonts w:ascii="Palatino Linotype" w:hAnsi="Palatino Linotype" w:cs="Times New Roman"/>
          <w:b/>
          <w:bCs/>
          <w:sz w:val="24"/>
          <w:szCs w:val="24"/>
        </w:rPr>
        <w:t>in India</w:t>
      </w:r>
    </w:p>
    <w:tbl>
      <w:tblPr>
        <w:tblStyle w:val="TableGrid1"/>
        <w:tblW w:w="15385" w:type="dxa"/>
        <w:tblLayout w:type="fixed"/>
        <w:tblLook w:val="01E0" w:firstRow="1" w:lastRow="1" w:firstColumn="1" w:lastColumn="1" w:noHBand="0" w:noVBand="0"/>
      </w:tblPr>
      <w:tblGrid>
        <w:gridCol w:w="1435"/>
        <w:gridCol w:w="900"/>
        <w:gridCol w:w="1260"/>
        <w:gridCol w:w="1170"/>
        <w:gridCol w:w="1080"/>
        <w:gridCol w:w="1170"/>
        <w:gridCol w:w="1245"/>
        <w:gridCol w:w="15"/>
        <w:gridCol w:w="1170"/>
        <w:gridCol w:w="1485"/>
        <w:gridCol w:w="1485"/>
        <w:gridCol w:w="1485"/>
        <w:gridCol w:w="1485"/>
      </w:tblGrid>
      <w:tr w:rsidR="00AE5E8C" w:rsidRPr="005D7934" w14:paraId="2AE88B2B" w14:textId="77777777" w:rsidTr="00035431">
        <w:trPr>
          <w:trHeight w:val="332"/>
        </w:trPr>
        <w:tc>
          <w:tcPr>
            <w:tcW w:w="1435" w:type="dxa"/>
            <w:vMerge w:val="restart"/>
          </w:tcPr>
          <w:bookmarkEnd w:id="2"/>
          <w:p w14:paraId="109BAF2C" w14:textId="252DB2C6" w:rsidR="00AE5E8C" w:rsidRPr="0078308F" w:rsidRDefault="00AE5E8C" w:rsidP="00AE5E8C">
            <w:pPr>
              <w:widowControl w:val="0"/>
              <w:autoSpaceDE w:val="0"/>
              <w:autoSpaceDN w:val="0"/>
              <w:jc w:val="center"/>
              <w:rPr>
                <w:rFonts w:ascii="Palatino Linotype" w:eastAsia="Tahoma" w:hAnsi="Palatino Linotype" w:cs="Times New Roman"/>
                <w:b/>
                <w:sz w:val="20"/>
              </w:rPr>
            </w:pPr>
            <w:r w:rsidRPr="0078308F">
              <w:rPr>
                <w:rFonts w:ascii="Palatino Linotype" w:eastAsia="Tahoma" w:hAnsi="Palatino Linotype" w:cs="Times New Roman"/>
                <w:b/>
                <w:sz w:val="20"/>
              </w:rPr>
              <w:t>States</w:t>
            </w:r>
          </w:p>
        </w:tc>
        <w:tc>
          <w:tcPr>
            <w:tcW w:w="900" w:type="dxa"/>
            <w:vMerge w:val="restart"/>
          </w:tcPr>
          <w:p w14:paraId="3F9BD552" w14:textId="2F61A651" w:rsidR="00AE5E8C" w:rsidRPr="0078308F" w:rsidRDefault="00AE5E8C" w:rsidP="00AE5E8C">
            <w:pPr>
              <w:widowControl w:val="0"/>
              <w:autoSpaceDE w:val="0"/>
              <w:autoSpaceDN w:val="0"/>
              <w:ind w:right="91"/>
              <w:jc w:val="center"/>
              <w:rPr>
                <w:rFonts w:ascii="Palatino Linotype" w:eastAsia="Tahoma" w:hAnsi="Palatino Linotype" w:cs="Times New Roman"/>
                <w:b/>
                <w:spacing w:val="-2"/>
                <w:w w:val="95"/>
                <w:sz w:val="20"/>
              </w:rPr>
            </w:pPr>
            <w:r w:rsidRPr="0078308F">
              <w:rPr>
                <w:rFonts w:ascii="Palatino Linotype" w:eastAsia="Tahoma" w:hAnsi="Palatino Linotype" w:cs="Times New Roman"/>
                <w:b/>
                <w:spacing w:val="-2"/>
                <w:w w:val="95"/>
                <w:sz w:val="20"/>
              </w:rPr>
              <w:t>Gross/</w:t>
            </w:r>
            <w:r w:rsidRPr="0078308F">
              <w:rPr>
                <w:rFonts w:ascii="Palatino Linotype" w:eastAsia="Tahoma" w:hAnsi="Palatino Linotype" w:cs="Times New Roman"/>
                <w:b/>
                <w:w w:val="89"/>
                <w:sz w:val="20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b/>
                <w:sz w:val="20"/>
              </w:rPr>
              <w:t>Net</w:t>
            </w:r>
          </w:p>
        </w:tc>
        <w:tc>
          <w:tcPr>
            <w:tcW w:w="7110" w:type="dxa"/>
            <w:gridSpan w:val="7"/>
          </w:tcPr>
          <w:p w14:paraId="58537651" w14:textId="5378D96F" w:rsidR="00AE5E8C" w:rsidRPr="0078308F" w:rsidRDefault="00AE5E8C" w:rsidP="00AE5E8C">
            <w:pPr>
              <w:widowControl w:val="0"/>
              <w:autoSpaceDE w:val="0"/>
              <w:autoSpaceDN w:val="0"/>
              <w:jc w:val="center"/>
              <w:rPr>
                <w:rFonts w:ascii="Palatino Linotype" w:eastAsia="Tahoma" w:hAnsi="Palatino Linotype" w:cs="Times New Roman"/>
                <w:b/>
                <w:w w:val="95"/>
                <w:sz w:val="20"/>
              </w:rPr>
            </w:pPr>
            <w:r w:rsidRPr="0078308F">
              <w:rPr>
                <w:rFonts w:ascii="Palatino Linotype" w:eastAsia="Tahoma" w:hAnsi="Palatino Linotype" w:cs="Times New Roman"/>
                <w:b/>
                <w:w w:val="95"/>
                <w:sz w:val="20"/>
              </w:rPr>
              <w:t>Specifications</w:t>
            </w:r>
            <w:r w:rsidRPr="0078308F">
              <w:rPr>
                <w:rFonts w:ascii="Palatino Linotype" w:eastAsia="Tahoma" w:hAnsi="Palatino Linotype" w:cs="Times New Roman"/>
                <w:b/>
                <w:spacing w:val="-9"/>
                <w:w w:val="95"/>
                <w:sz w:val="20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b/>
                <w:w w:val="95"/>
                <w:sz w:val="20"/>
              </w:rPr>
              <w:t>on</w:t>
            </w:r>
            <w:r w:rsidRPr="0078308F">
              <w:rPr>
                <w:rFonts w:ascii="Palatino Linotype" w:eastAsia="Tahoma" w:hAnsi="Palatino Linotype" w:cs="Times New Roman"/>
                <w:b/>
                <w:spacing w:val="-9"/>
                <w:w w:val="95"/>
                <w:sz w:val="20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b/>
                <w:w w:val="95"/>
                <w:sz w:val="20"/>
              </w:rPr>
              <w:t>capacity</w:t>
            </w:r>
          </w:p>
        </w:tc>
        <w:tc>
          <w:tcPr>
            <w:tcW w:w="5940" w:type="dxa"/>
            <w:gridSpan w:val="4"/>
          </w:tcPr>
          <w:p w14:paraId="14EEDEDD" w14:textId="49CABE44" w:rsidR="00AE5E8C" w:rsidRPr="0078308F" w:rsidRDefault="00AE5E8C" w:rsidP="00AE5E8C">
            <w:pPr>
              <w:widowControl w:val="0"/>
              <w:autoSpaceDE w:val="0"/>
              <w:autoSpaceDN w:val="0"/>
              <w:ind w:right="-104"/>
              <w:jc w:val="center"/>
              <w:rPr>
                <w:rFonts w:ascii="Palatino Linotype" w:eastAsia="Tahoma" w:hAnsi="Palatino Linotype" w:cs="Times New Roman"/>
                <w:b/>
                <w:sz w:val="20"/>
              </w:rPr>
            </w:pPr>
            <w:r w:rsidRPr="0078308F">
              <w:rPr>
                <w:rFonts w:ascii="Palatino Linotype" w:eastAsia="Tahoma" w:hAnsi="Palatino Linotype" w:cs="Times New Roman"/>
                <w:b/>
                <w:sz w:val="20"/>
              </w:rPr>
              <w:t>Specifications for grid integration (electricity or power)</w:t>
            </w:r>
          </w:p>
        </w:tc>
      </w:tr>
      <w:tr w:rsidR="00035431" w:rsidRPr="005D7934" w14:paraId="405BA934" w14:textId="77777777" w:rsidTr="00035431">
        <w:trPr>
          <w:trHeight w:val="503"/>
        </w:trPr>
        <w:tc>
          <w:tcPr>
            <w:tcW w:w="1435" w:type="dxa"/>
            <w:vMerge/>
          </w:tcPr>
          <w:p w14:paraId="629AB33C" w14:textId="77777777" w:rsidR="00AE5E8C" w:rsidRPr="005D7934" w:rsidRDefault="00AE5E8C" w:rsidP="00AE5E8C">
            <w:pPr>
              <w:widowControl w:val="0"/>
              <w:autoSpaceDE w:val="0"/>
              <w:autoSpaceDN w:val="0"/>
              <w:rPr>
                <w:rFonts w:ascii="Palatino Linotype" w:eastAsia="Times New Roman" w:hAnsi="Palatino Linotype" w:cs="Times New Roman"/>
                <w:sz w:val="20"/>
              </w:rPr>
            </w:pPr>
          </w:p>
        </w:tc>
        <w:tc>
          <w:tcPr>
            <w:tcW w:w="900" w:type="dxa"/>
            <w:vMerge/>
          </w:tcPr>
          <w:p w14:paraId="63DAE407" w14:textId="77777777" w:rsidR="00AE5E8C" w:rsidRPr="005D7934" w:rsidRDefault="00AE5E8C" w:rsidP="00AE5E8C">
            <w:pPr>
              <w:widowControl w:val="0"/>
              <w:autoSpaceDE w:val="0"/>
              <w:autoSpaceDN w:val="0"/>
              <w:rPr>
                <w:rFonts w:ascii="Palatino Linotype" w:eastAsia="Times New Roman" w:hAnsi="Palatino Linotype" w:cs="Times New Roman"/>
                <w:sz w:val="20"/>
              </w:rPr>
            </w:pPr>
          </w:p>
        </w:tc>
        <w:tc>
          <w:tcPr>
            <w:tcW w:w="1260" w:type="dxa"/>
          </w:tcPr>
          <w:p w14:paraId="5F6ADB93" w14:textId="77C3C7B6" w:rsidR="00AE5E8C" w:rsidRPr="00035431" w:rsidRDefault="0078308F" w:rsidP="00AE5E8C">
            <w:pPr>
              <w:widowControl w:val="0"/>
              <w:autoSpaceDE w:val="0"/>
              <w:autoSpaceDN w:val="0"/>
              <w:ind w:right="-105"/>
              <w:jc w:val="center"/>
              <w:rPr>
                <w:rFonts w:ascii="Palatino Linotype" w:eastAsia="Tahoma" w:hAnsi="Palatino Linotype" w:cs="Times New Roman"/>
                <w:b/>
                <w:sz w:val="16"/>
                <w:szCs w:val="16"/>
              </w:rPr>
            </w:pPr>
            <w:r w:rsidRPr="00035431">
              <w:rPr>
                <w:rFonts w:ascii="Palatino Linotype" w:eastAsia="Tahoma" w:hAnsi="Palatino Linotype" w:cs="Times New Roman"/>
                <w:b/>
                <w:spacing w:val="1"/>
                <w:sz w:val="16"/>
                <w:szCs w:val="16"/>
              </w:rPr>
              <w:t>A</w:t>
            </w:r>
            <w:r w:rsidRPr="00035431">
              <w:rPr>
                <w:rFonts w:ascii="Palatino Linotype" w:eastAsia="Tahoma" w:hAnsi="Palatino Linotype" w:cs="Times New Roman"/>
                <w:b/>
                <w:w w:val="90"/>
                <w:sz w:val="16"/>
                <w:szCs w:val="16"/>
              </w:rPr>
              <w:t>llowed</w:t>
            </w:r>
            <w:r w:rsidRPr="00035431">
              <w:rPr>
                <w:rFonts w:ascii="Palatino Linotype" w:eastAsia="Tahoma" w:hAnsi="Palatino Linotype" w:cs="Times New Roman"/>
                <w:b/>
                <w:sz w:val="16"/>
                <w:szCs w:val="16"/>
              </w:rPr>
              <w:t xml:space="preserve"> r</w:t>
            </w:r>
            <w:r w:rsidR="00AE5E8C" w:rsidRPr="00035431">
              <w:rPr>
                <w:rFonts w:ascii="Palatino Linotype" w:eastAsia="Tahoma" w:hAnsi="Palatino Linotype" w:cs="Times New Roman"/>
                <w:b/>
                <w:sz w:val="16"/>
                <w:szCs w:val="16"/>
              </w:rPr>
              <w:t>ange</w:t>
            </w:r>
            <w:r w:rsidR="00AE5E8C" w:rsidRPr="00035431">
              <w:rPr>
                <w:rFonts w:ascii="Palatino Linotype" w:eastAsia="Tahoma" w:hAnsi="Palatino Linotype" w:cs="Times New Roman"/>
                <w:b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3420" w:type="dxa"/>
            <w:gridSpan w:val="3"/>
          </w:tcPr>
          <w:p w14:paraId="217679FC" w14:textId="77777777" w:rsidR="00AE5E8C" w:rsidRPr="00035431" w:rsidRDefault="00AE5E8C" w:rsidP="00AE5E8C">
            <w:pPr>
              <w:widowControl w:val="0"/>
              <w:autoSpaceDE w:val="0"/>
              <w:autoSpaceDN w:val="0"/>
              <w:ind w:right="474"/>
              <w:jc w:val="center"/>
              <w:rPr>
                <w:rFonts w:ascii="Palatino Linotype" w:eastAsia="Tahoma" w:hAnsi="Palatino Linotype" w:cs="Times New Roman"/>
                <w:b/>
                <w:sz w:val="16"/>
                <w:szCs w:val="16"/>
              </w:rPr>
            </w:pPr>
            <w:r w:rsidRPr="00035431">
              <w:rPr>
                <w:rFonts w:ascii="Palatino Linotype" w:eastAsia="Tahoma" w:hAnsi="Palatino Linotype" w:cs="Times New Roman"/>
                <w:b/>
                <w:spacing w:val="-2"/>
                <w:w w:val="95"/>
                <w:sz w:val="16"/>
                <w:szCs w:val="16"/>
              </w:rPr>
              <w:t>Allowed system size at</w:t>
            </w:r>
            <w:r w:rsidRPr="00035431">
              <w:rPr>
                <w:rFonts w:ascii="Palatino Linotype" w:eastAsia="Tahoma" w:hAnsi="Palatino Linotype" w:cs="Times New Roman"/>
                <w:b/>
                <w:spacing w:val="-42"/>
                <w:w w:val="95"/>
                <w:sz w:val="16"/>
                <w:szCs w:val="16"/>
              </w:rPr>
              <w:t xml:space="preserve"> </w:t>
            </w:r>
            <w:r w:rsidRPr="00035431">
              <w:rPr>
                <w:rFonts w:ascii="Palatino Linotype" w:eastAsia="Tahoma" w:hAnsi="Palatino Linotype" w:cs="Times New Roman"/>
                <w:b/>
                <w:w w:val="95"/>
                <w:sz w:val="16"/>
                <w:szCs w:val="16"/>
              </w:rPr>
              <w:t>voltage</w:t>
            </w:r>
            <w:r w:rsidRPr="00035431">
              <w:rPr>
                <w:rFonts w:ascii="Palatino Linotype" w:eastAsia="Tahoma" w:hAnsi="Palatino Linotype" w:cs="Times New Roman"/>
                <w:b/>
                <w:spacing w:val="-8"/>
                <w:w w:val="95"/>
                <w:sz w:val="16"/>
                <w:szCs w:val="16"/>
              </w:rPr>
              <w:t xml:space="preserve"> </w:t>
            </w:r>
            <w:r w:rsidRPr="00035431">
              <w:rPr>
                <w:rFonts w:ascii="Palatino Linotype" w:eastAsia="Tahoma" w:hAnsi="Palatino Linotype" w:cs="Times New Roman"/>
                <w:b/>
                <w:w w:val="95"/>
                <w:sz w:val="16"/>
                <w:szCs w:val="16"/>
              </w:rPr>
              <w:t>levels</w:t>
            </w:r>
          </w:p>
        </w:tc>
        <w:tc>
          <w:tcPr>
            <w:tcW w:w="1260" w:type="dxa"/>
            <w:gridSpan w:val="2"/>
            <w:vMerge w:val="restart"/>
          </w:tcPr>
          <w:p w14:paraId="59327B62" w14:textId="77777777" w:rsidR="00AE5E8C" w:rsidRPr="00035431" w:rsidRDefault="00AE5E8C" w:rsidP="00AE5E8C">
            <w:pPr>
              <w:widowControl w:val="0"/>
              <w:autoSpaceDE w:val="0"/>
              <w:autoSpaceDN w:val="0"/>
              <w:jc w:val="center"/>
              <w:rPr>
                <w:rFonts w:ascii="Palatino Linotype" w:eastAsia="Tahoma" w:hAnsi="Palatino Linotype" w:cs="Times New Roman"/>
                <w:b/>
                <w:sz w:val="16"/>
                <w:szCs w:val="16"/>
              </w:rPr>
            </w:pPr>
            <w:r w:rsidRPr="00035431">
              <w:rPr>
                <w:rFonts w:ascii="Palatino Linotype" w:eastAsia="Tahoma" w:hAnsi="Palatino Linotype" w:cs="Times New Roman"/>
                <w:b/>
                <w:w w:val="90"/>
                <w:sz w:val="16"/>
                <w:szCs w:val="16"/>
              </w:rPr>
              <w:t>Max.</w:t>
            </w:r>
            <w:r w:rsidRPr="00035431">
              <w:rPr>
                <w:rFonts w:ascii="Palatino Linotype" w:eastAsia="Tahoma" w:hAnsi="Palatino Linotype" w:cs="Times New Roman"/>
                <w:b/>
                <w:spacing w:val="13"/>
                <w:w w:val="90"/>
                <w:sz w:val="16"/>
                <w:szCs w:val="16"/>
              </w:rPr>
              <w:t xml:space="preserve"> </w:t>
            </w:r>
            <w:r w:rsidRPr="00035431">
              <w:rPr>
                <w:rFonts w:ascii="Palatino Linotype" w:eastAsia="Tahoma" w:hAnsi="Palatino Linotype" w:cs="Times New Roman"/>
                <w:b/>
                <w:w w:val="90"/>
                <w:sz w:val="16"/>
                <w:szCs w:val="16"/>
              </w:rPr>
              <w:t>capacity</w:t>
            </w:r>
          </w:p>
          <w:p w14:paraId="00B43958" w14:textId="77777777" w:rsidR="00AE5E8C" w:rsidRPr="00035431" w:rsidRDefault="00AE5E8C" w:rsidP="00AE5E8C">
            <w:pPr>
              <w:widowControl w:val="0"/>
              <w:autoSpaceDE w:val="0"/>
              <w:autoSpaceDN w:val="0"/>
              <w:ind w:right="-150"/>
              <w:jc w:val="center"/>
              <w:rPr>
                <w:rFonts w:ascii="Palatino Linotype" w:eastAsia="Tahoma" w:hAnsi="Palatino Linotype" w:cs="Times New Roman"/>
                <w:b/>
                <w:sz w:val="16"/>
                <w:szCs w:val="16"/>
              </w:rPr>
            </w:pPr>
            <w:r w:rsidRPr="00035431">
              <w:rPr>
                <w:rFonts w:ascii="Palatino Linotype" w:eastAsia="Tahoma" w:hAnsi="Palatino Linotype" w:cs="Times New Roman"/>
                <w:b/>
                <w:w w:val="90"/>
                <w:sz w:val="16"/>
                <w:szCs w:val="16"/>
              </w:rPr>
              <w:t>w.r.t</w:t>
            </w:r>
            <w:r w:rsidRPr="00035431">
              <w:rPr>
                <w:rFonts w:ascii="Palatino Linotype" w:eastAsia="Tahoma" w:hAnsi="Palatino Linotype" w:cs="Times New Roman"/>
                <w:b/>
                <w:spacing w:val="1"/>
                <w:w w:val="90"/>
                <w:sz w:val="16"/>
                <w:szCs w:val="16"/>
              </w:rPr>
              <w:t xml:space="preserve"> </w:t>
            </w:r>
            <w:r w:rsidRPr="00035431">
              <w:rPr>
                <w:rFonts w:ascii="Palatino Linotype" w:eastAsia="Tahoma" w:hAnsi="Palatino Linotype" w:cs="Times New Roman"/>
                <w:b/>
                <w:w w:val="90"/>
                <w:sz w:val="16"/>
                <w:szCs w:val="16"/>
              </w:rPr>
              <w:t>sanctioned</w:t>
            </w:r>
            <w:r w:rsidRPr="00035431">
              <w:rPr>
                <w:rFonts w:ascii="Palatino Linotype" w:eastAsia="Tahoma" w:hAnsi="Palatino Linotype" w:cs="Times New Roman"/>
                <w:b/>
                <w:spacing w:val="-39"/>
                <w:w w:val="90"/>
                <w:sz w:val="16"/>
                <w:szCs w:val="16"/>
              </w:rPr>
              <w:t xml:space="preserve"> </w:t>
            </w:r>
            <w:r w:rsidRPr="00035431">
              <w:rPr>
                <w:rFonts w:ascii="Palatino Linotype" w:eastAsia="Tahoma" w:hAnsi="Palatino Linotype" w:cs="Times New Roman"/>
                <w:b/>
                <w:sz w:val="16"/>
                <w:szCs w:val="16"/>
              </w:rPr>
              <w:t>load</w:t>
            </w:r>
          </w:p>
        </w:tc>
        <w:tc>
          <w:tcPr>
            <w:tcW w:w="1170" w:type="dxa"/>
            <w:vMerge w:val="restart"/>
          </w:tcPr>
          <w:p w14:paraId="1D08972C" w14:textId="77777777" w:rsidR="00AE5E8C" w:rsidRPr="00035431" w:rsidRDefault="00AE5E8C" w:rsidP="00AE5E8C">
            <w:pPr>
              <w:widowControl w:val="0"/>
              <w:autoSpaceDE w:val="0"/>
              <w:autoSpaceDN w:val="0"/>
              <w:ind w:right="-135"/>
              <w:jc w:val="center"/>
              <w:rPr>
                <w:rFonts w:ascii="Palatino Linotype" w:eastAsia="Tahoma" w:hAnsi="Palatino Linotype" w:cs="Times New Roman"/>
                <w:b/>
                <w:sz w:val="16"/>
                <w:szCs w:val="16"/>
              </w:rPr>
            </w:pPr>
            <w:r w:rsidRPr="00035431">
              <w:rPr>
                <w:rFonts w:ascii="Palatino Linotype" w:eastAsia="Tahoma" w:hAnsi="Palatino Linotype" w:cs="Times New Roman"/>
                <w:b/>
                <w:spacing w:val="-1"/>
                <w:w w:val="95"/>
                <w:sz w:val="16"/>
                <w:szCs w:val="16"/>
              </w:rPr>
              <w:t>Transformer</w:t>
            </w:r>
            <w:r w:rsidRPr="00035431">
              <w:rPr>
                <w:rFonts w:ascii="Palatino Linotype" w:eastAsia="Tahoma" w:hAnsi="Palatino Linotype" w:cs="Times New Roman"/>
                <w:b/>
                <w:spacing w:val="-42"/>
                <w:w w:val="95"/>
                <w:sz w:val="16"/>
                <w:szCs w:val="16"/>
              </w:rPr>
              <w:t xml:space="preserve"> </w:t>
            </w:r>
            <w:r w:rsidRPr="00035431">
              <w:rPr>
                <w:rFonts w:ascii="Palatino Linotype" w:eastAsia="Tahoma" w:hAnsi="Palatino Linotype" w:cs="Times New Roman"/>
                <w:b/>
                <w:sz w:val="16"/>
                <w:szCs w:val="16"/>
              </w:rPr>
              <w:t>capacity Limit</w:t>
            </w:r>
          </w:p>
        </w:tc>
        <w:tc>
          <w:tcPr>
            <w:tcW w:w="1485" w:type="dxa"/>
            <w:vMerge w:val="restart"/>
          </w:tcPr>
          <w:p w14:paraId="6D9C4148" w14:textId="77777777" w:rsidR="00AE5E8C" w:rsidRPr="00035431" w:rsidRDefault="00AE5E8C" w:rsidP="00AE5E8C">
            <w:pPr>
              <w:widowControl w:val="0"/>
              <w:autoSpaceDE w:val="0"/>
              <w:autoSpaceDN w:val="0"/>
              <w:ind w:right="-135"/>
              <w:jc w:val="center"/>
              <w:rPr>
                <w:rFonts w:ascii="Palatino Linotype" w:eastAsia="Tahoma" w:hAnsi="Palatino Linotype" w:cs="Times New Roman"/>
                <w:b/>
                <w:sz w:val="16"/>
                <w:szCs w:val="16"/>
              </w:rPr>
            </w:pPr>
            <w:r w:rsidRPr="00035431">
              <w:rPr>
                <w:rFonts w:ascii="Palatino Linotype" w:eastAsia="Tahoma" w:hAnsi="Palatino Linotype" w:cs="Times New Roman"/>
                <w:b/>
                <w:spacing w:val="-1"/>
                <w:w w:val="95"/>
                <w:sz w:val="16"/>
                <w:szCs w:val="16"/>
              </w:rPr>
              <w:t>Export of electricity</w:t>
            </w:r>
            <w:r w:rsidRPr="00035431">
              <w:rPr>
                <w:rFonts w:ascii="Palatino Linotype" w:eastAsia="Tahoma" w:hAnsi="Palatino Linotype" w:cs="Times New Roman"/>
                <w:b/>
                <w:spacing w:val="-42"/>
                <w:w w:val="95"/>
                <w:sz w:val="16"/>
                <w:szCs w:val="16"/>
              </w:rPr>
              <w:t xml:space="preserve"> </w:t>
            </w:r>
            <w:r w:rsidRPr="00035431">
              <w:rPr>
                <w:rFonts w:ascii="Palatino Linotype" w:eastAsia="Tahoma" w:hAnsi="Palatino Linotype" w:cs="Times New Roman"/>
                <w:b/>
                <w:w w:val="90"/>
                <w:sz w:val="16"/>
                <w:szCs w:val="16"/>
              </w:rPr>
              <w:t>allowed when</w:t>
            </w:r>
            <w:r w:rsidRPr="00035431">
              <w:rPr>
                <w:rFonts w:ascii="Palatino Linotype" w:eastAsia="Tahoma" w:hAnsi="Palatino Linotype" w:cs="Times New Roman"/>
                <w:b/>
                <w:spacing w:val="1"/>
                <w:w w:val="90"/>
                <w:sz w:val="16"/>
                <w:szCs w:val="16"/>
              </w:rPr>
              <w:t xml:space="preserve"> </w:t>
            </w:r>
            <w:r w:rsidRPr="00035431">
              <w:rPr>
                <w:rFonts w:ascii="Palatino Linotype" w:eastAsia="Tahoma" w:hAnsi="Palatino Linotype" w:cs="Times New Roman"/>
                <w:b/>
                <w:w w:val="95"/>
                <w:sz w:val="16"/>
                <w:szCs w:val="16"/>
              </w:rPr>
              <w:t>compared to</w:t>
            </w:r>
            <w:r w:rsidRPr="00035431">
              <w:rPr>
                <w:rFonts w:ascii="Palatino Linotype" w:eastAsia="Tahoma" w:hAnsi="Palatino Linotype" w:cs="Times New Roman"/>
                <w:b/>
                <w:spacing w:val="1"/>
                <w:w w:val="95"/>
                <w:sz w:val="16"/>
                <w:szCs w:val="16"/>
              </w:rPr>
              <w:t xml:space="preserve"> </w:t>
            </w:r>
            <w:r w:rsidRPr="00035431">
              <w:rPr>
                <w:rFonts w:ascii="Palatino Linotype" w:eastAsia="Tahoma" w:hAnsi="Palatino Linotype" w:cs="Times New Roman"/>
                <w:b/>
                <w:sz w:val="16"/>
                <w:szCs w:val="16"/>
              </w:rPr>
              <w:t>consumption</w:t>
            </w:r>
          </w:p>
        </w:tc>
        <w:tc>
          <w:tcPr>
            <w:tcW w:w="1485" w:type="dxa"/>
            <w:vMerge w:val="restart"/>
          </w:tcPr>
          <w:p w14:paraId="1E816BBF" w14:textId="1E1DC24F" w:rsidR="00AE5E8C" w:rsidRPr="00035431" w:rsidRDefault="0078308F" w:rsidP="0078308F">
            <w:pPr>
              <w:widowControl w:val="0"/>
              <w:tabs>
                <w:tab w:val="left" w:pos="916"/>
              </w:tabs>
              <w:autoSpaceDE w:val="0"/>
              <w:autoSpaceDN w:val="0"/>
              <w:ind w:right="-120"/>
              <w:jc w:val="center"/>
              <w:rPr>
                <w:rFonts w:ascii="Palatino Linotype" w:eastAsia="Tahoma" w:hAnsi="Palatino Linotype" w:cs="Times New Roman"/>
                <w:b/>
                <w:sz w:val="16"/>
                <w:szCs w:val="16"/>
              </w:rPr>
            </w:pPr>
            <w:r w:rsidRPr="00035431">
              <w:rPr>
                <w:rFonts w:ascii="Palatino Linotype" w:eastAsia="Tahoma" w:hAnsi="Palatino Linotype" w:cs="Times New Roman"/>
                <w:b/>
                <w:sz w:val="16"/>
                <w:szCs w:val="16"/>
              </w:rPr>
              <w:t>The billing</w:t>
            </w:r>
            <w:r w:rsidR="00AE5E8C" w:rsidRPr="00035431">
              <w:rPr>
                <w:rFonts w:ascii="Palatino Linotype" w:eastAsia="Tahoma" w:hAnsi="Palatino Linotype" w:cs="Times New Roman"/>
                <w:b/>
                <w:spacing w:val="1"/>
                <w:sz w:val="16"/>
                <w:szCs w:val="16"/>
              </w:rPr>
              <w:t xml:space="preserve"> </w:t>
            </w:r>
            <w:r w:rsidR="00AE5E8C" w:rsidRPr="00035431">
              <w:rPr>
                <w:rFonts w:ascii="Palatino Linotype" w:eastAsia="Tahoma" w:hAnsi="Palatino Linotype" w:cs="Times New Roman"/>
                <w:b/>
                <w:w w:val="95"/>
                <w:sz w:val="16"/>
                <w:szCs w:val="16"/>
              </w:rPr>
              <w:t>period for</w:t>
            </w:r>
            <w:r w:rsidR="00AE5E8C" w:rsidRPr="00035431">
              <w:rPr>
                <w:rFonts w:ascii="Palatino Linotype" w:eastAsia="Tahoma" w:hAnsi="Palatino Linotype" w:cs="Times New Roman"/>
                <w:b/>
                <w:spacing w:val="1"/>
                <w:w w:val="95"/>
                <w:sz w:val="16"/>
                <w:szCs w:val="16"/>
              </w:rPr>
              <w:t xml:space="preserve"> </w:t>
            </w:r>
            <w:r w:rsidR="00AE5E8C" w:rsidRPr="00035431">
              <w:rPr>
                <w:rFonts w:ascii="Palatino Linotype" w:eastAsia="Tahoma" w:hAnsi="Palatino Linotype" w:cs="Times New Roman"/>
                <w:b/>
                <w:w w:val="95"/>
                <w:sz w:val="16"/>
                <w:szCs w:val="16"/>
              </w:rPr>
              <w:t>settlement</w:t>
            </w:r>
          </w:p>
        </w:tc>
        <w:tc>
          <w:tcPr>
            <w:tcW w:w="1485" w:type="dxa"/>
            <w:vMerge w:val="restart"/>
          </w:tcPr>
          <w:p w14:paraId="660F2E90" w14:textId="77777777" w:rsidR="00AE5E8C" w:rsidRPr="00035431" w:rsidRDefault="00AE5E8C" w:rsidP="0078308F">
            <w:pPr>
              <w:widowControl w:val="0"/>
              <w:autoSpaceDE w:val="0"/>
              <w:autoSpaceDN w:val="0"/>
              <w:ind w:right="-60"/>
              <w:jc w:val="center"/>
              <w:rPr>
                <w:rFonts w:ascii="Palatino Linotype" w:eastAsia="Tahoma" w:hAnsi="Palatino Linotype" w:cs="Times New Roman"/>
                <w:b/>
                <w:sz w:val="16"/>
                <w:szCs w:val="16"/>
              </w:rPr>
            </w:pPr>
            <w:r w:rsidRPr="00035431">
              <w:rPr>
                <w:rFonts w:ascii="Palatino Linotype" w:eastAsia="Tahoma" w:hAnsi="Palatino Linotype" w:cs="Times New Roman"/>
                <w:b/>
                <w:w w:val="95"/>
                <w:sz w:val="16"/>
                <w:szCs w:val="16"/>
              </w:rPr>
              <w:t>Compensation</w:t>
            </w:r>
            <w:r w:rsidRPr="00035431">
              <w:rPr>
                <w:rFonts w:ascii="Palatino Linotype" w:eastAsia="Tahoma" w:hAnsi="Palatino Linotype" w:cs="Times New Roman"/>
                <w:b/>
                <w:spacing w:val="-42"/>
                <w:w w:val="95"/>
                <w:sz w:val="16"/>
                <w:szCs w:val="16"/>
              </w:rPr>
              <w:t xml:space="preserve"> </w:t>
            </w:r>
            <w:r w:rsidRPr="00035431">
              <w:rPr>
                <w:rFonts w:ascii="Palatino Linotype" w:eastAsia="Tahoma" w:hAnsi="Palatino Linotype" w:cs="Times New Roman"/>
                <w:b/>
                <w:w w:val="95"/>
                <w:sz w:val="16"/>
                <w:szCs w:val="16"/>
              </w:rPr>
              <w:t>period for</w:t>
            </w:r>
            <w:r w:rsidRPr="00035431">
              <w:rPr>
                <w:rFonts w:ascii="Palatino Linotype" w:eastAsia="Tahoma" w:hAnsi="Palatino Linotype" w:cs="Times New Roman"/>
                <w:b/>
                <w:spacing w:val="1"/>
                <w:w w:val="95"/>
                <w:sz w:val="16"/>
                <w:szCs w:val="16"/>
              </w:rPr>
              <w:t xml:space="preserve"> </w:t>
            </w:r>
            <w:r w:rsidRPr="00035431">
              <w:rPr>
                <w:rFonts w:ascii="Palatino Linotype" w:eastAsia="Tahoma" w:hAnsi="Palatino Linotype" w:cs="Times New Roman"/>
                <w:b/>
                <w:sz w:val="16"/>
                <w:szCs w:val="16"/>
              </w:rPr>
              <w:t>surplus</w:t>
            </w:r>
          </w:p>
        </w:tc>
        <w:tc>
          <w:tcPr>
            <w:tcW w:w="1485" w:type="dxa"/>
            <w:vMerge w:val="restart"/>
          </w:tcPr>
          <w:p w14:paraId="6F7A42A5" w14:textId="15455AD7" w:rsidR="00AE5E8C" w:rsidRPr="00035431" w:rsidRDefault="00AE5E8C" w:rsidP="0078308F">
            <w:pPr>
              <w:widowControl w:val="0"/>
              <w:autoSpaceDE w:val="0"/>
              <w:autoSpaceDN w:val="0"/>
              <w:ind w:right="-104"/>
              <w:jc w:val="center"/>
              <w:rPr>
                <w:rFonts w:ascii="Palatino Linotype" w:eastAsia="Tahoma" w:hAnsi="Palatino Linotype" w:cs="Times New Roman"/>
                <w:b/>
                <w:sz w:val="16"/>
                <w:szCs w:val="16"/>
              </w:rPr>
            </w:pPr>
            <w:r w:rsidRPr="00035431">
              <w:rPr>
                <w:rFonts w:ascii="Palatino Linotype" w:eastAsia="Tahoma" w:hAnsi="Palatino Linotype" w:cs="Times New Roman"/>
                <w:b/>
                <w:spacing w:val="-1"/>
                <w:w w:val="95"/>
                <w:sz w:val="16"/>
                <w:szCs w:val="16"/>
              </w:rPr>
              <w:t xml:space="preserve">Compensation </w:t>
            </w:r>
            <w:r w:rsidR="0032056F">
              <w:rPr>
                <w:rFonts w:ascii="Palatino Linotype" w:eastAsia="Tahoma" w:hAnsi="Palatino Linotype" w:cs="Times New Roman"/>
                <w:b/>
                <w:spacing w:val="-1"/>
                <w:w w:val="95"/>
                <w:sz w:val="16"/>
                <w:szCs w:val="16"/>
              </w:rPr>
              <w:t xml:space="preserve">    </w:t>
            </w:r>
            <w:r w:rsidRPr="00035431">
              <w:rPr>
                <w:rFonts w:ascii="Palatino Linotype" w:eastAsia="Tahoma" w:hAnsi="Palatino Linotype" w:cs="Times New Roman"/>
                <w:b/>
                <w:w w:val="95"/>
                <w:sz w:val="16"/>
                <w:szCs w:val="16"/>
              </w:rPr>
              <w:t>for</w:t>
            </w:r>
            <w:r w:rsidR="0032056F">
              <w:rPr>
                <w:rFonts w:ascii="Palatino Linotype" w:eastAsia="Tahoma" w:hAnsi="Palatino Linotype" w:cs="Times New Roman"/>
                <w:b/>
                <w:w w:val="95"/>
                <w:sz w:val="16"/>
                <w:szCs w:val="16"/>
              </w:rPr>
              <w:t xml:space="preserve"> </w:t>
            </w:r>
            <w:r w:rsidRPr="00035431">
              <w:rPr>
                <w:rFonts w:ascii="Palatino Linotype" w:eastAsia="Tahoma" w:hAnsi="Palatino Linotype" w:cs="Times New Roman"/>
                <w:b/>
                <w:sz w:val="16"/>
                <w:szCs w:val="16"/>
              </w:rPr>
              <w:t>surplus</w:t>
            </w:r>
          </w:p>
        </w:tc>
      </w:tr>
      <w:tr w:rsidR="00035431" w:rsidRPr="005D7934" w14:paraId="1FCCA599" w14:textId="77777777" w:rsidTr="00035431">
        <w:trPr>
          <w:trHeight w:val="700"/>
        </w:trPr>
        <w:tc>
          <w:tcPr>
            <w:tcW w:w="1435" w:type="dxa"/>
            <w:vMerge/>
          </w:tcPr>
          <w:p w14:paraId="17771413" w14:textId="77777777" w:rsidR="00AE5E8C" w:rsidRPr="005D7934" w:rsidRDefault="00AE5E8C" w:rsidP="00AE5E8C">
            <w:pPr>
              <w:widowControl w:val="0"/>
              <w:autoSpaceDE w:val="0"/>
              <w:autoSpaceDN w:val="0"/>
              <w:rPr>
                <w:rFonts w:ascii="Palatino Linotype" w:eastAsia="Times New Roman" w:hAnsi="Palatino Linotype" w:cs="Times New Roman"/>
                <w:sz w:val="20"/>
              </w:rPr>
            </w:pPr>
          </w:p>
        </w:tc>
        <w:tc>
          <w:tcPr>
            <w:tcW w:w="900" w:type="dxa"/>
            <w:vMerge/>
          </w:tcPr>
          <w:p w14:paraId="4E49CAC2" w14:textId="77777777" w:rsidR="00AE5E8C" w:rsidRPr="005D7934" w:rsidRDefault="00AE5E8C" w:rsidP="00AE5E8C">
            <w:pPr>
              <w:widowControl w:val="0"/>
              <w:autoSpaceDE w:val="0"/>
              <w:autoSpaceDN w:val="0"/>
              <w:rPr>
                <w:rFonts w:ascii="Palatino Linotype" w:eastAsia="Times New Roman" w:hAnsi="Palatino Linotype" w:cs="Times New Roman"/>
                <w:sz w:val="20"/>
              </w:rPr>
            </w:pPr>
          </w:p>
        </w:tc>
        <w:tc>
          <w:tcPr>
            <w:tcW w:w="1260" w:type="dxa"/>
          </w:tcPr>
          <w:p w14:paraId="7FF4549B" w14:textId="77777777" w:rsidR="00AE5E8C" w:rsidRPr="00035431" w:rsidRDefault="00AE5E8C" w:rsidP="00AE5E8C">
            <w:pPr>
              <w:widowControl w:val="0"/>
              <w:autoSpaceDE w:val="0"/>
              <w:autoSpaceDN w:val="0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B5EC03C" w14:textId="77777777" w:rsidR="00AE5E8C" w:rsidRPr="00035431" w:rsidRDefault="00AE5E8C" w:rsidP="00AE5E8C">
            <w:pPr>
              <w:widowControl w:val="0"/>
              <w:autoSpaceDE w:val="0"/>
              <w:autoSpaceDN w:val="0"/>
              <w:ind w:right="-150"/>
              <w:rPr>
                <w:rFonts w:ascii="Palatino Linotype" w:eastAsia="Tahoma" w:hAnsi="Palatino Linotype" w:cs="Times New Roman"/>
                <w:b/>
                <w:sz w:val="16"/>
                <w:szCs w:val="16"/>
              </w:rPr>
            </w:pPr>
            <w:r w:rsidRPr="00035431">
              <w:rPr>
                <w:rFonts w:ascii="Palatino Linotype" w:eastAsia="Tahoma" w:hAnsi="Palatino Linotype" w:cs="Times New Roman"/>
                <w:b/>
                <w:color w:val="231F20"/>
                <w:sz w:val="16"/>
                <w:szCs w:val="16"/>
              </w:rPr>
              <w:t>LT</w:t>
            </w:r>
          </w:p>
          <w:p w14:paraId="5D019670" w14:textId="3FED7454" w:rsidR="00AE5E8C" w:rsidRPr="00035431" w:rsidRDefault="00035431" w:rsidP="00AE5E8C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b/>
                <w:color w:val="231F20"/>
                <w:w w:val="90"/>
                <w:sz w:val="16"/>
                <w:szCs w:val="16"/>
              </w:rPr>
              <w:t>single phase</w:t>
            </w:r>
          </w:p>
        </w:tc>
        <w:tc>
          <w:tcPr>
            <w:tcW w:w="1080" w:type="dxa"/>
          </w:tcPr>
          <w:p w14:paraId="20F51BF5" w14:textId="77777777" w:rsidR="00AE5E8C" w:rsidRPr="00035431" w:rsidRDefault="00AE5E8C" w:rsidP="00AE5E8C">
            <w:pPr>
              <w:widowControl w:val="0"/>
              <w:autoSpaceDE w:val="0"/>
              <w:autoSpaceDN w:val="0"/>
              <w:ind w:right="-105"/>
              <w:rPr>
                <w:rFonts w:ascii="Palatino Linotype" w:eastAsia="Tahoma" w:hAnsi="Palatino Linotype" w:cs="Times New Roman"/>
                <w:b/>
                <w:sz w:val="16"/>
                <w:szCs w:val="16"/>
              </w:rPr>
            </w:pPr>
            <w:r w:rsidRPr="00035431">
              <w:rPr>
                <w:rFonts w:ascii="Palatino Linotype" w:eastAsia="Tahoma" w:hAnsi="Palatino Linotype" w:cs="Times New Roman"/>
                <w:b/>
                <w:color w:val="231F20"/>
                <w:sz w:val="16"/>
                <w:szCs w:val="16"/>
              </w:rPr>
              <w:t>LT</w:t>
            </w:r>
          </w:p>
          <w:p w14:paraId="763E549A" w14:textId="1F39EF2A" w:rsidR="00AE5E8C" w:rsidRPr="00035431" w:rsidRDefault="0078308F" w:rsidP="00AE5E8C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b/>
                <w:sz w:val="16"/>
                <w:szCs w:val="16"/>
              </w:rPr>
            </w:pPr>
            <w:r w:rsidRPr="00035431">
              <w:rPr>
                <w:rFonts w:ascii="Palatino Linotype" w:eastAsia="Tahoma" w:hAnsi="Palatino Linotype" w:cs="Times New Roman"/>
                <w:b/>
                <w:color w:val="231F20"/>
                <w:sz w:val="16"/>
                <w:szCs w:val="16"/>
              </w:rPr>
              <w:t>three-phase</w:t>
            </w:r>
          </w:p>
        </w:tc>
        <w:tc>
          <w:tcPr>
            <w:tcW w:w="1170" w:type="dxa"/>
          </w:tcPr>
          <w:p w14:paraId="5040868A" w14:textId="77777777" w:rsidR="00AE5E8C" w:rsidRPr="00035431" w:rsidRDefault="00AE5E8C" w:rsidP="00AE5E8C">
            <w:pPr>
              <w:widowControl w:val="0"/>
              <w:autoSpaceDE w:val="0"/>
              <w:autoSpaceDN w:val="0"/>
              <w:ind w:right="-105"/>
              <w:rPr>
                <w:rFonts w:ascii="Palatino Linotype" w:eastAsia="Tahoma" w:hAnsi="Palatino Linotype" w:cs="Times New Roman"/>
                <w:b/>
                <w:sz w:val="16"/>
                <w:szCs w:val="16"/>
              </w:rPr>
            </w:pPr>
            <w:r w:rsidRPr="00035431">
              <w:rPr>
                <w:rFonts w:ascii="Palatino Linotype" w:eastAsia="Tahoma" w:hAnsi="Palatino Linotype" w:cs="Times New Roman"/>
                <w:b/>
                <w:color w:val="231F20"/>
                <w:spacing w:val="-1"/>
                <w:w w:val="95"/>
                <w:sz w:val="16"/>
                <w:szCs w:val="16"/>
              </w:rPr>
              <w:t>HT</w:t>
            </w:r>
            <w:r w:rsidRPr="00035431">
              <w:rPr>
                <w:rFonts w:ascii="Palatino Linotype" w:eastAsia="Tahoma" w:hAnsi="Palatino Linotype" w:cs="Times New Roman"/>
                <w:b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035431">
              <w:rPr>
                <w:rFonts w:ascii="Palatino Linotype" w:eastAsia="Tahoma" w:hAnsi="Palatino Linotype" w:cs="Times New Roman"/>
                <w:b/>
                <w:color w:val="231F20"/>
                <w:spacing w:val="-1"/>
                <w:w w:val="95"/>
                <w:sz w:val="16"/>
                <w:szCs w:val="16"/>
              </w:rPr>
              <w:t>level</w:t>
            </w:r>
          </w:p>
        </w:tc>
        <w:tc>
          <w:tcPr>
            <w:tcW w:w="1260" w:type="dxa"/>
            <w:gridSpan w:val="2"/>
            <w:vMerge/>
          </w:tcPr>
          <w:p w14:paraId="567639DE" w14:textId="77777777" w:rsidR="00AE5E8C" w:rsidRPr="00035431" w:rsidRDefault="00AE5E8C" w:rsidP="00AE5E8C">
            <w:pPr>
              <w:widowControl w:val="0"/>
              <w:autoSpaceDE w:val="0"/>
              <w:autoSpaceDN w:val="0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1096DC68" w14:textId="77777777" w:rsidR="00AE5E8C" w:rsidRPr="00035431" w:rsidRDefault="00AE5E8C" w:rsidP="00AE5E8C">
            <w:pPr>
              <w:widowControl w:val="0"/>
              <w:autoSpaceDE w:val="0"/>
              <w:autoSpaceDN w:val="0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14:paraId="069244B2" w14:textId="77777777" w:rsidR="00AE5E8C" w:rsidRPr="005D7934" w:rsidRDefault="00AE5E8C" w:rsidP="00AE5E8C">
            <w:pPr>
              <w:widowControl w:val="0"/>
              <w:autoSpaceDE w:val="0"/>
              <w:autoSpaceDN w:val="0"/>
              <w:rPr>
                <w:rFonts w:ascii="Palatino Linotype" w:eastAsia="Times New Roman" w:hAnsi="Palatino Linotype" w:cs="Times New Roman"/>
                <w:sz w:val="20"/>
              </w:rPr>
            </w:pPr>
          </w:p>
        </w:tc>
        <w:tc>
          <w:tcPr>
            <w:tcW w:w="1485" w:type="dxa"/>
            <w:vMerge/>
          </w:tcPr>
          <w:p w14:paraId="34621C02" w14:textId="77777777" w:rsidR="00AE5E8C" w:rsidRPr="005D7934" w:rsidRDefault="00AE5E8C" w:rsidP="00AE5E8C">
            <w:pPr>
              <w:widowControl w:val="0"/>
              <w:autoSpaceDE w:val="0"/>
              <w:autoSpaceDN w:val="0"/>
              <w:rPr>
                <w:rFonts w:ascii="Palatino Linotype" w:eastAsia="Times New Roman" w:hAnsi="Palatino Linotype" w:cs="Times New Roman"/>
                <w:sz w:val="20"/>
              </w:rPr>
            </w:pPr>
          </w:p>
        </w:tc>
        <w:tc>
          <w:tcPr>
            <w:tcW w:w="1485" w:type="dxa"/>
            <w:vMerge/>
          </w:tcPr>
          <w:p w14:paraId="32D94D2C" w14:textId="77777777" w:rsidR="00AE5E8C" w:rsidRPr="005D7934" w:rsidRDefault="00AE5E8C" w:rsidP="00AE5E8C">
            <w:pPr>
              <w:widowControl w:val="0"/>
              <w:autoSpaceDE w:val="0"/>
              <w:autoSpaceDN w:val="0"/>
              <w:rPr>
                <w:rFonts w:ascii="Palatino Linotype" w:eastAsia="Times New Roman" w:hAnsi="Palatino Linotype" w:cs="Times New Roman"/>
                <w:sz w:val="20"/>
              </w:rPr>
            </w:pPr>
          </w:p>
        </w:tc>
        <w:tc>
          <w:tcPr>
            <w:tcW w:w="1485" w:type="dxa"/>
            <w:vMerge/>
          </w:tcPr>
          <w:p w14:paraId="55725FA8" w14:textId="77777777" w:rsidR="00AE5E8C" w:rsidRPr="005D7934" w:rsidRDefault="00AE5E8C" w:rsidP="00AE5E8C">
            <w:pPr>
              <w:widowControl w:val="0"/>
              <w:autoSpaceDE w:val="0"/>
              <w:autoSpaceDN w:val="0"/>
              <w:rPr>
                <w:rFonts w:ascii="Palatino Linotype" w:eastAsia="Times New Roman" w:hAnsi="Palatino Linotype" w:cs="Times New Roman"/>
                <w:sz w:val="20"/>
              </w:rPr>
            </w:pPr>
          </w:p>
        </w:tc>
      </w:tr>
      <w:tr w:rsidR="00035431" w:rsidRPr="0078308F" w14:paraId="4176B80C" w14:textId="77777777" w:rsidTr="00035431">
        <w:trPr>
          <w:trHeight w:val="705"/>
        </w:trPr>
        <w:tc>
          <w:tcPr>
            <w:tcW w:w="1435" w:type="dxa"/>
          </w:tcPr>
          <w:p w14:paraId="08F991D6" w14:textId="5A3E0870" w:rsidR="0022076C" w:rsidRPr="0078308F" w:rsidRDefault="0022076C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Andhra</w:t>
            </w:r>
            <w:r w:rsidR="00035431">
              <w:rPr>
                <w:rFonts w:ascii="Palatino Linotype" w:eastAsia="Tahoma" w:hAnsi="Palatino Linotype" w:cs="Times New Roman"/>
                <w:color w:val="231F20"/>
                <w:spacing w:val="1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"/>
                <w:w w:val="110"/>
                <w:sz w:val="16"/>
                <w:szCs w:val="16"/>
              </w:rPr>
              <w:t>Pradesh</w:t>
            </w:r>
          </w:p>
        </w:tc>
        <w:tc>
          <w:tcPr>
            <w:tcW w:w="900" w:type="dxa"/>
          </w:tcPr>
          <w:p w14:paraId="695C7B82" w14:textId="77777777" w:rsidR="0022076C" w:rsidRPr="0078308F" w:rsidRDefault="0022076C" w:rsidP="0032056F">
            <w:pPr>
              <w:widowControl w:val="0"/>
              <w:autoSpaceDE w:val="0"/>
              <w:autoSpaceDN w:val="0"/>
              <w:ind w:right="-111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Both</w:t>
            </w:r>
          </w:p>
        </w:tc>
        <w:tc>
          <w:tcPr>
            <w:tcW w:w="1260" w:type="dxa"/>
          </w:tcPr>
          <w:p w14:paraId="1BFB0FFB" w14:textId="5CCA69D7" w:rsidR="0022076C" w:rsidRPr="0032056F" w:rsidRDefault="0022076C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 kW–1MW</w:t>
            </w:r>
          </w:p>
        </w:tc>
        <w:tc>
          <w:tcPr>
            <w:tcW w:w="1170" w:type="dxa"/>
          </w:tcPr>
          <w:p w14:paraId="09A0DD4A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3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2FAA682C" w14:textId="7B0583E0" w:rsidR="0022076C" w:rsidRPr="0078308F" w:rsidRDefault="0022076C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56</w:t>
            </w:r>
            <w:r w:rsidR="0032056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376B3B53" w14:textId="76649069" w:rsidR="0022076C" w:rsidRPr="0078308F" w:rsidRDefault="0022076C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 xml:space="preserve">56 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2"/>
                <w:sz w:val="16"/>
                <w:szCs w:val="16"/>
              </w:rPr>
              <w:t>kW–1</w:t>
            </w:r>
            <w:r w:rsidR="0032056F">
              <w:rPr>
                <w:rFonts w:ascii="Palatino Linotype" w:eastAsia="Tahoma" w:hAnsi="Palatino Linotype" w:cs="Times New Roman"/>
                <w:color w:val="231F20"/>
                <w:spacing w:val="-2"/>
                <w:sz w:val="16"/>
                <w:szCs w:val="16"/>
              </w:rPr>
              <w:t xml:space="preserve"> M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W</w:t>
            </w:r>
          </w:p>
        </w:tc>
        <w:tc>
          <w:tcPr>
            <w:tcW w:w="1245" w:type="dxa"/>
          </w:tcPr>
          <w:p w14:paraId="27CFA2BD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100%</w:t>
            </w:r>
          </w:p>
        </w:tc>
        <w:tc>
          <w:tcPr>
            <w:tcW w:w="1185" w:type="dxa"/>
            <w:gridSpan w:val="2"/>
          </w:tcPr>
          <w:p w14:paraId="63A3005A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80%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7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for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1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LT</w:t>
            </w:r>
          </w:p>
          <w:p w14:paraId="7F5178C6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100%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for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HT</w:t>
            </w:r>
          </w:p>
        </w:tc>
        <w:tc>
          <w:tcPr>
            <w:tcW w:w="1485" w:type="dxa"/>
          </w:tcPr>
          <w:p w14:paraId="73933C56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Above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100%</w:t>
            </w:r>
          </w:p>
        </w:tc>
        <w:tc>
          <w:tcPr>
            <w:tcW w:w="1485" w:type="dxa"/>
          </w:tcPr>
          <w:p w14:paraId="727EAB8C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008800E4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Quarterly</w:t>
            </w:r>
          </w:p>
        </w:tc>
        <w:tc>
          <w:tcPr>
            <w:tcW w:w="1485" w:type="dxa"/>
          </w:tcPr>
          <w:p w14:paraId="7C96D502" w14:textId="2BE78621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APP</w:t>
            </w:r>
            <w:r w:rsidR="00207F0E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C</w:t>
            </w:r>
            <w:r w:rsidR="00133AD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*</w:t>
            </w:r>
          </w:p>
        </w:tc>
      </w:tr>
      <w:tr w:rsidR="00035431" w:rsidRPr="0078308F" w14:paraId="7054646F" w14:textId="77777777" w:rsidTr="00035431">
        <w:trPr>
          <w:trHeight w:val="513"/>
        </w:trPr>
        <w:tc>
          <w:tcPr>
            <w:tcW w:w="1435" w:type="dxa"/>
          </w:tcPr>
          <w:p w14:paraId="027F6F38" w14:textId="77777777" w:rsidR="0022076C" w:rsidRPr="0032056F" w:rsidRDefault="0022076C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 xml:space="preserve">Arunachal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Pradesh</w:t>
            </w:r>
          </w:p>
        </w:tc>
        <w:tc>
          <w:tcPr>
            <w:tcW w:w="900" w:type="dxa"/>
          </w:tcPr>
          <w:p w14:paraId="6DDA5610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Net</w:t>
            </w:r>
          </w:p>
        </w:tc>
        <w:tc>
          <w:tcPr>
            <w:tcW w:w="1260" w:type="dxa"/>
          </w:tcPr>
          <w:p w14:paraId="6C248FC9" w14:textId="59383808" w:rsidR="0022076C" w:rsidRPr="0032056F" w:rsidRDefault="0022076C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 kW–1MW</w:t>
            </w:r>
          </w:p>
        </w:tc>
        <w:tc>
          <w:tcPr>
            <w:tcW w:w="1170" w:type="dxa"/>
          </w:tcPr>
          <w:p w14:paraId="51ACF90C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5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364AD53D" w14:textId="37D6BB87" w:rsidR="0022076C" w:rsidRPr="0078308F" w:rsidRDefault="0022076C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50</w:t>
            </w:r>
            <w:r w:rsidR="0032056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6FE3449F" w14:textId="061CF8F9" w:rsidR="0022076C" w:rsidRPr="0032056F" w:rsidRDefault="0022076C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50 kW–1</w:t>
            </w:r>
            <w:r w:rsidR="0032056F"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 xml:space="preserve"> M</w:t>
            </w:r>
            <w:r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W</w:t>
            </w:r>
          </w:p>
        </w:tc>
        <w:tc>
          <w:tcPr>
            <w:tcW w:w="1245" w:type="dxa"/>
          </w:tcPr>
          <w:p w14:paraId="7CCC8231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NA</w:t>
            </w:r>
          </w:p>
        </w:tc>
        <w:tc>
          <w:tcPr>
            <w:tcW w:w="1185" w:type="dxa"/>
            <w:gridSpan w:val="2"/>
          </w:tcPr>
          <w:p w14:paraId="4CAB8A83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15%</w:t>
            </w:r>
          </w:p>
        </w:tc>
        <w:tc>
          <w:tcPr>
            <w:tcW w:w="1485" w:type="dxa"/>
          </w:tcPr>
          <w:p w14:paraId="6BED8F0A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Above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100%</w:t>
            </w:r>
          </w:p>
        </w:tc>
        <w:tc>
          <w:tcPr>
            <w:tcW w:w="1485" w:type="dxa"/>
          </w:tcPr>
          <w:p w14:paraId="13956F77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66E1F362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0542D790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APPC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0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rate</w:t>
            </w:r>
          </w:p>
        </w:tc>
      </w:tr>
      <w:tr w:rsidR="00035431" w:rsidRPr="0078308F" w14:paraId="2EF29728" w14:textId="77777777" w:rsidTr="00035431">
        <w:trPr>
          <w:trHeight w:val="705"/>
        </w:trPr>
        <w:tc>
          <w:tcPr>
            <w:tcW w:w="1435" w:type="dxa"/>
          </w:tcPr>
          <w:p w14:paraId="709DEE35" w14:textId="77777777" w:rsidR="0022076C" w:rsidRPr="0032056F" w:rsidRDefault="0022076C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Assam</w:t>
            </w:r>
          </w:p>
        </w:tc>
        <w:tc>
          <w:tcPr>
            <w:tcW w:w="900" w:type="dxa"/>
          </w:tcPr>
          <w:p w14:paraId="75C85911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Both</w:t>
            </w:r>
          </w:p>
        </w:tc>
        <w:tc>
          <w:tcPr>
            <w:tcW w:w="1260" w:type="dxa"/>
          </w:tcPr>
          <w:p w14:paraId="220DDE15" w14:textId="77777777" w:rsidR="0022076C" w:rsidRPr="0032056F" w:rsidRDefault="0022076C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1kW–1 MW</w:t>
            </w:r>
          </w:p>
        </w:tc>
        <w:tc>
          <w:tcPr>
            <w:tcW w:w="1170" w:type="dxa"/>
          </w:tcPr>
          <w:p w14:paraId="090D9DAE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4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04A20B78" w14:textId="3DE6EA55" w:rsidR="0022076C" w:rsidRPr="0078308F" w:rsidRDefault="0022076C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20</w:t>
            </w:r>
            <w:r w:rsidR="0032056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579EA1DB" w14:textId="77777777" w:rsidR="0022076C" w:rsidRPr="0032056F" w:rsidRDefault="0022076C" w:rsidP="0032056F">
            <w:pPr>
              <w:widowControl w:val="0"/>
              <w:tabs>
                <w:tab w:val="left" w:pos="940"/>
              </w:tabs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20 kW–1 MW</w:t>
            </w:r>
          </w:p>
        </w:tc>
        <w:tc>
          <w:tcPr>
            <w:tcW w:w="1245" w:type="dxa"/>
          </w:tcPr>
          <w:p w14:paraId="7BB42F4A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80%</w:t>
            </w:r>
          </w:p>
        </w:tc>
        <w:tc>
          <w:tcPr>
            <w:tcW w:w="1185" w:type="dxa"/>
            <w:gridSpan w:val="2"/>
          </w:tcPr>
          <w:p w14:paraId="4A8716D4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20%</w:t>
            </w:r>
          </w:p>
        </w:tc>
        <w:tc>
          <w:tcPr>
            <w:tcW w:w="1485" w:type="dxa"/>
          </w:tcPr>
          <w:p w14:paraId="3B83A10D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90%</w:t>
            </w:r>
          </w:p>
        </w:tc>
        <w:tc>
          <w:tcPr>
            <w:tcW w:w="1485" w:type="dxa"/>
          </w:tcPr>
          <w:p w14:paraId="43C647FD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28C48DB4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177CEF3C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Nil</w:t>
            </w:r>
          </w:p>
        </w:tc>
      </w:tr>
      <w:tr w:rsidR="00035431" w:rsidRPr="0078308F" w14:paraId="303980B6" w14:textId="77777777" w:rsidTr="00035431">
        <w:trPr>
          <w:trHeight w:val="705"/>
        </w:trPr>
        <w:tc>
          <w:tcPr>
            <w:tcW w:w="1435" w:type="dxa"/>
          </w:tcPr>
          <w:p w14:paraId="2B9DA283" w14:textId="77777777" w:rsidR="0022076C" w:rsidRPr="0032056F" w:rsidRDefault="0022076C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Bihar</w:t>
            </w:r>
          </w:p>
        </w:tc>
        <w:tc>
          <w:tcPr>
            <w:tcW w:w="900" w:type="dxa"/>
          </w:tcPr>
          <w:p w14:paraId="59705248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Both</w:t>
            </w:r>
          </w:p>
        </w:tc>
        <w:tc>
          <w:tcPr>
            <w:tcW w:w="1260" w:type="dxa"/>
          </w:tcPr>
          <w:p w14:paraId="45117411" w14:textId="3341C308" w:rsidR="0022076C" w:rsidRPr="0032056F" w:rsidRDefault="0022076C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</w:t>
            </w: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kW–up</w:t>
            </w: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to</w:t>
            </w: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the</w:t>
            </w:r>
            <w:r w:rsid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r w:rsidR="00830098"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sanctioned</w:t>
            </w: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load</w:t>
            </w:r>
          </w:p>
        </w:tc>
        <w:tc>
          <w:tcPr>
            <w:tcW w:w="1170" w:type="dxa"/>
          </w:tcPr>
          <w:p w14:paraId="499E76D5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0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3"/>
                <w:w w:val="9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0"/>
                <w:sz w:val="16"/>
                <w:szCs w:val="16"/>
              </w:rPr>
              <w:t>7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3"/>
                <w:w w:val="9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0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75C5FA00" w14:textId="120C7E17" w:rsidR="0022076C" w:rsidRPr="0078308F" w:rsidRDefault="0022076C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2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100</w:t>
            </w:r>
            <w:r w:rsidR="0032056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05F33981" w14:textId="33CBC7AF" w:rsidR="0022076C" w:rsidRPr="0032056F" w:rsidRDefault="0022076C" w:rsidP="0032056F">
            <w:pPr>
              <w:widowControl w:val="0"/>
              <w:tabs>
                <w:tab w:val="left" w:pos="940"/>
              </w:tabs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100</w:t>
            </w:r>
            <w:r w:rsidR="00830098"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 xml:space="preserve"> </w:t>
            </w:r>
            <w:r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kW</w:t>
            </w:r>
            <w:r w:rsidR="00830098"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-</w:t>
            </w:r>
            <w:r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1</w:t>
            </w:r>
            <w:r w:rsid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M</w:t>
            </w:r>
            <w:r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W</w:t>
            </w:r>
          </w:p>
        </w:tc>
        <w:tc>
          <w:tcPr>
            <w:tcW w:w="1245" w:type="dxa"/>
          </w:tcPr>
          <w:p w14:paraId="5EF1C2A8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100%</w:t>
            </w:r>
          </w:p>
        </w:tc>
        <w:tc>
          <w:tcPr>
            <w:tcW w:w="1185" w:type="dxa"/>
            <w:gridSpan w:val="2"/>
          </w:tcPr>
          <w:p w14:paraId="7BC59B18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80%</w:t>
            </w:r>
          </w:p>
        </w:tc>
        <w:tc>
          <w:tcPr>
            <w:tcW w:w="1485" w:type="dxa"/>
          </w:tcPr>
          <w:p w14:paraId="66DBCF6B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Above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100%</w:t>
            </w:r>
          </w:p>
        </w:tc>
        <w:tc>
          <w:tcPr>
            <w:tcW w:w="1485" w:type="dxa"/>
          </w:tcPr>
          <w:p w14:paraId="19B124B3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3BD99EED" w14:textId="77777777" w:rsidR="0022076C" w:rsidRPr="0078308F" w:rsidRDefault="0022076C" w:rsidP="0078308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26B2B0E8" w14:textId="11C420C5" w:rsidR="0022076C" w:rsidRPr="0078308F" w:rsidRDefault="00207F0E" w:rsidP="0078308F">
            <w:pPr>
              <w:widowControl w:val="0"/>
              <w:autoSpaceDE w:val="0"/>
              <w:autoSpaceDN w:val="0"/>
              <w:ind w:right="267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Tariffs</w:t>
            </w:r>
            <w:r w:rsidR="0022076C"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determined</w:t>
            </w:r>
            <w:r w:rsidR="0022076C" w:rsidRPr="0078308F">
              <w:rPr>
                <w:rFonts w:ascii="Palatino Linotype" w:eastAsia="Tahoma" w:hAnsi="Palatino Linotype" w:cs="Times New Roman"/>
                <w:color w:val="231F20"/>
                <w:spacing w:val="-50"/>
                <w:w w:val="105"/>
                <w:sz w:val="16"/>
                <w:szCs w:val="16"/>
              </w:rPr>
              <w:t xml:space="preserve"> </w:t>
            </w:r>
            <w:r w:rsidR="0022076C"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by</w:t>
            </w:r>
            <w:r w:rsidR="0022076C" w:rsidRPr="0078308F">
              <w:rPr>
                <w:rFonts w:ascii="Palatino Linotype" w:eastAsia="Tahoma" w:hAnsi="Palatino Linotype" w:cs="Times New Roman"/>
                <w:color w:val="231F20"/>
                <w:spacing w:val="-18"/>
                <w:w w:val="110"/>
                <w:sz w:val="16"/>
                <w:szCs w:val="16"/>
              </w:rPr>
              <w:t xml:space="preserve"> </w:t>
            </w:r>
            <w:r w:rsidR="0022076C"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BERC</w:t>
            </w:r>
          </w:p>
        </w:tc>
      </w:tr>
      <w:tr w:rsidR="0032056F" w:rsidRPr="0078308F" w14:paraId="3C520119" w14:textId="77777777" w:rsidTr="00035431">
        <w:trPr>
          <w:trHeight w:val="897"/>
        </w:trPr>
        <w:tc>
          <w:tcPr>
            <w:tcW w:w="1435" w:type="dxa"/>
          </w:tcPr>
          <w:p w14:paraId="290B8416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Chhattisgarh</w:t>
            </w:r>
          </w:p>
        </w:tc>
        <w:tc>
          <w:tcPr>
            <w:tcW w:w="900" w:type="dxa"/>
          </w:tcPr>
          <w:p w14:paraId="39D6FBC9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Both</w:t>
            </w:r>
          </w:p>
        </w:tc>
        <w:tc>
          <w:tcPr>
            <w:tcW w:w="1260" w:type="dxa"/>
          </w:tcPr>
          <w:p w14:paraId="078625EA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 kW–1 MW</w:t>
            </w:r>
          </w:p>
        </w:tc>
        <w:tc>
          <w:tcPr>
            <w:tcW w:w="1170" w:type="dxa"/>
          </w:tcPr>
          <w:p w14:paraId="406937F5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NA</w:t>
            </w:r>
          </w:p>
        </w:tc>
        <w:tc>
          <w:tcPr>
            <w:tcW w:w="1080" w:type="dxa"/>
          </w:tcPr>
          <w:p w14:paraId="1C0E7DB7" w14:textId="6DCA8E50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</w:t>
            </w:r>
            <w:r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-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51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100</w:t>
            </w:r>
            <w:r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 xml:space="preserve"> kW</w:t>
            </w:r>
          </w:p>
        </w:tc>
        <w:tc>
          <w:tcPr>
            <w:tcW w:w="1170" w:type="dxa"/>
          </w:tcPr>
          <w:p w14:paraId="6D8028B6" w14:textId="1888700A" w:rsidR="0032056F" w:rsidRPr="0032056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100 kW-1</w:t>
            </w: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M</w:t>
            </w:r>
            <w:r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W</w:t>
            </w:r>
          </w:p>
        </w:tc>
        <w:tc>
          <w:tcPr>
            <w:tcW w:w="1245" w:type="dxa"/>
          </w:tcPr>
          <w:p w14:paraId="68A6C686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Above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100%</w:t>
            </w:r>
          </w:p>
        </w:tc>
        <w:tc>
          <w:tcPr>
            <w:tcW w:w="1185" w:type="dxa"/>
            <w:gridSpan w:val="2"/>
          </w:tcPr>
          <w:p w14:paraId="611AFEFC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NA</w:t>
            </w:r>
          </w:p>
        </w:tc>
        <w:tc>
          <w:tcPr>
            <w:tcW w:w="1485" w:type="dxa"/>
          </w:tcPr>
          <w:p w14:paraId="63B4F07F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Above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100%</w:t>
            </w:r>
          </w:p>
        </w:tc>
        <w:tc>
          <w:tcPr>
            <w:tcW w:w="1485" w:type="dxa"/>
          </w:tcPr>
          <w:p w14:paraId="2F7B2802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22BA8F79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6A1ED804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Tariff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6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by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4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CSERC*</w:t>
            </w:r>
          </w:p>
        </w:tc>
      </w:tr>
      <w:tr w:rsidR="0032056F" w:rsidRPr="0078308F" w14:paraId="77A19FCE" w14:textId="77777777" w:rsidTr="00035431">
        <w:trPr>
          <w:trHeight w:val="1281"/>
        </w:trPr>
        <w:tc>
          <w:tcPr>
            <w:tcW w:w="1435" w:type="dxa"/>
          </w:tcPr>
          <w:p w14:paraId="3100E849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Delhi</w:t>
            </w:r>
          </w:p>
        </w:tc>
        <w:tc>
          <w:tcPr>
            <w:tcW w:w="900" w:type="dxa"/>
          </w:tcPr>
          <w:p w14:paraId="0ADC07F2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Net</w:t>
            </w:r>
          </w:p>
        </w:tc>
        <w:tc>
          <w:tcPr>
            <w:tcW w:w="1260" w:type="dxa"/>
          </w:tcPr>
          <w:p w14:paraId="36299712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1 kW – </w:t>
            </w:r>
            <w:proofErr w:type="gramStart"/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NA;</w:t>
            </w:r>
            <w:proofErr w:type="gramEnd"/>
          </w:p>
          <w:p w14:paraId="7495644E" w14:textId="6F6C2E4F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for group/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virtual me</w:t>
            </w: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tering</w:t>
            </w:r>
          </w:p>
          <w:p w14:paraId="2235EB37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5 kW – 5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MW</w:t>
            </w:r>
          </w:p>
        </w:tc>
        <w:tc>
          <w:tcPr>
            <w:tcW w:w="1170" w:type="dxa"/>
          </w:tcPr>
          <w:p w14:paraId="098D5F98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NA</w:t>
            </w:r>
          </w:p>
        </w:tc>
        <w:tc>
          <w:tcPr>
            <w:tcW w:w="1080" w:type="dxa"/>
          </w:tcPr>
          <w:p w14:paraId="0F99100E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NA</w:t>
            </w:r>
          </w:p>
        </w:tc>
        <w:tc>
          <w:tcPr>
            <w:tcW w:w="1170" w:type="dxa"/>
          </w:tcPr>
          <w:p w14:paraId="7E09A7A6" w14:textId="77777777" w:rsidR="0032056F" w:rsidRPr="0032056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NA</w:t>
            </w:r>
          </w:p>
        </w:tc>
        <w:tc>
          <w:tcPr>
            <w:tcW w:w="1245" w:type="dxa"/>
          </w:tcPr>
          <w:p w14:paraId="53717ED8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100%</w:t>
            </w:r>
          </w:p>
        </w:tc>
        <w:tc>
          <w:tcPr>
            <w:tcW w:w="1185" w:type="dxa"/>
            <w:gridSpan w:val="2"/>
          </w:tcPr>
          <w:p w14:paraId="441C01E8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20%</w:t>
            </w:r>
          </w:p>
        </w:tc>
        <w:tc>
          <w:tcPr>
            <w:tcW w:w="1485" w:type="dxa"/>
          </w:tcPr>
          <w:p w14:paraId="0181E82B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Above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100%</w:t>
            </w:r>
          </w:p>
        </w:tc>
        <w:tc>
          <w:tcPr>
            <w:tcW w:w="1485" w:type="dxa"/>
          </w:tcPr>
          <w:p w14:paraId="6FB466A7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76D2F4E0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16092373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Tariff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by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2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SERCs</w:t>
            </w:r>
          </w:p>
        </w:tc>
      </w:tr>
      <w:tr w:rsidR="0032056F" w:rsidRPr="0078308F" w14:paraId="5BF95B62" w14:textId="77777777" w:rsidTr="00035431">
        <w:trPr>
          <w:trHeight w:val="1281"/>
        </w:trPr>
        <w:tc>
          <w:tcPr>
            <w:tcW w:w="1435" w:type="dxa"/>
          </w:tcPr>
          <w:p w14:paraId="0E7CA869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Goa</w:t>
            </w:r>
          </w:p>
        </w:tc>
        <w:tc>
          <w:tcPr>
            <w:tcW w:w="900" w:type="dxa"/>
          </w:tcPr>
          <w:p w14:paraId="5F55804F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Both</w:t>
            </w:r>
          </w:p>
        </w:tc>
        <w:tc>
          <w:tcPr>
            <w:tcW w:w="1260" w:type="dxa"/>
          </w:tcPr>
          <w:p w14:paraId="6E28516E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NA–500</w:t>
            </w:r>
          </w:p>
          <w:p w14:paraId="1BC8D708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proofErr w:type="spellStart"/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kWp</w:t>
            </w:r>
            <w:proofErr w:type="spellEnd"/>
          </w:p>
          <w:p w14:paraId="02EE214E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for group/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virtual</w:t>
            </w: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net</w:t>
            </w: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metering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5</w:t>
            </w: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proofErr w:type="spellStart"/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kWp</w:t>
            </w:r>
            <w:proofErr w:type="spellEnd"/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–NA</w:t>
            </w:r>
          </w:p>
        </w:tc>
        <w:tc>
          <w:tcPr>
            <w:tcW w:w="1170" w:type="dxa"/>
          </w:tcPr>
          <w:p w14:paraId="0480672F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10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5F8A5D2E" w14:textId="6C9309EC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</w:t>
            </w:r>
            <w:r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-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51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100</w:t>
            </w:r>
            <w:r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 xml:space="preserve"> kW</w:t>
            </w:r>
          </w:p>
        </w:tc>
        <w:tc>
          <w:tcPr>
            <w:tcW w:w="1170" w:type="dxa"/>
          </w:tcPr>
          <w:p w14:paraId="5A25A61F" w14:textId="354A0F5E" w:rsidR="0032056F" w:rsidRPr="0032056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&gt;</w:t>
            </w:r>
            <w:r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100 kW</w:t>
            </w:r>
          </w:p>
        </w:tc>
        <w:tc>
          <w:tcPr>
            <w:tcW w:w="1245" w:type="dxa"/>
          </w:tcPr>
          <w:p w14:paraId="7162C920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100%</w:t>
            </w:r>
          </w:p>
        </w:tc>
        <w:tc>
          <w:tcPr>
            <w:tcW w:w="1185" w:type="dxa"/>
            <w:gridSpan w:val="2"/>
          </w:tcPr>
          <w:p w14:paraId="75CAD6F8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75%</w:t>
            </w:r>
          </w:p>
        </w:tc>
        <w:tc>
          <w:tcPr>
            <w:tcW w:w="1485" w:type="dxa"/>
          </w:tcPr>
          <w:p w14:paraId="01A5DC29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Above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100%</w:t>
            </w:r>
          </w:p>
        </w:tc>
        <w:tc>
          <w:tcPr>
            <w:tcW w:w="1485" w:type="dxa"/>
          </w:tcPr>
          <w:p w14:paraId="52FBD24E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21BFEA22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5A85D997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APPC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0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or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4"/>
                <w:w w:val="110"/>
                <w:sz w:val="16"/>
                <w:szCs w:val="16"/>
              </w:rPr>
              <w:t xml:space="preserve"> </w:t>
            </w:r>
            <w:proofErr w:type="spellStart"/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FiT</w:t>
            </w:r>
            <w:proofErr w:type="spellEnd"/>
          </w:p>
        </w:tc>
      </w:tr>
      <w:tr w:rsidR="0032056F" w:rsidRPr="0078308F" w14:paraId="547415D5" w14:textId="77777777" w:rsidTr="00035431">
        <w:trPr>
          <w:trHeight w:val="161"/>
        </w:trPr>
        <w:tc>
          <w:tcPr>
            <w:tcW w:w="1435" w:type="dxa"/>
          </w:tcPr>
          <w:p w14:paraId="0A758EC9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Gujarat</w:t>
            </w:r>
          </w:p>
        </w:tc>
        <w:tc>
          <w:tcPr>
            <w:tcW w:w="900" w:type="dxa"/>
          </w:tcPr>
          <w:p w14:paraId="5AF378FA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Both</w:t>
            </w:r>
          </w:p>
        </w:tc>
        <w:tc>
          <w:tcPr>
            <w:tcW w:w="1260" w:type="dxa"/>
          </w:tcPr>
          <w:p w14:paraId="4975055B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 kW–1 MW</w:t>
            </w:r>
          </w:p>
        </w:tc>
        <w:tc>
          <w:tcPr>
            <w:tcW w:w="1170" w:type="dxa"/>
          </w:tcPr>
          <w:p w14:paraId="295B5B89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6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4EA475FF" w14:textId="51C4A82D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6-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51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100</w:t>
            </w:r>
            <w:r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 xml:space="preserve"> kW</w:t>
            </w:r>
          </w:p>
        </w:tc>
        <w:tc>
          <w:tcPr>
            <w:tcW w:w="1170" w:type="dxa"/>
          </w:tcPr>
          <w:p w14:paraId="164F8EA2" w14:textId="27C85FEE" w:rsidR="0032056F" w:rsidRPr="0032056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&gt;</w:t>
            </w:r>
            <w:r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100 kW</w:t>
            </w:r>
          </w:p>
        </w:tc>
        <w:tc>
          <w:tcPr>
            <w:tcW w:w="1245" w:type="dxa"/>
          </w:tcPr>
          <w:p w14:paraId="26471FD2" w14:textId="761E6D84" w:rsidR="0032056F" w:rsidRPr="0078308F" w:rsidRDefault="0032056F" w:rsidP="00133ADF">
            <w:pPr>
              <w:widowControl w:val="0"/>
              <w:autoSpaceDE w:val="0"/>
              <w:autoSpaceDN w:val="0"/>
              <w:ind w:right="117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Residential-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1"/>
                <w:w w:val="105"/>
                <w:sz w:val="16"/>
                <w:szCs w:val="16"/>
              </w:rPr>
              <w:t xml:space="preserve"> </w:t>
            </w:r>
            <w:r w:rsidR="00133AD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&gt;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 xml:space="preserve"> 100%;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1"/>
                <w:sz w:val="16"/>
                <w:szCs w:val="16"/>
              </w:rPr>
              <w:t xml:space="preserve"> </w:t>
            </w:r>
            <w:r w:rsidR="00133ADF"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non-residential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5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50%</w:t>
            </w:r>
            <w:r w:rsidR="00133AD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(for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initial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two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49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years)</w:t>
            </w:r>
          </w:p>
        </w:tc>
        <w:tc>
          <w:tcPr>
            <w:tcW w:w="1185" w:type="dxa"/>
            <w:gridSpan w:val="2"/>
          </w:tcPr>
          <w:p w14:paraId="119C7B48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65%</w:t>
            </w:r>
          </w:p>
        </w:tc>
        <w:tc>
          <w:tcPr>
            <w:tcW w:w="1485" w:type="dxa"/>
          </w:tcPr>
          <w:p w14:paraId="3B323147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Above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100%</w:t>
            </w:r>
          </w:p>
        </w:tc>
        <w:tc>
          <w:tcPr>
            <w:tcW w:w="1485" w:type="dxa"/>
          </w:tcPr>
          <w:p w14:paraId="0F994C82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0718D74B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5F081756" w14:textId="34767486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APPC</w:t>
            </w:r>
          </w:p>
        </w:tc>
      </w:tr>
      <w:tr w:rsidR="0032056F" w:rsidRPr="0078308F" w14:paraId="2D5BF2B2" w14:textId="77777777" w:rsidTr="00035431">
        <w:trPr>
          <w:trHeight w:val="705"/>
        </w:trPr>
        <w:tc>
          <w:tcPr>
            <w:tcW w:w="1435" w:type="dxa"/>
          </w:tcPr>
          <w:p w14:paraId="0476732F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lastRenderedPageBreak/>
              <w:t>Haryana</w:t>
            </w:r>
          </w:p>
        </w:tc>
        <w:tc>
          <w:tcPr>
            <w:tcW w:w="900" w:type="dxa"/>
          </w:tcPr>
          <w:p w14:paraId="4F2D8DA4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Both</w:t>
            </w:r>
          </w:p>
        </w:tc>
        <w:tc>
          <w:tcPr>
            <w:tcW w:w="1260" w:type="dxa"/>
          </w:tcPr>
          <w:p w14:paraId="219FB5EE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NA–1</w:t>
            </w: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MW</w:t>
            </w:r>
          </w:p>
        </w:tc>
        <w:tc>
          <w:tcPr>
            <w:tcW w:w="1170" w:type="dxa"/>
          </w:tcPr>
          <w:p w14:paraId="07132DC7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5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1134EDAA" w14:textId="36CF31A8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5-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51"/>
                <w:w w:val="105"/>
                <w:sz w:val="16"/>
                <w:szCs w:val="16"/>
              </w:rPr>
              <w:t xml:space="preserve"> </w:t>
            </w:r>
            <w:r>
              <w:rPr>
                <w:rFonts w:ascii="Palatino Linotype" w:eastAsia="Tahoma" w:hAnsi="Palatino Linotype" w:cs="Times New Roman"/>
                <w:color w:val="231F20"/>
                <w:spacing w:val="-51"/>
                <w:w w:val="105"/>
                <w:sz w:val="16"/>
                <w:szCs w:val="16"/>
              </w:rPr>
              <w:t>5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0</w:t>
            </w:r>
            <w:r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 xml:space="preserve"> kW</w:t>
            </w:r>
          </w:p>
        </w:tc>
        <w:tc>
          <w:tcPr>
            <w:tcW w:w="1170" w:type="dxa"/>
          </w:tcPr>
          <w:p w14:paraId="368E5E70" w14:textId="38648210" w:rsidR="0032056F" w:rsidRPr="0032056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&gt;</w:t>
            </w:r>
            <w:r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50 kW</w:t>
            </w:r>
          </w:p>
        </w:tc>
        <w:tc>
          <w:tcPr>
            <w:tcW w:w="1245" w:type="dxa"/>
          </w:tcPr>
          <w:p w14:paraId="0EC9B3B3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100%</w:t>
            </w:r>
          </w:p>
        </w:tc>
        <w:tc>
          <w:tcPr>
            <w:tcW w:w="1185" w:type="dxa"/>
            <w:gridSpan w:val="2"/>
          </w:tcPr>
          <w:p w14:paraId="6AFF98AA" w14:textId="77777777" w:rsidR="0032056F" w:rsidRPr="0078308F" w:rsidRDefault="0032056F" w:rsidP="0032056F">
            <w:pPr>
              <w:widowControl w:val="0"/>
              <w:autoSpaceDE w:val="0"/>
              <w:autoSpaceDN w:val="0"/>
              <w:ind w:right="169"/>
              <w:jc w:val="both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30 % for LT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47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2"/>
                <w:sz w:val="16"/>
                <w:szCs w:val="16"/>
              </w:rPr>
              <w:t>and 15% for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47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HT</w:t>
            </w:r>
          </w:p>
        </w:tc>
        <w:tc>
          <w:tcPr>
            <w:tcW w:w="1485" w:type="dxa"/>
          </w:tcPr>
          <w:p w14:paraId="6A90AC43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90%</w:t>
            </w:r>
          </w:p>
        </w:tc>
        <w:tc>
          <w:tcPr>
            <w:tcW w:w="1485" w:type="dxa"/>
          </w:tcPr>
          <w:p w14:paraId="4B2D85F1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2C785534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1F697FE3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Nil</w:t>
            </w:r>
          </w:p>
        </w:tc>
      </w:tr>
      <w:tr w:rsidR="0032056F" w:rsidRPr="0078308F" w14:paraId="1F5BDCDD" w14:textId="77777777" w:rsidTr="00133ADF">
        <w:trPr>
          <w:trHeight w:val="170"/>
        </w:trPr>
        <w:tc>
          <w:tcPr>
            <w:tcW w:w="1435" w:type="dxa"/>
          </w:tcPr>
          <w:p w14:paraId="3B7A583A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 xml:space="preserve">Himachal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Pradesh</w:t>
            </w:r>
          </w:p>
        </w:tc>
        <w:tc>
          <w:tcPr>
            <w:tcW w:w="900" w:type="dxa"/>
          </w:tcPr>
          <w:p w14:paraId="5F97806F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Net</w:t>
            </w:r>
          </w:p>
        </w:tc>
        <w:tc>
          <w:tcPr>
            <w:tcW w:w="1260" w:type="dxa"/>
          </w:tcPr>
          <w:p w14:paraId="52271A95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 kW–1 MW</w:t>
            </w:r>
          </w:p>
        </w:tc>
        <w:tc>
          <w:tcPr>
            <w:tcW w:w="1170" w:type="dxa"/>
          </w:tcPr>
          <w:p w14:paraId="4133B46C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0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3"/>
                <w:w w:val="9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0"/>
                <w:sz w:val="16"/>
                <w:szCs w:val="16"/>
              </w:rPr>
              <w:t>7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3"/>
                <w:w w:val="9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0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6F962ABE" w14:textId="448F3E15" w:rsidR="0032056F" w:rsidRPr="0078308F" w:rsidRDefault="0032056F" w:rsidP="0032056F">
            <w:pPr>
              <w:widowControl w:val="0"/>
              <w:autoSpaceDE w:val="0"/>
              <w:autoSpaceDN w:val="0"/>
              <w:ind w:right="94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7</w:t>
            </w:r>
            <w:r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-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20</w:t>
            </w:r>
            <w:r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6EF2A2F2" w14:textId="77777777" w:rsidR="0032056F" w:rsidRPr="0032056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20 kW–1 MW</w:t>
            </w:r>
          </w:p>
        </w:tc>
        <w:tc>
          <w:tcPr>
            <w:tcW w:w="1245" w:type="dxa"/>
          </w:tcPr>
          <w:p w14:paraId="6D621BB7" w14:textId="3B2A8814" w:rsidR="00133ADF" w:rsidRPr="0078308F" w:rsidRDefault="0032056F" w:rsidP="00133ADF">
            <w:pPr>
              <w:widowControl w:val="0"/>
              <w:autoSpaceDE w:val="0"/>
              <w:autoSpaceDN w:val="0"/>
              <w:ind w:right="144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pacing w:val="-2"/>
                <w:w w:val="110"/>
                <w:sz w:val="16"/>
                <w:szCs w:val="16"/>
              </w:rPr>
              <w:t>Under two-</w:t>
            </w:r>
            <w:proofErr w:type="gramStart"/>
            <w:r w:rsidRPr="0078308F">
              <w:rPr>
                <w:rFonts w:ascii="Palatino Linotype" w:eastAsia="Tahoma" w:hAnsi="Palatino Linotype" w:cs="Times New Roman"/>
                <w:color w:val="231F20"/>
                <w:spacing w:val="-2"/>
                <w:w w:val="110"/>
                <w:sz w:val="16"/>
                <w:szCs w:val="16"/>
              </w:rPr>
              <w:t>part</w:t>
            </w:r>
            <w:r>
              <w:rPr>
                <w:rFonts w:ascii="Palatino Linotype" w:eastAsia="Tahoma" w:hAnsi="Palatino Linotype" w:cs="Times New Roman"/>
                <w:color w:val="231F20"/>
                <w:spacing w:val="-2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52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tariff</w:t>
            </w:r>
            <w:proofErr w:type="gramEnd"/>
            <w:r w:rsidR="00133ADF" w:rsidRPr="00133AD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  <w:vertAlign w:val="superscript"/>
              </w:rPr>
              <w:t>±</w:t>
            </w:r>
          </w:p>
          <w:p w14:paraId="42DE6916" w14:textId="26974495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</w:p>
        </w:tc>
        <w:tc>
          <w:tcPr>
            <w:tcW w:w="1185" w:type="dxa"/>
            <w:gridSpan w:val="2"/>
          </w:tcPr>
          <w:p w14:paraId="6972424A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30%</w:t>
            </w:r>
          </w:p>
        </w:tc>
        <w:tc>
          <w:tcPr>
            <w:tcW w:w="1485" w:type="dxa"/>
          </w:tcPr>
          <w:p w14:paraId="5F65EDCB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Above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100%</w:t>
            </w:r>
          </w:p>
        </w:tc>
        <w:tc>
          <w:tcPr>
            <w:tcW w:w="1485" w:type="dxa"/>
          </w:tcPr>
          <w:p w14:paraId="64606793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617262A5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7C3F3186" w14:textId="50916D64" w:rsidR="0032056F" w:rsidRPr="0078308F" w:rsidRDefault="0032056F" w:rsidP="0032056F">
            <w:pPr>
              <w:widowControl w:val="0"/>
              <w:autoSpaceDE w:val="0"/>
              <w:autoSpaceDN w:val="0"/>
              <w:ind w:right="14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pacing w:val="-1"/>
                <w:w w:val="105"/>
                <w:sz w:val="16"/>
                <w:szCs w:val="16"/>
              </w:rPr>
              <w:t>30%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of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6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the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4"/>
                <w:w w:val="105"/>
                <w:sz w:val="16"/>
                <w:szCs w:val="16"/>
              </w:rPr>
              <w:t xml:space="preserve"> </w:t>
            </w:r>
            <w:r w:rsidR="00133AD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weighted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5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APPC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2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rate</w:t>
            </w:r>
          </w:p>
        </w:tc>
      </w:tr>
      <w:tr w:rsidR="0032056F" w:rsidRPr="0078308F" w14:paraId="48F5E5C3" w14:textId="77777777" w:rsidTr="00035431">
        <w:trPr>
          <w:trHeight w:val="705"/>
        </w:trPr>
        <w:tc>
          <w:tcPr>
            <w:tcW w:w="1435" w:type="dxa"/>
          </w:tcPr>
          <w:p w14:paraId="2234D571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Jammu and Kashmir</w:t>
            </w:r>
          </w:p>
        </w:tc>
        <w:tc>
          <w:tcPr>
            <w:tcW w:w="900" w:type="dxa"/>
          </w:tcPr>
          <w:p w14:paraId="5FED0AA5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Net</w:t>
            </w:r>
          </w:p>
        </w:tc>
        <w:tc>
          <w:tcPr>
            <w:tcW w:w="1260" w:type="dxa"/>
          </w:tcPr>
          <w:p w14:paraId="23BE376E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 kW–1 MW</w:t>
            </w:r>
          </w:p>
        </w:tc>
        <w:tc>
          <w:tcPr>
            <w:tcW w:w="1170" w:type="dxa"/>
          </w:tcPr>
          <w:p w14:paraId="5361487B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5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45143119" w14:textId="57757F24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pacing w:val="-2"/>
                <w:w w:val="105"/>
                <w:sz w:val="16"/>
                <w:szCs w:val="16"/>
              </w:rPr>
              <w:t>5</w:t>
            </w:r>
            <w:r>
              <w:rPr>
                <w:rFonts w:ascii="Palatino Linotype" w:eastAsia="Tahoma" w:hAnsi="Palatino Linotype" w:cs="Times New Roman"/>
                <w:color w:val="231F20"/>
                <w:spacing w:val="-2"/>
                <w:w w:val="105"/>
                <w:sz w:val="16"/>
                <w:szCs w:val="16"/>
              </w:rPr>
              <w:t>-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100</w:t>
            </w:r>
            <w:r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32AC5F1B" w14:textId="2D05E765" w:rsidR="0032056F" w:rsidRPr="0032056F" w:rsidRDefault="00133AD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&gt;</w:t>
            </w:r>
            <w:r w:rsidR="0032056F"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100 kW</w:t>
            </w:r>
          </w:p>
        </w:tc>
        <w:tc>
          <w:tcPr>
            <w:tcW w:w="1245" w:type="dxa"/>
          </w:tcPr>
          <w:p w14:paraId="19C94C2D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50%</w:t>
            </w:r>
          </w:p>
        </w:tc>
        <w:tc>
          <w:tcPr>
            <w:tcW w:w="1185" w:type="dxa"/>
            <w:gridSpan w:val="2"/>
          </w:tcPr>
          <w:p w14:paraId="5A7C2B1E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20%</w:t>
            </w:r>
          </w:p>
        </w:tc>
        <w:tc>
          <w:tcPr>
            <w:tcW w:w="1485" w:type="dxa"/>
          </w:tcPr>
          <w:p w14:paraId="688F16C1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90%</w:t>
            </w:r>
          </w:p>
        </w:tc>
        <w:tc>
          <w:tcPr>
            <w:tcW w:w="1485" w:type="dxa"/>
          </w:tcPr>
          <w:p w14:paraId="5468E9CA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57DDD800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74B46E3C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Nil</w:t>
            </w:r>
          </w:p>
        </w:tc>
      </w:tr>
      <w:tr w:rsidR="0032056F" w:rsidRPr="0078308F" w14:paraId="76D5B60C" w14:textId="77777777" w:rsidTr="00035431">
        <w:trPr>
          <w:trHeight w:val="705"/>
        </w:trPr>
        <w:tc>
          <w:tcPr>
            <w:tcW w:w="1435" w:type="dxa"/>
          </w:tcPr>
          <w:p w14:paraId="1C7C4E52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Jharkhand</w:t>
            </w:r>
          </w:p>
        </w:tc>
        <w:tc>
          <w:tcPr>
            <w:tcW w:w="900" w:type="dxa"/>
          </w:tcPr>
          <w:p w14:paraId="67D56984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Both</w:t>
            </w:r>
          </w:p>
        </w:tc>
        <w:tc>
          <w:tcPr>
            <w:tcW w:w="1260" w:type="dxa"/>
          </w:tcPr>
          <w:p w14:paraId="013DE2F8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 kW–2 MW</w:t>
            </w:r>
          </w:p>
        </w:tc>
        <w:tc>
          <w:tcPr>
            <w:tcW w:w="1170" w:type="dxa"/>
          </w:tcPr>
          <w:p w14:paraId="3E38FACB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5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55178D45" w14:textId="6BB63B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5</w:t>
            </w:r>
            <w:r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-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50kW</w:t>
            </w:r>
          </w:p>
        </w:tc>
        <w:tc>
          <w:tcPr>
            <w:tcW w:w="1170" w:type="dxa"/>
          </w:tcPr>
          <w:p w14:paraId="03936663" w14:textId="28D8A9FA" w:rsidR="0032056F" w:rsidRPr="0032056F" w:rsidRDefault="00133AD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&gt;</w:t>
            </w:r>
            <w:r w:rsidR="0032056F"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50 kW</w:t>
            </w:r>
          </w:p>
        </w:tc>
        <w:tc>
          <w:tcPr>
            <w:tcW w:w="1245" w:type="dxa"/>
          </w:tcPr>
          <w:p w14:paraId="48CBA108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100%</w:t>
            </w:r>
          </w:p>
        </w:tc>
        <w:tc>
          <w:tcPr>
            <w:tcW w:w="1185" w:type="dxa"/>
            <w:gridSpan w:val="2"/>
          </w:tcPr>
          <w:p w14:paraId="46ED8B2B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100%</w:t>
            </w:r>
          </w:p>
        </w:tc>
        <w:tc>
          <w:tcPr>
            <w:tcW w:w="1485" w:type="dxa"/>
          </w:tcPr>
          <w:p w14:paraId="2200D39B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Above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100%</w:t>
            </w:r>
          </w:p>
        </w:tc>
        <w:tc>
          <w:tcPr>
            <w:tcW w:w="1485" w:type="dxa"/>
          </w:tcPr>
          <w:p w14:paraId="14C292C4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07851830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17FD98A5" w14:textId="77777777" w:rsidR="0032056F" w:rsidRPr="0078308F" w:rsidRDefault="0032056F" w:rsidP="0032056F">
            <w:pPr>
              <w:widowControl w:val="0"/>
              <w:autoSpaceDE w:val="0"/>
              <w:autoSpaceDN w:val="0"/>
              <w:ind w:right="267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Tariff determined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5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by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6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JSERC</w:t>
            </w:r>
          </w:p>
        </w:tc>
      </w:tr>
      <w:tr w:rsidR="0032056F" w:rsidRPr="0078308F" w14:paraId="44D64EE4" w14:textId="77777777" w:rsidTr="00035431">
        <w:trPr>
          <w:trHeight w:val="897"/>
        </w:trPr>
        <w:tc>
          <w:tcPr>
            <w:tcW w:w="1435" w:type="dxa"/>
          </w:tcPr>
          <w:p w14:paraId="7FB5EED4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Karnataka</w:t>
            </w:r>
          </w:p>
        </w:tc>
        <w:tc>
          <w:tcPr>
            <w:tcW w:w="900" w:type="dxa"/>
          </w:tcPr>
          <w:p w14:paraId="0198409E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Both</w:t>
            </w:r>
          </w:p>
        </w:tc>
        <w:tc>
          <w:tcPr>
            <w:tcW w:w="1260" w:type="dxa"/>
          </w:tcPr>
          <w:p w14:paraId="48F39BC7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 kW–1 MW</w:t>
            </w:r>
          </w:p>
        </w:tc>
        <w:tc>
          <w:tcPr>
            <w:tcW w:w="1170" w:type="dxa"/>
          </w:tcPr>
          <w:p w14:paraId="44AC0BD8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5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52B0DE66" w14:textId="53D82563" w:rsidR="0032056F" w:rsidRPr="0078308F" w:rsidRDefault="0032056F" w:rsidP="0032056F">
            <w:pPr>
              <w:widowControl w:val="0"/>
              <w:autoSpaceDE w:val="0"/>
              <w:autoSpaceDN w:val="0"/>
              <w:ind w:right="94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5–50</w:t>
            </w:r>
            <w:r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6650D9C0" w14:textId="11712E9B" w:rsidR="0032056F" w:rsidRPr="0032056F" w:rsidRDefault="00133AD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&gt;</w:t>
            </w:r>
            <w:r w:rsidR="0032056F"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50 kW</w:t>
            </w:r>
          </w:p>
        </w:tc>
        <w:tc>
          <w:tcPr>
            <w:tcW w:w="1245" w:type="dxa"/>
          </w:tcPr>
          <w:p w14:paraId="46BE8DC4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100%</w:t>
            </w:r>
          </w:p>
        </w:tc>
        <w:tc>
          <w:tcPr>
            <w:tcW w:w="1185" w:type="dxa"/>
            <w:gridSpan w:val="2"/>
          </w:tcPr>
          <w:p w14:paraId="17516B14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80%</w:t>
            </w:r>
          </w:p>
        </w:tc>
        <w:tc>
          <w:tcPr>
            <w:tcW w:w="1485" w:type="dxa"/>
          </w:tcPr>
          <w:p w14:paraId="29858DB2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Above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100%</w:t>
            </w:r>
          </w:p>
        </w:tc>
        <w:tc>
          <w:tcPr>
            <w:tcW w:w="1485" w:type="dxa"/>
          </w:tcPr>
          <w:p w14:paraId="0399BEAF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3C34EAF5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5526995C" w14:textId="38FE476D" w:rsidR="0032056F" w:rsidRPr="0078308F" w:rsidRDefault="0032056F" w:rsidP="00133ADF">
            <w:pPr>
              <w:widowControl w:val="0"/>
              <w:autoSpaceDE w:val="0"/>
              <w:autoSpaceDN w:val="0"/>
              <w:ind w:left="-62" w:right="-113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pacing w:val="-1"/>
                <w:w w:val="110"/>
                <w:sz w:val="16"/>
                <w:szCs w:val="16"/>
              </w:rPr>
              <w:t xml:space="preserve">Higher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tariff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1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"/>
                <w:w w:val="110"/>
                <w:sz w:val="16"/>
                <w:szCs w:val="16"/>
              </w:rPr>
              <w:t>agreed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5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"/>
                <w:w w:val="110"/>
                <w:sz w:val="16"/>
                <w:szCs w:val="16"/>
              </w:rPr>
              <w:t>to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5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in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5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PPA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8"/>
                <w:w w:val="110"/>
                <w:sz w:val="16"/>
                <w:szCs w:val="16"/>
              </w:rPr>
              <w:t xml:space="preserve"> </w:t>
            </w:r>
            <w:r w:rsidR="00133AD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or retail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6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supply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8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tariff</w:t>
            </w:r>
          </w:p>
        </w:tc>
      </w:tr>
      <w:tr w:rsidR="0032056F" w:rsidRPr="0078308F" w14:paraId="1AECC04E" w14:textId="77777777" w:rsidTr="00035431">
        <w:trPr>
          <w:trHeight w:val="705"/>
        </w:trPr>
        <w:tc>
          <w:tcPr>
            <w:tcW w:w="1435" w:type="dxa"/>
          </w:tcPr>
          <w:p w14:paraId="6C9D4CF4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Kerala</w:t>
            </w:r>
          </w:p>
        </w:tc>
        <w:tc>
          <w:tcPr>
            <w:tcW w:w="900" w:type="dxa"/>
          </w:tcPr>
          <w:p w14:paraId="699E1B75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Net</w:t>
            </w:r>
          </w:p>
        </w:tc>
        <w:tc>
          <w:tcPr>
            <w:tcW w:w="1260" w:type="dxa"/>
          </w:tcPr>
          <w:p w14:paraId="71904A37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 kW–1 MW</w:t>
            </w:r>
          </w:p>
        </w:tc>
        <w:tc>
          <w:tcPr>
            <w:tcW w:w="1170" w:type="dxa"/>
          </w:tcPr>
          <w:p w14:paraId="477C23B4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5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670B21D4" w14:textId="223A3DD1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pacing w:val="-2"/>
                <w:w w:val="105"/>
                <w:sz w:val="16"/>
                <w:szCs w:val="16"/>
              </w:rPr>
              <w:t>5–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100</w:t>
            </w:r>
            <w:r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311DB448" w14:textId="5FAC2284" w:rsidR="0032056F" w:rsidRPr="0032056F" w:rsidRDefault="00133AD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&gt;</w:t>
            </w:r>
            <w:r w:rsidR="0032056F"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100 kW</w:t>
            </w:r>
          </w:p>
        </w:tc>
        <w:tc>
          <w:tcPr>
            <w:tcW w:w="1245" w:type="dxa"/>
          </w:tcPr>
          <w:p w14:paraId="5B9A0812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NA</w:t>
            </w:r>
          </w:p>
        </w:tc>
        <w:tc>
          <w:tcPr>
            <w:tcW w:w="1185" w:type="dxa"/>
            <w:gridSpan w:val="2"/>
          </w:tcPr>
          <w:p w14:paraId="3F34732E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80%</w:t>
            </w:r>
          </w:p>
        </w:tc>
        <w:tc>
          <w:tcPr>
            <w:tcW w:w="1485" w:type="dxa"/>
          </w:tcPr>
          <w:p w14:paraId="5A3380FA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Above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100%</w:t>
            </w:r>
          </w:p>
        </w:tc>
        <w:tc>
          <w:tcPr>
            <w:tcW w:w="1485" w:type="dxa"/>
          </w:tcPr>
          <w:p w14:paraId="04E7EBCA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504D4640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3F8CE2FC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As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2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per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7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tariff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7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order</w:t>
            </w:r>
          </w:p>
        </w:tc>
      </w:tr>
      <w:tr w:rsidR="0032056F" w:rsidRPr="0078308F" w14:paraId="5F3FD1C2" w14:textId="77777777" w:rsidTr="00035431">
        <w:trPr>
          <w:trHeight w:val="705"/>
        </w:trPr>
        <w:tc>
          <w:tcPr>
            <w:tcW w:w="1435" w:type="dxa"/>
          </w:tcPr>
          <w:p w14:paraId="079A3340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Madhya</w:t>
            </w:r>
            <w:r w:rsidRPr="0032056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 xml:space="preserve"> Pradesh</w:t>
            </w:r>
          </w:p>
        </w:tc>
        <w:tc>
          <w:tcPr>
            <w:tcW w:w="900" w:type="dxa"/>
          </w:tcPr>
          <w:p w14:paraId="41ACD998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Net</w:t>
            </w:r>
          </w:p>
        </w:tc>
        <w:tc>
          <w:tcPr>
            <w:tcW w:w="1260" w:type="dxa"/>
          </w:tcPr>
          <w:p w14:paraId="1F2470AA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NA–1</w:t>
            </w: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MW</w:t>
            </w:r>
          </w:p>
        </w:tc>
        <w:tc>
          <w:tcPr>
            <w:tcW w:w="1170" w:type="dxa"/>
          </w:tcPr>
          <w:p w14:paraId="5402F86E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3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0305B34C" w14:textId="11882CE3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pacing w:val="-2"/>
                <w:w w:val="105"/>
                <w:sz w:val="16"/>
                <w:szCs w:val="16"/>
              </w:rPr>
              <w:t>3–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112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0CBC2761" w14:textId="6325FEA2" w:rsidR="0032056F" w:rsidRPr="0032056F" w:rsidRDefault="00133AD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&gt;</w:t>
            </w:r>
            <w:r w:rsidR="0032056F"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112 kW</w:t>
            </w:r>
          </w:p>
        </w:tc>
        <w:tc>
          <w:tcPr>
            <w:tcW w:w="1245" w:type="dxa"/>
          </w:tcPr>
          <w:p w14:paraId="293F73A2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100%</w:t>
            </w:r>
          </w:p>
        </w:tc>
        <w:tc>
          <w:tcPr>
            <w:tcW w:w="1185" w:type="dxa"/>
            <w:gridSpan w:val="2"/>
          </w:tcPr>
          <w:p w14:paraId="0243CB96" w14:textId="77777777" w:rsidR="0032056F" w:rsidRPr="0078308F" w:rsidRDefault="0032056F" w:rsidP="0032056F">
            <w:pPr>
              <w:widowControl w:val="0"/>
              <w:autoSpaceDE w:val="0"/>
              <w:autoSpaceDN w:val="0"/>
              <w:ind w:right="49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30%, as per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1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amendment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5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in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2017</w:t>
            </w:r>
          </w:p>
        </w:tc>
        <w:tc>
          <w:tcPr>
            <w:tcW w:w="1485" w:type="dxa"/>
          </w:tcPr>
          <w:p w14:paraId="7DE5F77E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Above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100%</w:t>
            </w:r>
          </w:p>
        </w:tc>
        <w:tc>
          <w:tcPr>
            <w:tcW w:w="1485" w:type="dxa"/>
          </w:tcPr>
          <w:p w14:paraId="7A549598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19FBE846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700A893D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APPC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0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rate</w:t>
            </w:r>
          </w:p>
        </w:tc>
      </w:tr>
      <w:tr w:rsidR="0032056F" w:rsidRPr="0078308F" w14:paraId="40E434B0" w14:textId="77777777" w:rsidTr="00035431">
        <w:trPr>
          <w:trHeight w:val="197"/>
        </w:trPr>
        <w:tc>
          <w:tcPr>
            <w:tcW w:w="1435" w:type="dxa"/>
          </w:tcPr>
          <w:p w14:paraId="29DA079D" w14:textId="04E34D9A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br w:type="page"/>
              <w:t>Maharashtra</w:t>
            </w:r>
          </w:p>
        </w:tc>
        <w:tc>
          <w:tcPr>
            <w:tcW w:w="900" w:type="dxa"/>
          </w:tcPr>
          <w:p w14:paraId="2C62D0AD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Net</w:t>
            </w:r>
          </w:p>
        </w:tc>
        <w:tc>
          <w:tcPr>
            <w:tcW w:w="1260" w:type="dxa"/>
          </w:tcPr>
          <w:p w14:paraId="65EC50FD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NA–1</w:t>
            </w: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MW</w:t>
            </w:r>
          </w:p>
        </w:tc>
        <w:tc>
          <w:tcPr>
            <w:tcW w:w="1170" w:type="dxa"/>
          </w:tcPr>
          <w:p w14:paraId="35EBF970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8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2367F458" w14:textId="3F9300BE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8–150</w:t>
            </w:r>
            <w:r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6615990D" w14:textId="6744A658" w:rsidR="0032056F" w:rsidRPr="0032056F" w:rsidRDefault="00133AD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&gt;</w:t>
            </w:r>
            <w:r w:rsidR="0032056F"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150 kW</w:t>
            </w:r>
          </w:p>
        </w:tc>
        <w:tc>
          <w:tcPr>
            <w:tcW w:w="1245" w:type="dxa"/>
          </w:tcPr>
          <w:p w14:paraId="659D73B1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100%</w:t>
            </w:r>
          </w:p>
        </w:tc>
        <w:tc>
          <w:tcPr>
            <w:tcW w:w="1185" w:type="dxa"/>
            <w:gridSpan w:val="2"/>
          </w:tcPr>
          <w:p w14:paraId="646C43B0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40%</w:t>
            </w:r>
          </w:p>
        </w:tc>
        <w:tc>
          <w:tcPr>
            <w:tcW w:w="1485" w:type="dxa"/>
          </w:tcPr>
          <w:p w14:paraId="286D907B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Above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100%</w:t>
            </w:r>
          </w:p>
        </w:tc>
        <w:tc>
          <w:tcPr>
            <w:tcW w:w="1485" w:type="dxa"/>
          </w:tcPr>
          <w:p w14:paraId="0E4C747C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261D7C8F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544046AD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APPC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0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rate</w:t>
            </w:r>
          </w:p>
        </w:tc>
      </w:tr>
      <w:tr w:rsidR="0032056F" w:rsidRPr="0078308F" w14:paraId="0338E044" w14:textId="77777777" w:rsidTr="00035431">
        <w:trPr>
          <w:trHeight w:val="705"/>
        </w:trPr>
        <w:tc>
          <w:tcPr>
            <w:tcW w:w="1435" w:type="dxa"/>
          </w:tcPr>
          <w:p w14:paraId="0DC6159D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Manipur</w:t>
            </w:r>
          </w:p>
        </w:tc>
        <w:tc>
          <w:tcPr>
            <w:tcW w:w="900" w:type="dxa"/>
          </w:tcPr>
          <w:p w14:paraId="0337DB11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Both</w:t>
            </w:r>
          </w:p>
        </w:tc>
        <w:tc>
          <w:tcPr>
            <w:tcW w:w="1260" w:type="dxa"/>
          </w:tcPr>
          <w:p w14:paraId="10DBC30A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 kW –1 MW</w:t>
            </w:r>
          </w:p>
        </w:tc>
        <w:tc>
          <w:tcPr>
            <w:tcW w:w="1170" w:type="dxa"/>
          </w:tcPr>
          <w:p w14:paraId="59D62263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8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0FCDA5BC" w14:textId="1EB0E0AF" w:rsidR="0032056F" w:rsidRPr="0078308F" w:rsidRDefault="0032056F" w:rsidP="0032056F">
            <w:pPr>
              <w:widowControl w:val="0"/>
              <w:autoSpaceDE w:val="0"/>
              <w:autoSpaceDN w:val="0"/>
              <w:ind w:right="94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8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–50</w:t>
            </w:r>
            <w:r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5F5BCC46" w14:textId="6F34A8D1" w:rsidR="0032056F" w:rsidRPr="0032056F" w:rsidRDefault="00133AD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&gt;</w:t>
            </w:r>
            <w:r w:rsidR="0032056F"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50 kW</w:t>
            </w:r>
          </w:p>
        </w:tc>
        <w:tc>
          <w:tcPr>
            <w:tcW w:w="1245" w:type="dxa"/>
          </w:tcPr>
          <w:p w14:paraId="5FB8955C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100%</w:t>
            </w:r>
          </w:p>
        </w:tc>
        <w:tc>
          <w:tcPr>
            <w:tcW w:w="1185" w:type="dxa"/>
            <w:gridSpan w:val="2"/>
          </w:tcPr>
          <w:p w14:paraId="4746D4E5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40%</w:t>
            </w:r>
          </w:p>
        </w:tc>
        <w:tc>
          <w:tcPr>
            <w:tcW w:w="1485" w:type="dxa"/>
          </w:tcPr>
          <w:p w14:paraId="0362334E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Above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100%</w:t>
            </w:r>
          </w:p>
        </w:tc>
        <w:tc>
          <w:tcPr>
            <w:tcW w:w="1485" w:type="dxa"/>
          </w:tcPr>
          <w:p w14:paraId="6956F034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4749F5EC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7B6C4250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proofErr w:type="spellStart"/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FiT</w:t>
            </w:r>
            <w:proofErr w:type="spellEnd"/>
            <w:r w:rsidRPr="0078308F">
              <w:rPr>
                <w:rFonts w:ascii="Palatino Linotype" w:eastAsia="Tahoma" w:hAnsi="Palatino Linotype" w:cs="Times New Roman"/>
                <w:color w:val="231F20"/>
                <w:spacing w:val="-17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by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5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JERC</w:t>
            </w:r>
          </w:p>
        </w:tc>
      </w:tr>
      <w:tr w:rsidR="0032056F" w:rsidRPr="0078308F" w14:paraId="561CCE33" w14:textId="77777777" w:rsidTr="00035431">
        <w:trPr>
          <w:trHeight w:val="269"/>
        </w:trPr>
        <w:tc>
          <w:tcPr>
            <w:tcW w:w="1435" w:type="dxa"/>
          </w:tcPr>
          <w:p w14:paraId="38004514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Meghalaya</w:t>
            </w:r>
          </w:p>
        </w:tc>
        <w:tc>
          <w:tcPr>
            <w:tcW w:w="900" w:type="dxa"/>
          </w:tcPr>
          <w:p w14:paraId="7D66E8D4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Net</w:t>
            </w:r>
          </w:p>
        </w:tc>
        <w:tc>
          <w:tcPr>
            <w:tcW w:w="1260" w:type="dxa"/>
          </w:tcPr>
          <w:p w14:paraId="6FFF18AE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 kW–1 MW</w:t>
            </w:r>
          </w:p>
        </w:tc>
        <w:tc>
          <w:tcPr>
            <w:tcW w:w="1170" w:type="dxa"/>
          </w:tcPr>
          <w:p w14:paraId="2862BB3B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5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46430C96" w14:textId="129A0363" w:rsidR="0032056F" w:rsidRPr="0078308F" w:rsidRDefault="0032056F" w:rsidP="0032056F">
            <w:pPr>
              <w:widowControl w:val="0"/>
              <w:autoSpaceDE w:val="0"/>
              <w:autoSpaceDN w:val="0"/>
              <w:ind w:right="94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5–50</w:t>
            </w:r>
            <w:r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1546C2EB" w14:textId="13A998EA" w:rsidR="0032056F" w:rsidRPr="0032056F" w:rsidRDefault="00133AD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&gt;</w:t>
            </w:r>
            <w:r w:rsidR="0032056F"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50 kW</w:t>
            </w:r>
          </w:p>
        </w:tc>
        <w:tc>
          <w:tcPr>
            <w:tcW w:w="1245" w:type="dxa"/>
          </w:tcPr>
          <w:p w14:paraId="56B05E7A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NA</w:t>
            </w:r>
          </w:p>
        </w:tc>
        <w:tc>
          <w:tcPr>
            <w:tcW w:w="1185" w:type="dxa"/>
            <w:gridSpan w:val="2"/>
          </w:tcPr>
          <w:p w14:paraId="4725557F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15%</w:t>
            </w:r>
          </w:p>
        </w:tc>
        <w:tc>
          <w:tcPr>
            <w:tcW w:w="1485" w:type="dxa"/>
          </w:tcPr>
          <w:p w14:paraId="7E4DC78B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90%</w:t>
            </w:r>
          </w:p>
        </w:tc>
        <w:tc>
          <w:tcPr>
            <w:tcW w:w="1485" w:type="dxa"/>
          </w:tcPr>
          <w:p w14:paraId="08ED1A9B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0B227092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434556B9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Nil</w:t>
            </w:r>
          </w:p>
        </w:tc>
      </w:tr>
      <w:tr w:rsidR="0032056F" w:rsidRPr="0078308F" w14:paraId="07540C61" w14:textId="77777777" w:rsidTr="00035431">
        <w:trPr>
          <w:trHeight w:val="449"/>
        </w:trPr>
        <w:tc>
          <w:tcPr>
            <w:tcW w:w="1435" w:type="dxa"/>
          </w:tcPr>
          <w:p w14:paraId="2A1F4FF2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Mizoram</w:t>
            </w:r>
          </w:p>
        </w:tc>
        <w:tc>
          <w:tcPr>
            <w:tcW w:w="900" w:type="dxa"/>
          </w:tcPr>
          <w:p w14:paraId="0E4AD374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Both</w:t>
            </w:r>
          </w:p>
        </w:tc>
        <w:tc>
          <w:tcPr>
            <w:tcW w:w="1260" w:type="dxa"/>
          </w:tcPr>
          <w:p w14:paraId="679EC921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 kW–1 MW</w:t>
            </w:r>
          </w:p>
        </w:tc>
        <w:tc>
          <w:tcPr>
            <w:tcW w:w="1170" w:type="dxa"/>
          </w:tcPr>
          <w:p w14:paraId="5196D579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8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64A4AC8C" w14:textId="64256138" w:rsidR="0032056F" w:rsidRPr="0078308F" w:rsidRDefault="0032056F" w:rsidP="0032056F">
            <w:pPr>
              <w:widowControl w:val="0"/>
              <w:autoSpaceDE w:val="0"/>
              <w:autoSpaceDN w:val="0"/>
              <w:ind w:right="118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8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–75</w:t>
            </w:r>
            <w:r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1C7C5C51" w14:textId="222DF8FC" w:rsidR="0032056F" w:rsidRPr="0032056F" w:rsidRDefault="00133AD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&gt;</w:t>
            </w:r>
            <w:r w:rsidR="0032056F"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75 kW</w:t>
            </w:r>
          </w:p>
        </w:tc>
        <w:tc>
          <w:tcPr>
            <w:tcW w:w="1245" w:type="dxa"/>
          </w:tcPr>
          <w:p w14:paraId="69EE40A7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100%</w:t>
            </w:r>
          </w:p>
        </w:tc>
        <w:tc>
          <w:tcPr>
            <w:tcW w:w="1185" w:type="dxa"/>
            <w:gridSpan w:val="2"/>
          </w:tcPr>
          <w:p w14:paraId="74332D77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40%</w:t>
            </w:r>
          </w:p>
        </w:tc>
        <w:tc>
          <w:tcPr>
            <w:tcW w:w="1485" w:type="dxa"/>
          </w:tcPr>
          <w:p w14:paraId="6A643686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Above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100%</w:t>
            </w:r>
          </w:p>
        </w:tc>
        <w:tc>
          <w:tcPr>
            <w:tcW w:w="1485" w:type="dxa"/>
          </w:tcPr>
          <w:p w14:paraId="218C9C1B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2A4D8117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7A5E1B8E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proofErr w:type="spellStart"/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FiT</w:t>
            </w:r>
            <w:proofErr w:type="spellEnd"/>
            <w:r w:rsidRPr="0078308F">
              <w:rPr>
                <w:rFonts w:ascii="Palatino Linotype" w:eastAsia="Tahoma" w:hAnsi="Palatino Linotype" w:cs="Times New Roman"/>
                <w:color w:val="231F20"/>
                <w:spacing w:val="-17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by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5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JERC</w:t>
            </w:r>
          </w:p>
        </w:tc>
      </w:tr>
      <w:tr w:rsidR="0032056F" w:rsidRPr="0078308F" w14:paraId="30DF38F3" w14:textId="77777777" w:rsidTr="00035431">
        <w:trPr>
          <w:trHeight w:val="321"/>
        </w:trPr>
        <w:tc>
          <w:tcPr>
            <w:tcW w:w="1435" w:type="dxa"/>
          </w:tcPr>
          <w:p w14:paraId="3E6B8708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Nagaland</w:t>
            </w:r>
          </w:p>
        </w:tc>
        <w:tc>
          <w:tcPr>
            <w:tcW w:w="900" w:type="dxa"/>
          </w:tcPr>
          <w:p w14:paraId="3E2814AC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Net</w:t>
            </w:r>
          </w:p>
        </w:tc>
        <w:tc>
          <w:tcPr>
            <w:tcW w:w="1260" w:type="dxa"/>
          </w:tcPr>
          <w:p w14:paraId="22ADF15D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NA–1</w:t>
            </w: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MW</w:t>
            </w:r>
          </w:p>
        </w:tc>
        <w:tc>
          <w:tcPr>
            <w:tcW w:w="1170" w:type="dxa"/>
          </w:tcPr>
          <w:p w14:paraId="06113F53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NA</w:t>
            </w:r>
          </w:p>
        </w:tc>
        <w:tc>
          <w:tcPr>
            <w:tcW w:w="1080" w:type="dxa"/>
          </w:tcPr>
          <w:p w14:paraId="5EB71204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NA</w:t>
            </w:r>
          </w:p>
        </w:tc>
        <w:tc>
          <w:tcPr>
            <w:tcW w:w="1170" w:type="dxa"/>
          </w:tcPr>
          <w:p w14:paraId="303B0C81" w14:textId="77777777" w:rsidR="0032056F" w:rsidRPr="0032056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NA</w:t>
            </w:r>
          </w:p>
        </w:tc>
        <w:tc>
          <w:tcPr>
            <w:tcW w:w="1245" w:type="dxa"/>
          </w:tcPr>
          <w:p w14:paraId="645B7DAA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100%</w:t>
            </w:r>
          </w:p>
        </w:tc>
        <w:tc>
          <w:tcPr>
            <w:tcW w:w="1185" w:type="dxa"/>
            <w:gridSpan w:val="2"/>
          </w:tcPr>
          <w:p w14:paraId="24F0C391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15%</w:t>
            </w:r>
          </w:p>
        </w:tc>
        <w:tc>
          <w:tcPr>
            <w:tcW w:w="1485" w:type="dxa"/>
          </w:tcPr>
          <w:p w14:paraId="438B5F3A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90%</w:t>
            </w:r>
          </w:p>
        </w:tc>
        <w:tc>
          <w:tcPr>
            <w:tcW w:w="1485" w:type="dxa"/>
          </w:tcPr>
          <w:p w14:paraId="54D10DD5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730C9571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44CE13ED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Nil</w:t>
            </w:r>
          </w:p>
        </w:tc>
      </w:tr>
      <w:tr w:rsidR="0032056F" w:rsidRPr="0078308F" w14:paraId="09311241" w14:textId="77777777" w:rsidTr="00035431">
        <w:trPr>
          <w:trHeight w:val="705"/>
        </w:trPr>
        <w:tc>
          <w:tcPr>
            <w:tcW w:w="1435" w:type="dxa"/>
          </w:tcPr>
          <w:p w14:paraId="7E98918C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Orissa</w:t>
            </w:r>
          </w:p>
        </w:tc>
        <w:tc>
          <w:tcPr>
            <w:tcW w:w="900" w:type="dxa"/>
          </w:tcPr>
          <w:p w14:paraId="3E14AECE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Net</w:t>
            </w:r>
          </w:p>
        </w:tc>
        <w:tc>
          <w:tcPr>
            <w:tcW w:w="1260" w:type="dxa"/>
          </w:tcPr>
          <w:p w14:paraId="3A82F3EC" w14:textId="6AA2E47C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Up to sanctioned load</w:t>
            </w:r>
          </w:p>
        </w:tc>
        <w:tc>
          <w:tcPr>
            <w:tcW w:w="1170" w:type="dxa"/>
          </w:tcPr>
          <w:p w14:paraId="4CD46B77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5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00A7FB2D" w14:textId="2E29A0AC" w:rsidR="0032056F" w:rsidRPr="0078308F" w:rsidRDefault="0032056F" w:rsidP="0032056F">
            <w:pPr>
              <w:widowControl w:val="0"/>
              <w:autoSpaceDE w:val="0"/>
              <w:autoSpaceDN w:val="0"/>
              <w:ind w:right="104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5</w:t>
            </w:r>
            <w:r>
              <w:rPr>
                <w:rFonts w:ascii="Palatino Linotype" w:eastAsia="Tahoma" w:hAnsi="Palatino Linotype" w:cs="Times New Roman"/>
                <w:color w:val="231F20"/>
                <w:spacing w:val="1"/>
                <w:w w:val="105"/>
                <w:sz w:val="16"/>
                <w:szCs w:val="16"/>
              </w:rPr>
              <w:t>-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2"/>
                <w:w w:val="105"/>
                <w:sz w:val="16"/>
                <w:szCs w:val="16"/>
              </w:rPr>
              <w:t>70</w:t>
            </w:r>
            <w:r>
              <w:rPr>
                <w:rFonts w:ascii="Palatino Linotype" w:eastAsia="Tahoma" w:hAnsi="Palatino Linotype" w:cs="Times New Roman"/>
                <w:color w:val="231F20"/>
                <w:spacing w:val="-2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475BA8C4" w14:textId="4BC3423E" w:rsidR="0032056F" w:rsidRPr="0032056F" w:rsidRDefault="00133AD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&gt;</w:t>
            </w:r>
            <w:r w:rsidR="0032056F"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70 kW</w:t>
            </w:r>
          </w:p>
        </w:tc>
        <w:tc>
          <w:tcPr>
            <w:tcW w:w="1245" w:type="dxa"/>
          </w:tcPr>
          <w:p w14:paraId="2266429E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100%</w:t>
            </w:r>
          </w:p>
        </w:tc>
        <w:tc>
          <w:tcPr>
            <w:tcW w:w="1185" w:type="dxa"/>
            <w:gridSpan w:val="2"/>
          </w:tcPr>
          <w:p w14:paraId="48167D6A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75%</w:t>
            </w:r>
          </w:p>
        </w:tc>
        <w:tc>
          <w:tcPr>
            <w:tcW w:w="1485" w:type="dxa"/>
          </w:tcPr>
          <w:p w14:paraId="21D6396E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90%</w:t>
            </w:r>
          </w:p>
        </w:tc>
        <w:tc>
          <w:tcPr>
            <w:tcW w:w="1485" w:type="dxa"/>
          </w:tcPr>
          <w:p w14:paraId="3265F658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0CA86F74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34C874AE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Nil</w:t>
            </w:r>
          </w:p>
        </w:tc>
      </w:tr>
      <w:tr w:rsidR="0032056F" w:rsidRPr="0078308F" w14:paraId="7653337A" w14:textId="77777777" w:rsidTr="00035431">
        <w:trPr>
          <w:trHeight w:val="705"/>
        </w:trPr>
        <w:tc>
          <w:tcPr>
            <w:tcW w:w="1435" w:type="dxa"/>
          </w:tcPr>
          <w:p w14:paraId="3A95EF53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Punjab</w:t>
            </w:r>
          </w:p>
        </w:tc>
        <w:tc>
          <w:tcPr>
            <w:tcW w:w="900" w:type="dxa"/>
          </w:tcPr>
          <w:p w14:paraId="250B2755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Net</w:t>
            </w:r>
          </w:p>
        </w:tc>
        <w:tc>
          <w:tcPr>
            <w:tcW w:w="1260" w:type="dxa"/>
          </w:tcPr>
          <w:p w14:paraId="37F0BC19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 kW–1 MW</w:t>
            </w:r>
          </w:p>
        </w:tc>
        <w:tc>
          <w:tcPr>
            <w:tcW w:w="1170" w:type="dxa"/>
          </w:tcPr>
          <w:p w14:paraId="296CEB37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0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3"/>
                <w:w w:val="9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0"/>
                <w:sz w:val="16"/>
                <w:szCs w:val="16"/>
              </w:rPr>
              <w:t>7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3"/>
                <w:w w:val="9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0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0BB4653F" w14:textId="49DED7FA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7–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100</w:t>
            </w:r>
            <w:r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229CD25E" w14:textId="1F021663" w:rsidR="0032056F" w:rsidRPr="0032056F" w:rsidRDefault="00133AD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&gt;</w:t>
            </w:r>
            <w:r w:rsidR="0032056F"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100 kW</w:t>
            </w:r>
          </w:p>
        </w:tc>
        <w:tc>
          <w:tcPr>
            <w:tcW w:w="1245" w:type="dxa"/>
          </w:tcPr>
          <w:p w14:paraId="753F27A1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80%</w:t>
            </w:r>
          </w:p>
        </w:tc>
        <w:tc>
          <w:tcPr>
            <w:tcW w:w="1185" w:type="dxa"/>
            <w:gridSpan w:val="2"/>
          </w:tcPr>
          <w:p w14:paraId="12E03045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30%</w:t>
            </w:r>
          </w:p>
        </w:tc>
        <w:tc>
          <w:tcPr>
            <w:tcW w:w="1485" w:type="dxa"/>
          </w:tcPr>
          <w:p w14:paraId="3DA88662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90%</w:t>
            </w:r>
          </w:p>
        </w:tc>
        <w:tc>
          <w:tcPr>
            <w:tcW w:w="1485" w:type="dxa"/>
          </w:tcPr>
          <w:p w14:paraId="053823BD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55BFBDBC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37DEB85A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Nil</w:t>
            </w:r>
          </w:p>
        </w:tc>
      </w:tr>
      <w:tr w:rsidR="0032056F" w:rsidRPr="0078308F" w14:paraId="10A61DBF" w14:textId="77777777" w:rsidTr="00035431">
        <w:trPr>
          <w:trHeight w:val="1089"/>
        </w:trPr>
        <w:tc>
          <w:tcPr>
            <w:tcW w:w="1435" w:type="dxa"/>
          </w:tcPr>
          <w:p w14:paraId="70EAC6E7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Rajasthan</w:t>
            </w:r>
          </w:p>
        </w:tc>
        <w:tc>
          <w:tcPr>
            <w:tcW w:w="900" w:type="dxa"/>
          </w:tcPr>
          <w:p w14:paraId="79DD8839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Net</w:t>
            </w:r>
          </w:p>
        </w:tc>
        <w:tc>
          <w:tcPr>
            <w:tcW w:w="1260" w:type="dxa"/>
          </w:tcPr>
          <w:p w14:paraId="42BFD9BC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 kW–1 MW</w:t>
            </w:r>
          </w:p>
        </w:tc>
        <w:tc>
          <w:tcPr>
            <w:tcW w:w="1170" w:type="dxa"/>
          </w:tcPr>
          <w:p w14:paraId="5510D1D8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5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55DB27E9" w14:textId="63BF3062" w:rsidR="0032056F" w:rsidRPr="0078308F" w:rsidRDefault="0032056F" w:rsidP="0032056F">
            <w:pPr>
              <w:widowControl w:val="0"/>
              <w:autoSpaceDE w:val="0"/>
              <w:autoSpaceDN w:val="0"/>
              <w:ind w:right="94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5–50</w:t>
            </w:r>
            <w:r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53970224" w14:textId="5BFBD62E" w:rsidR="0032056F" w:rsidRPr="0032056F" w:rsidRDefault="00133AD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&gt;</w:t>
            </w:r>
            <w:r w:rsidR="0032056F"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50 kW</w:t>
            </w:r>
          </w:p>
        </w:tc>
        <w:tc>
          <w:tcPr>
            <w:tcW w:w="1245" w:type="dxa"/>
          </w:tcPr>
          <w:p w14:paraId="633A04FB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80%</w:t>
            </w:r>
          </w:p>
        </w:tc>
        <w:tc>
          <w:tcPr>
            <w:tcW w:w="1185" w:type="dxa"/>
            <w:gridSpan w:val="2"/>
          </w:tcPr>
          <w:p w14:paraId="43DDEC39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30%</w:t>
            </w:r>
          </w:p>
        </w:tc>
        <w:tc>
          <w:tcPr>
            <w:tcW w:w="1485" w:type="dxa"/>
          </w:tcPr>
          <w:p w14:paraId="33BC14C9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Above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100%</w:t>
            </w:r>
          </w:p>
        </w:tc>
        <w:tc>
          <w:tcPr>
            <w:tcW w:w="1485" w:type="dxa"/>
          </w:tcPr>
          <w:p w14:paraId="517620D6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3BD685F6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2FDE0E80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pacing w:val="-1"/>
                <w:w w:val="110"/>
                <w:sz w:val="16"/>
                <w:szCs w:val="16"/>
              </w:rPr>
              <w:t>Domestic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4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"/>
                <w:w w:val="110"/>
                <w:sz w:val="16"/>
                <w:szCs w:val="16"/>
              </w:rPr>
              <w:t>category</w:t>
            </w:r>
          </w:p>
          <w:p w14:paraId="74DF200F" w14:textId="5C12F3F4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pacing w:val="-2"/>
                <w:w w:val="110"/>
                <w:sz w:val="16"/>
                <w:szCs w:val="16"/>
              </w:rPr>
              <w:t>–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5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2"/>
                <w:w w:val="110"/>
                <w:sz w:val="16"/>
                <w:szCs w:val="16"/>
              </w:rPr>
              <w:t>above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4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"/>
                <w:w w:val="110"/>
                <w:sz w:val="16"/>
                <w:szCs w:val="16"/>
              </w:rPr>
              <w:t>100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5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"/>
                <w:w w:val="110"/>
                <w:sz w:val="16"/>
                <w:szCs w:val="16"/>
              </w:rPr>
              <w:t>units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52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@INR 3.14/kWh,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1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other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4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categories</w:t>
            </w:r>
          </w:p>
          <w:p w14:paraId="2EDDDE4E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-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4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Nil</w:t>
            </w:r>
          </w:p>
        </w:tc>
      </w:tr>
      <w:tr w:rsidR="0032056F" w:rsidRPr="0078308F" w14:paraId="32E7991D" w14:textId="77777777" w:rsidTr="00035431">
        <w:trPr>
          <w:trHeight w:val="705"/>
        </w:trPr>
        <w:tc>
          <w:tcPr>
            <w:tcW w:w="1435" w:type="dxa"/>
          </w:tcPr>
          <w:p w14:paraId="4FCFDFD5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lastRenderedPageBreak/>
              <w:t>Sikkim</w:t>
            </w:r>
          </w:p>
        </w:tc>
        <w:tc>
          <w:tcPr>
            <w:tcW w:w="900" w:type="dxa"/>
          </w:tcPr>
          <w:p w14:paraId="74CAD81A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Net</w:t>
            </w:r>
          </w:p>
        </w:tc>
        <w:tc>
          <w:tcPr>
            <w:tcW w:w="1260" w:type="dxa"/>
          </w:tcPr>
          <w:p w14:paraId="24D1429A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 kW–1 MW</w:t>
            </w:r>
          </w:p>
        </w:tc>
        <w:tc>
          <w:tcPr>
            <w:tcW w:w="1170" w:type="dxa"/>
          </w:tcPr>
          <w:p w14:paraId="0AF4C9D1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5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4D2F7A6D" w14:textId="69BF9B24" w:rsidR="0032056F" w:rsidRPr="0078308F" w:rsidRDefault="0032056F" w:rsidP="0032056F">
            <w:pPr>
              <w:widowControl w:val="0"/>
              <w:autoSpaceDE w:val="0"/>
              <w:autoSpaceDN w:val="0"/>
              <w:ind w:right="109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5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3"/>
                <w:w w:val="105"/>
                <w:sz w:val="16"/>
                <w:szCs w:val="16"/>
              </w:rPr>
              <w:t>–25</w:t>
            </w:r>
            <w:r>
              <w:rPr>
                <w:rFonts w:ascii="Palatino Linotype" w:eastAsia="Tahoma" w:hAnsi="Palatino Linotype" w:cs="Times New Roman"/>
                <w:color w:val="231F20"/>
                <w:spacing w:val="-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3178797F" w14:textId="3231DCC1" w:rsidR="0032056F" w:rsidRPr="0032056F" w:rsidRDefault="00133AD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&gt;</w:t>
            </w:r>
            <w:r w:rsidR="0032056F"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25 kW</w:t>
            </w:r>
          </w:p>
        </w:tc>
        <w:tc>
          <w:tcPr>
            <w:tcW w:w="1245" w:type="dxa"/>
          </w:tcPr>
          <w:p w14:paraId="75D9C511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80%</w:t>
            </w:r>
          </w:p>
        </w:tc>
        <w:tc>
          <w:tcPr>
            <w:tcW w:w="1185" w:type="dxa"/>
            <w:gridSpan w:val="2"/>
          </w:tcPr>
          <w:p w14:paraId="3E6A0567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NA</w:t>
            </w:r>
          </w:p>
        </w:tc>
        <w:tc>
          <w:tcPr>
            <w:tcW w:w="1485" w:type="dxa"/>
          </w:tcPr>
          <w:p w14:paraId="045E0D60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Above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100%</w:t>
            </w:r>
          </w:p>
        </w:tc>
        <w:tc>
          <w:tcPr>
            <w:tcW w:w="1485" w:type="dxa"/>
          </w:tcPr>
          <w:p w14:paraId="2733BDE5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0708BF81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75A76C03" w14:textId="77777777" w:rsidR="0032056F" w:rsidRPr="0078308F" w:rsidRDefault="0032056F" w:rsidP="0032056F">
            <w:pPr>
              <w:widowControl w:val="0"/>
              <w:autoSpaceDE w:val="0"/>
              <w:autoSpaceDN w:val="0"/>
              <w:ind w:right="267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pacing w:val="-1"/>
                <w:w w:val="105"/>
                <w:sz w:val="16"/>
                <w:szCs w:val="16"/>
              </w:rPr>
              <w:t>Tariff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5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"/>
                <w:w w:val="105"/>
                <w:sz w:val="16"/>
                <w:szCs w:val="16"/>
              </w:rPr>
              <w:t>order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5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of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49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SSERC</w:t>
            </w:r>
          </w:p>
        </w:tc>
      </w:tr>
      <w:tr w:rsidR="0032056F" w:rsidRPr="0078308F" w14:paraId="5C27FA8E" w14:textId="77777777" w:rsidTr="00035431">
        <w:trPr>
          <w:trHeight w:val="513"/>
        </w:trPr>
        <w:tc>
          <w:tcPr>
            <w:tcW w:w="1435" w:type="dxa"/>
          </w:tcPr>
          <w:p w14:paraId="79E9C845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Tamil Nadu</w:t>
            </w:r>
          </w:p>
        </w:tc>
        <w:tc>
          <w:tcPr>
            <w:tcW w:w="900" w:type="dxa"/>
          </w:tcPr>
          <w:p w14:paraId="18B4FDFF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Net</w:t>
            </w:r>
          </w:p>
        </w:tc>
        <w:tc>
          <w:tcPr>
            <w:tcW w:w="1260" w:type="dxa"/>
          </w:tcPr>
          <w:p w14:paraId="7280EE15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NA</w:t>
            </w:r>
          </w:p>
        </w:tc>
        <w:tc>
          <w:tcPr>
            <w:tcW w:w="1170" w:type="dxa"/>
          </w:tcPr>
          <w:p w14:paraId="573AA2A6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4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37DD8BE8" w14:textId="477F1A2F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4–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112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494D0525" w14:textId="070B87E3" w:rsidR="0032056F" w:rsidRPr="0032056F" w:rsidRDefault="00133AD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&gt;</w:t>
            </w:r>
            <w:r w:rsidR="0032056F"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112 kW</w:t>
            </w:r>
          </w:p>
        </w:tc>
        <w:tc>
          <w:tcPr>
            <w:tcW w:w="1245" w:type="dxa"/>
          </w:tcPr>
          <w:p w14:paraId="2ACB2952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100%</w:t>
            </w:r>
          </w:p>
        </w:tc>
        <w:tc>
          <w:tcPr>
            <w:tcW w:w="1185" w:type="dxa"/>
            <w:gridSpan w:val="2"/>
          </w:tcPr>
          <w:p w14:paraId="4EFCF033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90%</w:t>
            </w:r>
          </w:p>
        </w:tc>
        <w:tc>
          <w:tcPr>
            <w:tcW w:w="1485" w:type="dxa"/>
          </w:tcPr>
          <w:p w14:paraId="5897C452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90%</w:t>
            </w:r>
          </w:p>
        </w:tc>
        <w:tc>
          <w:tcPr>
            <w:tcW w:w="1485" w:type="dxa"/>
          </w:tcPr>
          <w:p w14:paraId="515357ED" w14:textId="24CC94B1" w:rsidR="0032056F" w:rsidRPr="0078308F" w:rsidRDefault="0032056F" w:rsidP="0032056F">
            <w:pPr>
              <w:widowControl w:val="0"/>
              <w:autoSpaceDE w:val="0"/>
              <w:autoSpaceDN w:val="0"/>
              <w:ind w:right="95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2"/>
                <w:w w:val="110"/>
                <w:sz w:val="16"/>
                <w:szCs w:val="16"/>
              </w:rPr>
              <w:t>Bi-monthly</w:t>
            </w:r>
          </w:p>
        </w:tc>
        <w:tc>
          <w:tcPr>
            <w:tcW w:w="1485" w:type="dxa"/>
          </w:tcPr>
          <w:p w14:paraId="05610CA6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772EDED8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Nil</w:t>
            </w:r>
          </w:p>
        </w:tc>
      </w:tr>
      <w:tr w:rsidR="0032056F" w:rsidRPr="0078308F" w14:paraId="2DB76C14" w14:textId="77777777" w:rsidTr="00133ADF">
        <w:trPr>
          <w:trHeight w:val="746"/>
        </w:trPr>
        <w:tc>
          <w:tcPr>
            <w:tcW w:w="1435" w:type="dxa"/>
          </w:tcPr>
          <w:p w14:paraId="04C3FD9F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Telangana</w:t>
            </w:r>
          </w:p>
        </w:tc>
        <w:tc>
          <w:tcPr>
            <w:tcW w:w="900" w:type="dxa"/>
          </w:tcPr>
          <w:p w14:paraId="6DE55CAE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Both</w:t>
            </w:r>
          </w:p>
        </w:tc>
        <w:tc>
          <w:tcPr>
            <w:tcW w:w="1260" w:type="dxa"/>
          </w:tcPr>
          <w:p w14:paraId="13216797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 kW–1 MW</w:t>
            </w:r>
          </w:p>
        </w:tc>
        <w:tc>
          <w:tcPr>
            <w:tcW w:w="1170" w:type="dxa"/>
          </w:tcPr>
          <w:p w14:paraId="038FC062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5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33385215" w14:textId="3777F56C" w:rsidR="0032056F" w:rsidRPr="0078308F" w:rsidRDefault="0032056F" w:rsidP="0032056F">
            <w:pPr>
              <w:widowControl w:val="0"/>
              <w:autoSpaceDE w:val="0"/>
              <w:autoSpaceDN w:val="0"/>
              <w:ind w:right="118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5–75</w:t>
            </w:r>
            <w:r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12B1C31A" w14:textId="3055CED7" w:rsidR="0032056F" w:rsidRPr="0032056F" w:rsidRDefault="00133AD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&gt;</w:t>
            </w:r>
            <w:r w:rsidR="0032056F"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75 kW</w:t>
            </w:r>
          </w:p>
        </w:tc>
        <w:tc>
          <w:tcPr>
            <w:tcW w:w="1245" w:type="dxa"/>
          </w:tcPr>
          <w:p w14:paraId="48967D42" w14:textId="77777777" w:rsidR="0032056F" w:rsidRPr="0078308F" w:rsidRDefault="0032056F" w:rsidP="0032056F">
            <w:pPr>
              <w:widowControl w:val="0"/>
              <w:autoSpaceDE w:val="0"/>
              <w:autoSpaceDN w:val="0"/>
              <w:ind w:right="117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Residential: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1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100%</w:t>
            </w:r>
          </w:p>
          <w:p w14:paraId="50502B63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Others: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3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80%</w:t>
            </w:r>
          </w:p>
        </w:tc>
        <w:tc>
          <w:tcPr>
            <w:tcW w:w="1185" w:type="dxa"/>
            <w:gridSpan w:val="2"/>
          </w:tcPr>
          <w:p w14:paraId="2E9D49B6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50%</w:t>
            </w:r>
          </w:p>
        </w:tc>
        <w:tc>
          <w:tcPr>
            <w:tcW w:w="1485" w:type="dxa"/>
          </w:tcPr>
          <w:p w14:paraId="63218F4D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Above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100%</w:t>
            </w:r>
          </w:p>
        </w:tc>
        <w:tc>
          <w:tcPr>
            <w:tcW w:w="1485" w:type="dxa"/>
          </w:tcPr>
          <w:p w14:paraId="1983620E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605567D5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Half-yearly</w:t>
            </w:r>
          </w:p>
        </w:tc>
        <w:tc>
          <w:tcPr>
            <w:tcW w:w="1485" w:type="dxa"/>
          </w:tcPr>
          <w:p w14:paraId="477D51C9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APPC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0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rate</w:t>
            </w:r>
          </w:p>
        </w:tc>
      </w:tr>
      <w:tr w:rsidR="0032056F" w:rsidRPr="0078308F" w14:paraId="416C0DF3" w14:textId="77777777" w:rsidTr="00133ADF">
        <w:trPr>
          <w:trHeight w:val="60"/>
        </w:trPr>
        <w:tc>
          <w:tcPr>
            <w:tcW w:w="1435" w:type="dxa"/>
          </w:tcPr>
          <w:p w14:paraId="70BA0FDB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Tripura</w:t>
            </w:r>
          </w:p>
        </w:tc>
        <w:tc>
          <w:tcPr>
            <w:tcW w:w="900" w:type="dxa"/>
          </w:tcPr>
          <w:p w14:paraId="2CFF4789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Net</w:t>
            </w:r>
          </w:p>
        </w:tc>
        <w:tc>
          <w:tcPr>
            <w:tcW w:w="1260" w:type="dxa"/>
          </w:tcPr>
          <w:p w14:paraId="586819BA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 kW–1 MW</w:t>
            </w:r>
          </w:p>
        </w:tc>
        <w:tc>
          <w:tcPr>
            <w:tcW w:w="1170" w:type="dxa"/>
          </w:tcPr>
          <w:p w14:paraId="2CAFCEEF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5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4885078D" w14:textId="12608E39" w:rsidR="0032056F" w:rsidRPr="0078308F" w:rsidRDefault="0032056F" w:rsidP="0032056F">
            <w:pPr>
              <w:widowControl w:val="0"/>
              <w:autoSpaceDE w:val="0"/>
              <w:autoSpaceDN w:val="0"/>
              <w:ind w:right="94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5–20</w:t>
            </w:r>
            <w:r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327F7D12" w14:textId="29F83BAC" w:rsidR="0032056F" w:rsidRPr="0032056F" w:rsidRDefault="00133AD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&gt;</w:t>
            </w:r>
            <w:r w:rsidR="0032056F"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20 kW</w:t>
            </w:r>
          </w:p>
        </w:tc>
        <w:tc>
          <w:tcPr>
            <w:tcW w:w="1245" w:type="dxa"/>
          </w:tcPr>
          <w:p w14:paraId="5FEDF500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100%</w:t>
            </w:r>
          </w:p>
        </w:tc>
        <w:tc>
          <w:tcPr>
            <w:tcW w:w="1185" w:type="dxa"/>
            <w:gridSpan w:val="2"/>
          </w:tcPr>
          <w:p w14:paraId="46DCFC8F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15%</w:t>
            </w:r>
          </w:p>
        </w:tc>
        <w:tc>
          <w:tcPr>
            <w:tcW w:w="1485" w:type="dxa"/>
          </w:tcPr>
          <w:p w14:paraId="26D1C195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90%</w:t>
            </w:r>
          </w:p>
        </w:tc>
        <w:tc>
          <w:tcPr>
            <w:tcW w:w="1485" w:type="dxa"/>
          </w:tcPr>
          <w:p w14:paraId="57FC3D7B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02CF750C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6BCA0D45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Nil</w:t>
            </w:r>
          </w:p>
        </w:tc>
      </w:tr>
      <w:tr w:rsidR="0032056F" w:rsidRPr="0078308F" w14:paraId="69C537FF" w14:textId="77777777" w:rsidTr="00133ADF">
        <w:trPr>
          <w:trHeight w:val="476"/>
        </w:trPr>
        <w:tc>
          <w:tcPr>
            <w:tcW w:w="1435" w:type="dxa"/>
          </w:tcPr>
          <w:p w14:paraId="695FF3D3" w14:textId="2CF8D0D1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Uttar</w:t>
            </w:r>
            <w:r w:rsidRPr="0032056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 xml:space="preserve"> Pradesh</w:t>
            </w:r>
          </w:p>
        </w:tc>
        <w:tc>
          <w:tcPr>
            <w:tcW w:w="900" w:type="dxa"/>
          </w:tcPr>
          <w:p w14:paraId="2119C99C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Both</w:t>
            </w:r>
          </w:p>
        </w:tc>
        <w:tc>
          <w:tcPr>
            <w:tcW w:w="1260" w:type="dxa"/>
          </w:tcPr>
          <w:p w14:paraId="755824FC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 kW–2 MW</w:t>
            </w:r>
          </w:p>
        </w:tc>
        <w:tc>
          <w:tcPr>
            <w:tcW w:w="1170" w:type="dxa"/>
          </w:tcPr>
          <w:p w14:paraId="518FC40B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5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7FF6E960" w14:textId="6386661F" w:rsidR="0032056F" w:rsidRPr="0078308F" w:rsidRDefault="0032056F" w:rsidP="0032056F">
            <w:pPr>
              <w:widowControl w:val="0"/>
              <w:autoSpaceDE w:val="0"/>
              <w:autoSpaceDN w:val="0"/>
              <w:ind w:right="94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5–50</w:t>
            </w:r>
            <w:r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3E640D06" w14:textId="6FCCBB07" w:rsidR="0032056F" w:rsidRPr="0032056F" w:rsidRDefault="00133AD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&gt;</w:t>
            </w:r>
            <w:r w:rsidR="0032056F"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50 kW</w:t>
            </w:r>
          </w:p>
        </w:tc>
        <w:tc>
          <w:tcPr>
            <w:tcW w:w="1245" w:type="dxa"/>
          </w:tcPr>
          <w:p w14:paraId="1F54707B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100%</w:t>
            </w:r>
          </w:p>
        </w:tc>
        <w:tc>
          <w:tcPr>
            <w:tcW w:w="1185" w:type="dxa"/>
            <w:gridSpan w:val="2"/>
          </w:tcPr>
          <w:p w14:paraId="056BD53C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25%</w:t>
            </w:r>
          </w:p>
        </w:tc>
        <w:tc>
          <w:tcPr>
            <w:tcW w:w="1485" w:type="dxa"/>
          </w:tcPr>
          <w:p w14:paraId="14E01B44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Above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100%</w:t>
            </w:r>
          </w:p>
        </w:tc>
        <w:tc>
          <w:tcPr>
            <w:tcW w:w="1485" w:type="dxa"/>
          </w:tcPr>
          <w:p w14:paraId="7482C994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587C36B7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304BDF60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INR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2/kWh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2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or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7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as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2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per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5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rates decided by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1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UPERC</w:t>
            </w:r>
          </w:p>
        </w:tc>
      </w:tr>
      <w:tr w:rsidR="0032056F" w:rsidRPr="0078308F" w14:paraId="51EBC7FE" w14:textId="77777777" w:rsidTr="00133ADF">
        <w:trPr>
          <w:trHeight w:val="188"/>
        </w:trPr>
        <w:tc>
          <w:tcPr>
            <w:tcW w:w="1435" w:type="dxa"/>
          </w:tcPr>
          <w:p w14:paraId="4E020E79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Uttarakhand</w:t>
            </w:r>
          </w:p>
        </w:tc>
        <w:tc>
          <w:tcPr>
            <w:tcW w:w="900" w:type="dxa"/>
          </w:tcPr>
          <w:p w14:paraId="3FF213D2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Net</w:t>
            </w:r>
          </w:p>
        </w:tc>
        <w:tc>
          <w:tcPr>
            <w:tcW w:w="1260" w:type="dxa"/>
          </w:tcPr>
          <w:p w14:paraId="44EF2D4A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NA</w:t>
            </w: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–</w:t>
            </w: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</w:t>
            </w: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MW</w:t>
            </w:r>
          </w:p>
        </w:tc>
        <w:tc>
          <w:tcPr>
            <w:tcW w:w="1170" w:type="dxa"/>
          </w:tcPr>
          <w:p w14:paraId="26A94D18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4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2C94A136" w14:textId="1CDFA136" w:rsidR="0032056F" w:rsidRPr="0078308F" w:rsidRDefault="0032056F" w:rsidP="0032056F">
            <w:pPr>
              <w:widowControl w:val="0"/>
              <w:autoSpaceDE w:val="0"/>
              <w:autoSpaceDN w:val="0"/>
              <w:ind w:right="118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4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–75</w:t>
            </w:r>
            <w:r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5CF94D56" w14:textId="78AE568F" w:rsidR="0032056F" w:rsidRPr="0032056F" w:rsidRDefault="00133AD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&gt;</w:t>
            </w:r>
            <w:r w:rsidR="0032056F"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75 kW</w:t>
            </w:r>
          </w:p>
        </w:tc>
        <w:tc>
          <w:tcPr>
            <w:tcW w:w="1245" w:type="dxa"/>
          </w:tcPr>
          <w:p w14:paraId="6318C956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80%</w:t>
            </w:r>
          </w:p>
        </w:tc>
        <w:tc>
          <w:tcPr>
            <w:tcW w:w="1185" w:type="dxa"/>
            <w:gridSpan w:val="2"/>
          </w:tcPr>
          <w:p w14:paraId="48F0D410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NA</w:t>
            </w:r>
          </w:p>
        </w:tc>
        <w:tc>
          <w:tcPr>
            <w:tcW w:w="1485" w:type="dxa"/>
          </w:tcPr>
          <w:p w14:paraId="5A045243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95%</w:t>
            </w:r>
          </w:p>
        </w:tc>
        <w:tc>
          <w:tcPr>
            <w:tcW w:w="1485" w:type="dxa"/>
          </w:tcPr>
          <w:p w14:paraId="72D4B61E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655B9EAC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06E31D68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Nil</w:t>
            </w:r>
          </w:p>
        </w:tc>
      </w:tr>
      <w:tr w:rsidR="0032056F" w:rsidRPr="0078308F" w14:paraId="7BFA7AD2" w14:textId="77777777" w:rsidTr="00133ADF">
        <w:trPr>
          <w:trHeight w:val="143"/>
        </w:trPr>
        <w:tc>
          <w:tcPr>
            <w:tcW w:w="1435" w:type="dxa"/>
          </w:tcPr>
          <w:p w14:paraId="5D64315D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West Bengal</w:t>
            </w:r>
          </w:p>
        </w:tc>
        <w:tc>
          <w:tcPr>
            <w:tcW w:w="900" w:type="dxa"/>
          </w:tcPr>
          <w:p w14:paraId="67C6B1AC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Net</w:t>
            </w:r>
          </w:p>
        </w:tc>
        <w:tc>
          <w:tcPr>
            <w:tcW w:w="1260" w:type="dxa"/>
          </w:tcPr>
          <w:p w14:paraId="4C9AFB1C" w14:textId="77777777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 xml:space="preserve">5 kW–not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specified</w:t>
            </w:r>
          </w:p>
        </w:tc>
        <w:tc>
          <w:tcPr>
            <w:tcW w:w="1170" w:type="dxa"/>
          </w:tcPr>
          <w:p w14:paraId="70A04307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NA</w:t>
            </w:r>
          </w:p>
        </w:tc>
        <w:tc>
          <w:tcPr>
            <w:tcW w:w="1080" w:type="dxa"/>
          </w:tcPr>
          <w:p w14:paraId="4F3845EC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NA</w:t>
            </w:r>
          </w:p>
        </w:tc>
        <w:tc>
          <w:tcPr>
            <w:tcW w:w="1170" w:type="dxa"/>
          </w:tcPr>
          <w:p w14:paraId="3CDF5B9B" w14:textId="77777777" w:rsidR="0032056F" w:rsidRPr="0032056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NA</w:t>
            </w:r>
          </w:p>
        </w:tc>
        <w:tc>
          <w:tcPr>
            <w:tcW w:w="1245" w:type="dxa"/>
          </w:tcPr>
          <w:p w14:paraId="5FCA2039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NA</w:t>
            </w:r>
          </w:p>
        </w:tc>
        <w:tc>
          <w:tcPr>
            <w:tcW w:w="1185" w:type="dxa"/>
            <w:gridSpan w:val="2"/>
          </w:tcPr>
          <w:p w14:paraId="68431F85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NA</w:t>
            </w:r>
          </w:p>
        </w:tc>
        <w:tc>
          <w:tcPr>
            <w:tcW w:w="1485" w:type="dxa"/>
          </w:tcPr>
          <w:p w14:paraId="721D11F9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90%</w:t>
            </w:r>
          </w:p>
        </w:tc>
        <w:tc>
          <w:tcPr>
            <w:tcW w:w="1485" w:type="dxa"/>
          </w:tcPr>
          <w:p w14:paraId="6047636F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2DBE7B68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7F9115B3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Nil</w:t>
            </w:r>
          </w:p>
        </w:tc>
      </w:tr>
      <w:tr w:rsidR="0032056F" w:rsidRPr="0078308F" w14:paraId="75C76EA4" w14:textId="77777777" w:rsidTr="00133ADF">
        <w:trPr>
          <w:trHeight w:val="413"/>
        </w:trPr>
        <w:tc>
          <w:tcPr>
            <w:tcW w:w="1435" w:type="dxa"/>
          </w:tcPr>
          <w:p w14:paraId="5C85A485" w14:textId="295FE14B" w:rsidR="0032056F" w:rsidRPr="0032056F" w:rsidRDefault="0032056F" w:rsidP="0032056F">
            <w:pPr>
              <w:widowControl w:val="0"/>
              <w:autoSpaceDE w:val="0"/>
              <w:autoSpaceDN w:val="0"/>
              <w:ind w:right="67"/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UTs +</w:t>
            </w:r>
          </w:p>
        </w:tc>
        <w:tc>
          <w:tcPr>
            <w:tcW w:w="900" w:type="dxa"/>
          </w:tcPr>
          <w:p w14:paraId="0E05745C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5"/>
                <w:sz w:val="16"/>
                <w:szCs w:val="16"/>
              </w:rPr>
              <w:t>Both</w:t>
            </w:r>
          </w:p>
        </w:tc>
        <w:tc>
          <w:tcPr>
            <w:tcW w:w="1260" w:type="dxa"/>
          </w:tcPr>
          <w:p w14:paraId="4A8879E1" w14:textId="1E400388" w:rsidR="0032056F" w:rsidRPr="0032056F" w:rsidRDefault="0032056F" w:rsidP="0032056F">
            <w:pPr>
              <w:widowControl w:val="0"/>
              <w:autoSpaceDE w:val="0"/>
              <w:autoSpaceDN w:val="0"/>
              <w:ind w:right="-106"/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</w:pPr>
            <w:r w:rsidRPr="0032056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NA</w:t>
            </w:r>
            <w:r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++</w:t>
            </w:r>
          </w:p>
        </w:tc>
        <w:tc>
          <w:tcPr>
            <w:tcW w:w="1170" w:type="dxa"/>
          </w:tcPr>
          <w:p w14:paraId="70B8768A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&lt;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10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95"/>
                <w:sz w:val="16"/>
                <w:szCs w:val="16"/>
              </w:rPr>
              <w:t>kW</w:t>
            </w:r>
          </w:p>
        </w:tc>
        <w:tc>
          <w:tcPr>
            <w:tcW w:w="1080" w:type="dxa"/>
          </w:tcPr>
          <w:p w14:paraId="4D1C712C" w14:textId="1C26E8E0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</w:t>
            </w:r>
            <w:r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-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51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100</w:t>
            </w:r>
            <w:r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kW</w:t>
            </w:r>
          </w:p>
        </w:tc>
        <w:tc>
          <w:tcPr>
            <w:tcW w:w="1170" w:type="dxa"/>
          </w:tcPr>
          <w:p w14:paraId="572E906E" w14:textId="348CF73A" w:rsidR="0032056F" w:rsidRPr="0032056F" w:rsidRDefault="00133AD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</w:pPr>
            <w:r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&gt;</w:t>
            </w:r>
            <w:r w:rsidR="0032056F" w:rsidRPr="0032056F">
              <w:rPr>
                <w:rFonts w:ascii="Palatino Linotype" w:eastAsia="Tahoma" w:hAnsi="Palatino Linotype" w:cs="Times New Roman"/>
                <w:color w:val="231F20"/>
                <w:spacing w:val="-3"/>
                <w:sz w:val="16"/>
                <w:szCs w:val="16"/>
              </w:rPr>
              <w:t>100 kW</w:t>
            </w:r>
          </w:p>
        </w:tc>
        <w:tc>
          <w:tcPr>
            <w:tcW w:w="1245" w:type="dxa"/>
          </w:tcPr>
          <w:p w14:paraId="3067B7EF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100%</w:t>
            </w:r>
          </w:p>
        </w:tc>
        <w:tc>
          <w:tcPr>
            <w:tcW w:w="1185" w:type="dxa"/>
            <w:gridSpan w:val="2"/>
          </w:tcPr>
          <w:p w14:paraId="16081BDA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sz w:val="16"/>
                <w:szCs w:val="16"/>
              </w:rPr>
              <w:t>75%</w:t>
            </w:r>
          </w:p>
        </w:tc>
        <w:tc>
          <w:tcPr>
            <w:tcW w:w="1485" w:type="dxa"/>
          </w:tcPr>
          <w:p w14:paraId="50212D5F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Above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3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100%</w:t>
            </w:r>
          </w:p>
        </w:tc>
        <w:tc>
          <w:tcPr>
            <w:tcW w:w="1485" w:type="dxa"/>
          </w:tcPr>
          <w:p w14:paraId="23D671AD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Monthly</w:t>
            </w:r>
          </w:p>
        </w:tc>
        <w:tc>
          <w:tcPr>
            <w:tcW w:w="1485" w:type="dxa"/>
          </w:tcPr>
          <w:p w14:paraId="74D3BD5B" w14:textId="77777777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Yearly</w:t>
            </w:r>
          </w:p>
        </w:tc>
        <w:tc>
          <w:tcPr>
            <w:tcW w:w="1485" w:type="dxa"/>
          </w:tcPr>
          <w:p w14:paraId="7A143F25" w14:textId="66EE2201" w:rsidR="0032056F" w:rsidRPr="0078308F" w:rsidRDefault="0032056F" w:rsidP="0032056F">
            <w:pPr>
              <w:widowControl w:val="0"/>
              <w:autoSpaceDE w:val="0"/>
              <w:autoSpaceDN w:val="0"/>
              <w:rPr>
                <w:rFonts w:ascii="Palatino Linotype" w:eastAsia="Tahoma" w:hAnsi="Palatino Linotype" w:cs="Times New Roman"/>
                <w:sz w:val="16"/>
                <w:szCs w:val="16"/>
              </w:rPr>
            </w:pP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APPC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4"/>
                <w:w w:val="110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or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8"/>
                <w:w w:val="110"/>
                <w:sz w:val="16"/>
                <w:szCs w:val="16"/>
              </w:rPr>
              <w:t xml:space="preserve"> </w:t>
            </w:r>
            <w:proofErr w:type="spellStart"/>
            <w:r w:rsidRPr="0078308F"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FiT</w:t>
            </w:r>
            <w:proofErr w:type="spellEnd"/>
            <w:r w:rsidRPr="0078308F">
              <w:rPr>
                <w:rFonts w:ascii="Palatino Linotype" w:eastAsia="Tahoma" w:hAnsi="Palatino Linotype" w:cs="Times New Roman"/>
                <w:color w:val="231F20"/>
                <w:spacing w:val="-19"/>
                <w:w w:val="110"/>
                <w:sz w:val="16"/>
                <w:szCs w:val="16"/>
              </w:rPr>
              <w:t xml:space="preserve"> </w:t>
            </w:r>
            <w:r>
              <w:rPr>
                <w:rFonts w:ascii="Palatino Linotype" w:eastAsia="Tahoma" w:hAnsi="Palatino Linotype" w:cs="Times New Roman"/>
                <w:color w:val="231F20"/>
                <w:w w:val="110"/>
                <w:sz w:val="16"/>
                <w:szCs w:val="16"/>
              </w:rPr>
              <w:t>determined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6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for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10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that</w:t>
            </w:r>
            <w:r w:rsidRPr="0078308F">
              <w:rPr>
                <w:rFonts w:ascii="Palatino Linotype" w:eastAsia="Tahoma" w:hAnsi="Palatino Linotype" w:cs="Times New Roman"/>
                <w:color w:val="231F20"/>
                <w:spacing w:val="-7"/>
                <w:w w:val="105"/>
                <w:sz w:val="16"/>
                <w:szCs w:val="16"/>
              </w:rPr>
              <w:t xml:space="preserve"> </w:t>
            </w:r>
            <w:r w:rsidRPr="0078308F">
              <w:rPr>
                <w:rFonts w:ascii="Palatino Linotype" w:eastAsia="Tahoma" w:hAnsi="Palatino Linotype" w:cs="Times New Roman"/>
                <w:color w:val="231F20"/>
                <w:w w:val="105"/>
                <w:sz w:val="16"/>
                <w:szCs w:val="16"/>
              </w:rPr>
              <w:t>year</w:t>
            </w:r>
          </w:p>
        </w:tc>
      </w:tr>
    </w:tbl>
    <w:p w14:paraId="7419FB97" w14:textId="085C5924" w:rsidR="00133ADF" w:rsidRDefault="00133ADF" w:rsidP="0078308F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sz w:val="16"/>
          <w:szCs w:val="16"/>
        </w:rPr>
      </w:pPr>
      <w:r w:rsidRPr="00133ADF">
        <w:rPr>
          <w:rFonts w:ascii="Palatino Linotype" w:eastAsia="Times New Roman" w:hAnsi="Palatino Linotype" w:cs="Times New Roman"/>
          <w:sz w:val="16"/>
          <w:szCs w:val="16"/>
          <w:vertAlign w:val="superscript"/>
        </w:rPr>
        <w:t>*</w:t>
      </w:r>
      <w:r w:rsidRPr="00133ADF">
        <w:rPr>
          <w:rFonts w:ascii="Palatino Linotype" w:eastAsia="Times New Roman" w:hAnsi="Palatino Linotype" w:cs="Times New Roman"/>
          <w:sz w:val="16"/>
          <w:szCs w:val="16"/>
        </w:rPr>
        <w:t>Average Pooled Power Purchase Cost (APPC)</w:t>
      </w:r>
    </w:p>
    <w:p w14:paraId="236A57C3" w14:textId="321F5151" w:rsidR="00133ADF" w:rsidRDefault="00133ADF" w:rsidP="00133ADF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sz w:val="16"/>
          <w:szCs w:val="16"/>
        </w:rPr>
      </w:pPr>
      <w:r w:rsidRPr="00133ADF">
        <w:rPr>
          <w:rFonts w:ascii="Palatino Linotype" w:eastAsia="Times New Roman" w:hAnsi="Palatino Linotype" w:cs="Times New Roman"/>
          <w:sz w:val="16"/>
          <w:szCs w:val="16"/>
          <w:vertAlign w:val="superscript"/>
        </w:rPr>
        <w:t>±</w:t>
      </w:r>
      <w:r w:rsidRPr="00133ADF">
        <w:rPr>
          <w:rFonts w:ascii="Palatino Linotype" w:eastAsia="Times New Roman" w:hAnsi="Palatino Linotype" w:cs="Times New Roman"/>
          <w:sz w:val="16"/>
          <w:szCs w:val="16"/>
        </w:rPr>
        <w:t xml:space="preserve">80%; under </w:t>
      </w:r>
      <w:r>
        <w:rPr>
          <w:rFonts w:ascii="Palatino Linotype" w:eastAsia="Times New Roman" w:hAnsi="Palatino Linotype" w:cs="Times New Roman"/>
          <w:sz w:val="16"/>
          <w:szCs w:val="16"/>
        </w:rPr>
        <w:t>single-part</w:t>
      </w:r>
      <w:r w:rsidRPr="00133ADF">
        <w:rPr>
          <w:rFonts w:ascii="Palatino Linotype" w:eastAsia="Times New Roman" w:hAnsi="Palatino Linotype" w:cs="Times New Roman"/>
          <w:sz w:val="16"/>
          <w:szCs w:val="16"/>
        </w:rPr>
        <w:t xml:space="preserve"> tariff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133ADF">
        <w:rPr>
          <w:rFonts w:ascii="Palatino Linotype" w:eastAsia="Times New Roman" w:hAnsi="Palatino Linotype" w:cs="Times New Roman"/>
          <w:sz w:val="16"/>
          <w:szCs w:val="16"/>
        </w:rPr>
        <w:t>&lt; 5 kW – 100%,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133ADF">
        <w:rPr>
          <w:rFonts w:ascii="Palatino Linotype" w:eastAsia="Times New Roman" w:hAnsi="Palatino Linotype" w:cs="Times New Roman"/>
          <w:sz w:val="16"/>
          <w:szCs w:val="16"/>
        </w:rPr>
        <w:t>Between 5 kW–10 kW – 5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133ADF">
        <w:rPr>
          <w:rFonts w:ascii="Palatino Linotype" w:eastAsia="Times New Roman" w:hAnsi="Palatino Linotype" w:cs="Times New Roman"/>
          <w:sz w:val="16"/>
          <w:szCs w:val="16"/>
        </w:rPr>
        <w:t>kW or 70%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133ADF">
        <w:rPr>
          <w:rFonts w:ascii="Palatino Linotype" w:eastAsia="Times New Roman" w:hAnsi="Palatino Linotype" w:cs="Times New Roman"/>
          <w:sz w:val="16"/>
          <w:szCs w:val="16"/>
        </w:rPr>
        <w:t>&gt;10 kW – 7 kW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133ADF">
        <w:rPr>
          <w:rFonts w:ascii="Palatino Linotype" w:eastAsia="Times New Roman" w:hAnsi="Palatino Linotype" w:cs="Times New Roman"/>
          <w:sz w:val="16"/>
          <w:szCs w:val="16"/>
        </w:rPr>
        <w:t>or 70%</w:t>
      </w:r>
    </w:p>
    <w:p w14:paraId="7EEC81AF" w14:textId="6C11709C" w:rsidR="0022076C" w:rsidRDefault="00035431" w:rsidP="0078308F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sz w:val="16"/>
          <w:szCs w:val="16"/>
        </w:rPr>
      </w:pPr>
      <w:r w:rsidRPr="00133ADF">
        <w:rPr>
          <w:rFonts w:ascii="Palatino Linotype" w:eastAsia="Times New Roman" w:hAnsi="Palatino Linotype" w:cs="Times New Roman"/>
          <w:sz w:val="16"/>
          <w:szCs w:val="16"/>
          <w:vertAlign w:val="superscript"/>
        </w:rPr>
        <w:t>+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Union territories including </w:t>
      </w:r>
      <w:r w:rsidRPr="00035431">
        <w:rPr>
          <w:rFonts w:ascii="Palatino Linotype" w:eastAsia="Times New Roman" w:hAnsi="Palatino Linotype" w:cs="Times New Roman"/>
          <w:sz w:val="16"/>
          <w:szCs w:val="16"/>
        </w:rPr>
        <w:t xml:space="preserve">Andaman &amp; Nicobar, Chandigarh, Dadar and Nagar Haveli, Daman &amp; Diu, </w:t>
      </w:r>
      <w:proofErr w:type="gramStart"/>
      <w:r w:rsidRPr="00035431">
        <w:rPr>
          <w:rFonts w:ascii="Palatino Linotype" w:eastAsia="Times New Roman" w:hAnsi="Palatino Linotype" w:cs="Times New Roman"/>
          <w:sz w:val="16"/>
          <w:szCs w:val="16"/>
        </w:rPr>
        <w:t>Lakshadweep</w:t>
      </w:r>
      <w:proofErr w:type="gramEnd"/>
      <w:r>
        <w:rPr>
          <w:rFonts w:ascii="Palatino Linotype" w:eastAsia="Times New Roman" w:hAnsi="Palatino Linotype" w:cs="Times New Roman"/>
          <w:sz w:val="16"/>
          <w:szCs w:val="16"/>
        </w:rPr>
        <w:t xml:space="preserve"> and</w:t>
      </w:r>
      <w:r w:rsidRPr="00035431">
        <w:rPr>
          <w:rFonts w:ascii="Palatino Linotype" w:eastAsia="Times New Roman" w:hAnsi="Palatino Linotype" w:cs="Times New Roman"/>
          <w:sz w:val="16"/>
          <w:szCs w:val="16"/>
        </w:rPr>
        <w:t xml:space="preserve"> Puducherry</w:t>
      </w:r>
    </w:p>
    <w:p w14:paraId="1F706598" w14:textId="73FB1B96" w:rsidR="0032056F" w:rsidRPr="0078308F" w:rsidRDefault="0032056F" w:rsidP="0078308F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sz w:val="16"/>
          <w:szCs w:val="16"/>
        </w:rPr>
      </w:pPr>
      <w:r w:rsidRPr="00133ADF">
        <w:rPr>
          <w:rFonts w:ascii="Palatino Linotype" w:eastAsia="Times New Roman" w:hAnsi="Palatino Linotype" w:cs="Times New Roman"/>
          <w:sz w:val="16"/>
          <w:szCs w:val="16"/>
          <w:vertAlign w:val="superscript"/>
        </w:rPr>
        <w:t>++</w:t>
      </w:r>
      <w:r w:rsidRPr="0032056F">
        <w:rPr>
          <w:rFonts w:ascii="Palatino Linotype" w:eastAsia="Tahoma" w:hAnsi="Palatino Linotype" w:cs="Times New Roman"/>
          <w:color w:val="231F20"/>
          <w:w w:val="105"/>
          <w:sz w:val="16"/>
          <w:szCs w:val="16"/>
        </w:rPr>
        <w:t xml:space="preserve">500 </w:t>
      </w:r>
      <w:proofErr w:type="spellStart"/>
      <w:r w:rsidRPr="0032056F">
        <w:rPr>
          <w:rFonts w:ascii="Palatino Linotype" w:eastAsia="Tahoma" w:hAnsi="Palatino Linotype" w:cs="Times New Roman"/>
          <w:color w:val="231F20"/>
          <w:w w:val="105"/>
          <w:sz w:val="16"/>
          <w:szCs w:val="16"/>
        </w:rPr>
        <w:t>kWp</w:t>
      </w:r>
      <w:proofErr w:type="spellEnd"/>
      <w:r w:rsidRPr="0032056F">
        <w:rPr>
          <w:rFonts w:ascii="Palatino Linotype" w:eastAsia="Tahoma" w:hAnsi="Palatino Linotype" w:cs="Times New Roman"/>
          <w:color w:val="231F20"/>
          <w:w w:val="105"/>
          <w:sz w:val="16"/>
          <w:szCs w:val="16"/>
        </w:rPr>
        <w:t xml:space="preserve"> for group/ </w:t>
      </w:r>
      <w:r w:rsidRPr="0078308F">
        <w:rPr>
          <w:rFonts w:ascii="Palatino Linotype" w:eastAsia="Tahoma" w:hAnsi="Palatino Linotype" w:cs="Times New Roman"/>
          <w:color w:val="231F20"/>
          <w:w w:val="105"/>
          <w:sz w:val="16"/>
          <w:szCs w:val="16"/>
        </w:rPr>
        <w:t>virtual</w:t>
      </w:r>
      <w:r w:rsidRPr="0032056F">
        <w:rPr>
          <w:rFonts w:ascii="Palatino Linotype" w:eastAsia="Tahoma" w:hAnsi="Palatino Linotype" w:cs="Times New Roman"/>
          <w:color w:val="231F20"/>
          <w:w w:val="105"/>
          <w:sz w:val="16"/>
          <w:szCs w:val="16"/>
        </w:rPr>
        <w:t xml:space="preserve"> </w:t>
      </w:r>
      <w:r w:rsidRPr="0078308F">
        <w:rPr>
          <w:rFonts w:ascii="Palatino Linotype" w:eastAsia="Tahoma" w:hAnsi="Palatino Linotype" w:cs="Times New Roman"/>
          <w:color w:val="231F20"/>
          <w:w w:val="105"/>
          <w:sz w:val="16"/>
          <w:szCs w:val="16"/>
        </w:rPr>
        <w:t>net</w:t>
      </w:r>
      <w:r w:rsidRPr="0032056F">
        <w:rPr>
          <w:rFonts w:ascii="Palatino Linotype" w:eastAsia="Tahoma" w:hAnsi="Palatino Linotype" w:cs="Times New Roman"/>
          <w:color w:val="231F20"/>
          <w:w w:val="105"/>
          <w:sz w:val="16"/>
          <w:szCs w:val="16"/>
        </w:rPr>
        <w:t xml:space="preserve"> metering </w:t>
      </w:r>
      <w:r w:rsidRPr="0078308F">
        <w:rPr>
          <w:rFonts w:ascii="Palatino Linotype" w:eastAsia="Tahoma" w:hAnsi="Palatino Linotype" w:cs="Times New Roman"/>
          <w:color w:val="231F20"/>
          <w:w w:val="105"/>
          <w:sz w:val="16"/>
          <w:szCs w:val="16"/>
        </w:rPr>
        <w:t>5</w:t>
      </w:r>
      <w:r w:rsidRPr="0032056F">
        <w:rPr>
          <w:rFonts w:ascii="Palatino Linotype" w:eastAsia="Tahoma" w:hAnsi="Palatino Linotype" w:cs="Times New Roman"/>
          <w:color w:val="231F20"/>
          <w:w w:val="105"/>
          <w:sz w:val="16"/>
          <w:szCs w:val="16"/>
        </w:rPr>
        <w:t xml:space="preserve"> </w:t>
      </w:r>
      <w:proofErr w:type="spellStart"/>
      <w:r w:rsidRPr="0078308F">
        <w:rPr>
          <w:rFonts w:ascii="Palatino Linotype" w:eastAsia="Tahoma" w:hAnsi="Palatino Linotype" w:cs="Times New Roman"/>
          <w:color w:val="231F20"/>
          <w:w w:val="105"/>
          <w:sz w:val="16"/>
          <w:szCs w:val="16"/>
        </w:rPr>
        <w:t>kWp</w:t>
      </w:r>
      <w:proofErr w:type="spellEnd"/>
      <w:r w:rsidRPr="0078308F">
        <w:rPr>
          <w:rFonts w:ascii="Palatino Linotype" w:eastAsia="Tahoma" w:hAnsi="Palatino Linotype" w:cs="Times New Roman"/>
          <w:color w:val="231F20"/>
          <w:w w:val="105"/>
          <w:sz w:val="16"/>
          <w:szCs w:val="16"/>
        </w:rPr>
        <w:t>–NA</w:t>
      </w:r>
    </w:p>
    <w:sectPr w:rsidR="0032056F" w:rsidRPr="0078308F" w:rsidSect="0078308F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E0EF9" w14:textId="77777777" w:rsidR="002F55AF" w:rsidRDefault="002F55AF" w:rsidP="005C2160">
      <w:pPr>
        <w:spacing w:after="0" w:line="240" w:lineRule="auto"/>
      </w:pPr>
      <w:r>
        <w:separator/>
      </w:r>
    </w:p>
  </w:endnote>
  <w:endnote w:type="continuationSeparator" w:id="0">
    <w:p w14:paraId="4D2A11CA" w14:textId="77777777" w:rsidR="002F55AF" w:rsidRDefault="002F55AF" w:rsidP="005C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5304" w14:textId="77777777" w:rsidR="002F55AF" w:rsidRDefault="002F55AF" w:rsidP="005C2160">
      <w:pPr>
        <w:spacing w:after="0" w:line="240" w:lineRule="auto"/>
      </w:pPr>
      <w:r>
        <w:separator/>
      </w:r>
    </w:p>
  </w:footnote>
  <w:footnote w:type="continuationSeparator" w:id="0">
    <w:p w14:paraId="135E1BE1" w14:textId="77777777" w:rsidR="002F55AF" w:rsidRDefault="002F55AF" w:rsidP="005C2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89A"/>
    <w:multiLevelType w:val="hybridMultilevel"/>
    <w:tmpl w:val="94DE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47111"/>
    <w:multiLevelType w:val="hybridMultilevel"/>
    <w:tmpl w:val="99561E7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7D67B8"/>
    <w:multiLevelType w:val="hybridMultilevel"/>
    <w:tmpl w:val="97B6B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8745D"/>
    <w:multiLevelType w:val="hybridMultilevel"/>
    <w:tmpl w:val="815C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F6EC1"/>
    <w:multiLevelType w:val="hybridMultilevel"/>
    <w:tmpl w:val="4B960C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A1647"/>
    <w:multiLevelType w:val="hybridMultilevel"/>
    <w:tmpl w:val="B580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40245"/>
    <w:multiLevelType w:val="hybridMultilevel"/>
    <w:tmpl w:val="92EE4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4456B"/>
    <w:multiLevelType w:val="hybridMultilevel"/>
    <w:tmpl w:val="1300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94C19"/>
    <w:multiLevelType w:val="hybridMultilevel"/>
    <w:tmpl w:val="813A2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F01CE"/>
    <w:multiLevelType w:val="hybridMultilevel"/>
    <w:tmpl w:val="9AB8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A61C9"/>
    <w:multiLevelType w:val="hybridMultilevel"/>
    <w:tmpl w:val="4BD6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52687"/>
    <w:multiLevelType w:val="hybridMultilevel"/>
    <w:tmpl w:val="A82C4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E608D"/>
    <w:multiLevelType w:val="hybridMultilevel"/>
    <w:tmpl w:val="7B5ABD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5057B2"/>
    <w:multiLevelType w:val="hybridMultilevel"/>
    <w:tmpl w:val="13D062F6"/>
    <w:lvl w:ilvl="0" w:tplc="02A4B35C">
      <w:numFmt w:val="bullet"/>
      <w:lvlText w:val="&gt;"/>
      <w:lvlJc w:val="left"/>
      <w:pPr>
        <w:ind w:left="203" w:hanging="128"/>
      </w:pPr>
      <w:rPr>
        <w:rFonts w:ascii="Tahoma" w:eastAsia="Tahoma" w:hAnsi="Tahoma" w:cs="Tahoma" w:hint="default"/>
        <w:color w:val="231F20"/>
        <w:w w:val="74"/>
        <w:sz w:val="16"/>
        <w:szCs w:val="16"/>
        <w:lang w:val="en-US" w:eastAsia="en-US" w:bidi="ar-SA"/>
      </w:rPr>
    </w:lvl>
    <w:lvl w:ilvl="1" w:tplc="78C6AD4C">
      <w:numFmt w:val="bullet"/>
      <w:lvlText w:val="•"/>
      <w:lvlJc w:val="left"/>
      <w:pPr>
        <w:ind w:left="319" w:hanging="128"/>
      </w:pPr>
      <w:rPr>
        <w:rFonts w:hint="default"/>
        <w:lang w:val="en-US" w:eastAsia="en-US" w:bidi="ar-SA"/>
      </w:rPr>
    </w:lvl>
    <w:lvl w:ilvl="2" w:tplc="C32CE41A">
      <w:numFmt w:val="bullet"/>
      <w:lvlText w:val="•"/>
      <w:lvlJc w:val="left"/>
      <w:pPr>
        <w:ind w:left="439" w:hanging="128"/>
      </w:pPr>
      <w:rPr>
        <w:rFonts w:hint="default"/>
        <w:lang w:val="en-US" w:eastAsia="en-US" w:bidi="ar-SA"/>
      </w:rPr>
    </w:lvl>
    <w:lvl w:ilvl="3" w:tplc="79346078">
      <w:numFmt w:val="bullet"/>
      <w:lvlText w:val="•"/>
      <w:lvlJc w:val="left"/>
      <w:pPr>
        <w:ind w:left="558" w:hanging="128"/>
      </w:pPr>
      <w:rPr>
        <w:rFonts w:hint="default"/>
        <w:lang w:val="en-US" w:eastAsia="en-US" w:bidi="ar-SA"/>
      </w:rPr>
    </w:lvl>
    <w:lvl w:ilvl="4" w:tplc="3C48F792">
      <w:numFmt w:val="bullet"/>
      <w:lvlText w:val="•"/>
      <w:lvlJc w:val="left"/>
      <w:pPr>
        <w:ind w:left="678" w:hanging="128"/>
      </w:pPr>
      <w:rPr>
        <w:rFonts w:hint="default"/>
        <w:lang w:val="en-US" w:eastAsia="en-US" w:bidi="ar-SA"/>
      </w:rPr>
    </w:lvl>
    <w:lvl w:ilvl="5" w:tplc="3AB46EF4">
      <w:numFmt w:val="bullet"/>
      <w:lvlText w:val="•"/>
      <w:lvlJc w:val="left"/>
      <w:pPr>
        <w:ind w:left="797" w:hanging="128"/>
      </w:pPr>
      <w:rPr>
        <w:rFonts w:hint="default"/>
        <w:lang w:val="en-US" w:eastAsia="en-US" w:bidi="ar-SA"/>
      </w:rPr>
    </w:lvl>
    <w:lvl w:ilvl="6" w:tplc="F5CC506C">
      <w:numFmt w:val="bullet"/>
      <w:lvlText w:val="•"/>
      <w:lvlJc w:val="left"/>
      <w:pPr>
        <w:ind w:left="917" w:hanging="128"/>
      </w:pPr>
      <w:rPr>
        <w:rFonts w:hint="default"/>
        <w:lang w:val="en-US" w:eastAsia="en-US" w:bidi="ar-SA"/>
      </w:rPr>
    </w:lvl>
    <w:lvl w:ilvl="7" w:tplc="D568985C">
      <w:numFmt w:val="bullet"/>
      <w:lvlText w:val="•"/>
      <w:lvlJc w:val="left"/>
      <w:pPr>
        <w:ind w:left="1036" w:hanging="128"/>
      </w:pPr>
      <w:rPr>
        <w:rFonts w:hint="default"/>
        <w:lang w:val="en-US" w:eastAsia="en-US" w:bidi="ar-SA"/>
      </w:rPr>
    </w:lvl>
    <w:lvl w:ilvl="8" w:tplc="7B1453A6">
      <w:numFmt w:val="bullet"/>
      <w:lvlText w:val="•"/>
      <w:lvlJc w:val="left"/>
      <w:pPr>
        <w:ind w:left="1156" w:hanging="128"/>
      </w:pPr>
      <w:rPr>
        <w:rFonts w:hint="default"/>
        <w:lang w:val="en-US" w:eastAsia="en-US" w:bidi="ar-SA"/>
      </w:rPr>
    </w:lvl>
  </w:abstractNum>
  <w:abstractNum w:abstractNumId="14" w15:restartNumberingAfterBreak="0">
    <w:nsid w:val="3788159F"/>
    <w:multiLevelType w:val="hybridMultilevel"/>
    <w:tmpl w:val="51163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F7397"/>
    <w:multiLevelType w:val="hybridMultilevel"/>
    <w:tmpl w:val="4E7A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43323"/>
    <w:multiLevelType w:val="hybridMultilevel"/>
    <w:tmpl w:val="11B81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D0856"/>
    <w:multiLevelType w:val="hybridMultilevel"/>
    <w:tmpl w:val="0E96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94D0C"/>
    <w:multiLevelType w:val="hybridMultilevel"/>
    <w:tmpl w:val="7E88C41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4A07F1"/>
    <w:multiLevelType w:val="hybridMultilevel"/>
    <w:tmpl w:val="D46A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C176F"/>
    <w:multiLevelType w:val="hybridMultilevel"/>
    <w:tmpl w:val="4F62E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32714"/>
    <w:multiLevelType w:val="hybridMultilevel"/>
    <w:tmpl w:val="D1D6A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00890"/>
    <w:multiLevelType w:val="hybridMultilevel"/>
    <w:tmpl w:val="59EC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A594A"/>
    <w:multiLevelType w:val="hybridMultilevel"/>
    <w:tmpl w:val="88E2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25166"/>
    <w:multiLevelType w:val="hybridMultilevel"/>
    <w:tmpl w:val="076C1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20AAD"/>
    <w:multiLevelType w:val="hybridMultilevel"/>
    <w:tmpl w:val="8E58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3317C"/>
    <w:multiLevelType w:val="hybridMultilevel"/>
    <w:tmpl w:val="3C5E6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B7999"/>
    <w:multiLevelType w:val="hybridMultilevel"/>
    <w:tmpl w:val="15246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F4779"/>
    <w:multiLevelType w:val="hybridMultilevel"/>
    <w:tmpl w:val="569E82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37D5"/>
    <w:multiLevelType w:val="hybridMultilevel"/>
    <w:tmpl w:val="E91C7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730441"/>
    <w:multiLevelType w:val="hybridMultilevel"/>
    <w:tmpl w:val="32A65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03857"/>
    <w:multiLevelType w:val="hybridMultilevel"/>
    <w:tmpl w:val="3E8E52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D2147"/>
    <w:multiLevelType w:val="hybridMultilevel"/>
    <w:tmpl w:val="DD64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92E69"/>
    <w:multiLevelType w:val="hybridMultilevel"/>
    <w:tmpl w:val="493A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5780E"/>
    <w:multiLevelType w:val="hybridMultilevel"/>
    <w:tmpl w:val="C6EE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5254B"/>
    <w:multiLevelType w:val="hybridMultilevel"/>
    <w:tmpl w:val="47726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136148">
    <w:abstractNumId w:val="35"/>
  </w:num>
  <w:num w:numId="2" w16cid:durableId="66612667">
    <w:abstractNumId w:val="31"/>
  </w:num>
  <w:num w:numId="3" w16cid:durableId="184254379">
    <w:abstractNumId w:val="6"/>
  </w:num>
  <w:num w:numId="4" w16cid:durableId="251352659">
    <w:abstractNumId w:val="33"/>
  </w:num>
  <w:num w:numId="5" w16cid:durableId="1212687071">
    <w:abstractNumId w:val="0"/>
  </w:num>
  <w:num w:numId="6" w16cid:durableId="1083837052">
    <w:abstractNumId w:val="11"/>
  </w:num>
  <w:num w:numId="7" w16cid:durableId="2104570671">
    <w:abstractNumId w:val="5"/>
  </w:num>
  <w:num w:numId="8" w16cid:durableId="2068071399">
    <w:abstractNumId w:val="16"/>
  </w:num>
  <w:num w:numId="9" w16cid:durableId="745765574">
    <w:abstractNumId w:val="17"/>
  </w:num>
  <w:num w:numId="10" w16cid:durableId="1846439019">
    <w:abstractNumId w:val="19"/>
  </w:num>
  <w:num w:numId="11" w16cid:durableId="264727527">
    <w:abstractNumId w:val="24"/>
  </w:num>
  <w:num w:numId="12" w16cid:durableId="593513771">
    <w:abstractNumId w:val="23"/>
  </w:num>
  <w:num w:numId="13" w16cid:durableId="1599095153">
    <w:abstractNumId w:val="7"/>
  </w:num>
  <w:num w:numId="14" w16cid:durableId="991565471">
    <w:abstractNumId w:val="34"/>
  </w:num>
  <w:num w:numId="15" w16cid:durableId="2026441184">
    <w:abstractNumId w:val="26"/>
  </w:num>
  <w:num w:numId="16" w16cid:durableId="2008358431">
    <w:abstractNumId w:val="27"/>
  </w:num>
  <w:num w:numId="17" w16cid:durableId="1503616719">
    <w:abstractNumId w:val="30"/>
  </w:num>
  <w:num w:numId="18" w16cid:durableId="1295214115">
    <w:abstractNumId w:val="9"/>
  </w:num>
  <w:num w:numId="19" w16cid:durableId="818615342">
    <w:abstractNumId w:val="32"/>
  </w:num>
  <w:num w:numId="20" w16cid:durableId="1496066830">
    <w:abstractNumId w:val="2"/>
  </w:num>
  <w:num w:numId="21" w16cid:durableId="130489450">
    <w:abstractNumId w:val="15"/>
  </w:num>
  <w:num w:numId="22" w16cid:durableId="530218414">
    <w:abstractNumId w:val="3"/>
  </w:num>
  <w:num w:numId="23" w16cid:durableId="517352083">
    <w:abstractNumId w:val="29"/>
  </w:num>
  <w:num w:numId="24" w16cid:durableId="1137264770">
    <w:abstractNumId w:val="12"/>
  </w:num>
  <w:num w:numId="25" w16cid:durableId="746612017">
    <w:abstractNumId w:val="28"/>
  </w:num>
  <w:num w:numId="26" w16cid:durableId="370158044">
    <w:abstractNumId w:val="1"/>
  </w:num>
  <w:num w:numId="27" w16cid:durableId="1302728213">
    <w:abstractNumId w:val="10"/>
  </w:num>
  <w:num w:numId="28" w16cid:durableId="1616912588">
    <w:abstractNumId w:val="22"/>
  </w:num>
  <w:num w:numId="29" w16cid:durableId="1871070896">
    <w:abstractNumId w:val="4"/>
  </w:num>
  <w:num w:numId="30" w16cid:durableId="859053603">
    <w:abstractNumId w:val="21"/>
  </w:num>
  <w:num w:numId="31" w16cid:durableId="1938173897">
    <w:abstractNumId w:val="20"/>
  </w:num>
  <w:num w:numId="32" w16cid:durableId="2063089974">
    <w:abstractNumId w:val="18"/>
  </w:num>
  <w:num w:numId="33" w16cid:durableId="596451530">
    <w:abstractNumId w:val="8"/>
  </w:num>
  <w:num w:numId="34" w16cid:durableId="1625118437">
    <w:abstractNumId w:val="25"/>
  </w:num>
  <w:num w:numId="35" w16cid:durableId="1612207748">
    <w:abstractNumId w:val="14"/>
  </w:num>
  <w:num w:numId="36" w16cid:durableId="8347604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2B"/>
    <w:rsid w:val="00000DC2"/>
    <w:rsid w:val="000019D0"/>
    <w:rsid w:val="00002A83"/>
    <w:rsid w:val="0000331F"/>
    <w:rsid w:val="00004123"/>
    <w:rsid w:val="00004370"/>
    <w:rsid w:val="000077B2"/>
    <w:rsid w:val="00010B96"/>
    <w:rsid w:val="00011B9C"/>
    <w:rsid w:val="00016536"/>
    <w:rsid w:val="00016A49"/>
    <w:rsid w:val="00020C91"/>
    <w:rsid w:val="00021DB0"/>
    <w:rsid w:val="00023A47"/>
    <w:rsid w:val="0002425C"/>
    <w:rsid w:val="00025870"/>
    <w:rsid w:val="0003030B"/>
    <w:rsid w:val="00030553"/>
    <w:rsid w:val="00031A63"/>
    <w:rsid w:val="00035431"/>
    <w:rsid w:val="000358FB"/>
    <w:rsid w:val="00035E2B"/>
    <w:rsid w:val="000369BB"/>
    <w:rsid w:val="00040B06"/>
    <w:rsid w:val="00044737"/>
    <w:rsid w:val="00046AAC"/>
    <w:rsid w:val="00050839"/>
    <w:rsid w:val="00051062"/>
    <w:rsid w:val="000513A1"/>
    <w:rsid w:val="00051D90"/>
    <w:rsid w:val="0005365D"/>
    <w:rsid w:val="000546DC"/>
    <w:rsid w:val="00054914"/>
    <w:rsid w:val="000559D0"/>
    <w:rsid w:val="00056921"/>
    <w:rsid w:val="000658D1"/>
    <w:rsid w:val="00067FD1"/>
    <w:rsid w:val="00075F21"/>
    <w:rsid w:val="00076A88"/>
    <w:rsid w:val="000805F8"/>
    <w:rsid w:val="00080DB8"/>
    <w:rsid w:val="00080E0D"/>
    <w:rsid w:val="00081EBF"/>
    <w:rsid w:val="00084881"/>
    <w:rsid w:val="0008605D"/>
    <w:rsid w:val="00087CB6"/>
    <w:rsid w:val="000915BC"/>
    <w:rsid w:val="00091B74"/>
    <w:rsid w:val="00093003"/>
    <w:rsid w:val="00093CA8"/>
    <w:rsid w:val="00094A7C"/>
    <w:rsid w:val="000962CF"/>
    <w:rsid w:val="000A260F"/>
    <w:rsid w:val="000A3418"/>
    <w:rsid w:val="000A3DFA"/>
    <w:rsid w:val="000A5BF9"/>
    <w:rsid w:val="000B05C5"/>
    <w:rsid w:val="000B07EB"/>
    <w:rsid w:val="000B18CF"/>
    <w:rsid w:val="000B5DE2"/>
    <w:rsid w:val="000B69A1"/>
    <w:rsid w:val="000C3557"/>
    <w:rsid w:val="000C3707"/>
    <w:rsid w:val="000C4DA7"/>
    <w:rsid w:val="000C5CE2"/>
    <w:rsid w:val="000C7A5D"/>
    <w:rsid w:val="000D0DA0"/>
    <w:rsid w:val="000D229C"/>
    <w:rsid w:val="000D36DB"/>
    <w:rsid w:val="000D4140"/>
    <w:rsid w:val="000D41A4"/>
    <w:rsid w:val="000D50DA"/>
    <w:rsid w:val="000D64EF"/>
    <w:rsid w:val="000E37B3"/>
    <w:rsid w:val="000E5BA1"/>
    <w:rsid w:val="000E6436"/>
    <w:rsid w:val="000F183E"/>
    <w:rsid w:val="000F28E2"/>
    <w:rsid w:val="000F30FD"/>
    <w:rsid w:val="000F580A"/>
    <w:rsid w:val="000F7A72"/>
    <w:rsid w:val="001013B1"/>
    <w:rsid w:val="00101502"/>
    <w:rsid w:val="001056BC"/>
    <w:rsid w:val="001110D5"/>
    <w:rsid w:val="00113472"/>
    <w:rsid w:val="00114BF9"/>
    <w:rsid w:val="00116967"/>
    <w:rsid w:val="001205E2"/>
    <w:rsid w:val="001212CC"/>
    <w:rsid w:val="00121EC6"/>
    <w:rsid w:val="00122116"/>
    <w:rsid w:val="00122542"/>
    <w:rsid w:val="001225A3"/>
    <w:rsid w:val="00122DED"/>
    <w:rsid w:val="00125135"/>
    <w:rsid w:val="00126880"/>
    <w:rsid w:val="00127682"/>
    <w:rsid w:val="00133ADF"/>
    <w:rsid w:val="00134353"/>
    <w:rsid w:val="00134A09"/>
    <w:rsid w:val="00134B16"/>
    <w:rsid w:val="00134D87"/>
    <w:rsid w:val="00136828"/>
    <w:rsid w:val="00137801"/>
    <w:rsid w:val="001378BD"/>
    <w:rsid w:val="00140D32"/>
    <w:rsid w:val="00141847"/>
    <w:rsid w:val="001443FE"/>
    <w:rsid w:val="00152866"/>
    <w:rsid w:val="00152BEB"/>
    <w:rsid w:val="00155516"/>
    <w:rsid w:val="00156A0E"/>
    <w:rsid w:val="00157226"/>
    <w:rsid w:val="0016210C"/>
    <w:rsid w:val="00162380"/>
    <w:rsid w:val="00163515"/>
    <w:rsid w:val="0016443C"/>
    <w:rsid w:val="0017010C"/>
    <w:rsid w:val="00171949"/>
    <w:rsid w:val="00177D70"/>
    <w:rsid w:val="00180563"/>
    <w:rsid w:val="00181AB3"/>
    <w:rsid w:val="0018372B"/>
    <w:rsid w:val="00186A9F"/>
    <w:rsid w:val="001870A3"/>
    <w:rsid w:val="001903DB"/>
    <w:rsid w:val="00190A6B"/>
    <w:rsid w:val="00196CA1"/>
    <w:rsid w:val="001A0A26"/>
    <w:rsid w:val="001A103E"/>
    <w:rsid w:val="001A2143"/>
    <w:rsid w:val="001B4748"/>
    <w:rsid w:val="001B4B7A"/>
    <w:rsid w:val="001B5312"/>
    <w:rsid w:val="001B6049"/>
    <w:rsid w:val="001B6138"/>
    <w:rsid w:val="001C25F4"/>
    <w:rsid w:val="001C3317"/>
    <w:rsid w:val="001C4545"/>
    <w:rsid w:val="001D242E"/>
    <w:rsid w:val="001D3780"/>
    <w:rsid w:val="001D4F5F"/>
    <w:rsid w:val="001D62A8"/>
    <w:rsid w:val="001E7E0F"/>
    <w:rsid w:val="001F0465"/>
    <w:rsid w:val="001F1F6C"/>
    <w:rsid w:val="001F6A0A"/>
    <w:rsid w:val="00200B8B"/>
    <w:rsid w:val="002031F1"/>
    <w:rsid w:val="00207F0E"/>
    <w:rsid w:val="00214619"/>
    <w:rsid w:val="002204F0"/>
    <w:rsid w:val="0022076C"/>
    <w:rsid w:val="002211C9"/>
    <w:rsid w:val="0022166B"/>
    <w:rsid w:val="00222F38"/>
    <w:rsid w:val="00226018"/>
    <w:rsid w:val="00232AE5"/>
    <w:rsid w:val="0023403A"/>
    <w:rsid w:val="002364A3"/>
    <w:rsid w:val="002375AD"/>
    <w:rsid w:val="00237705"/>
    <w:rsid w:val="002419CB"/>
    <w:rsid w:val="00241F54"/>
    <w:rsid w:val="00242143"/>
    <w:rsid w:val="00244079"/>
    <w:rsid w:val="00244F16"/>
    <w:rsid w:val="00250594"/>
    <w:rsid w:val="002534C1"/>
    <w:rsid w:val="00254F20"/>
    <w:rsid w:val="002561C5"/>
    <w:rsid w:val="002615F3"/>
    <w:rsid w:val="00261F44"/>
    <w:rsid w:val="002628A9"/>
    <w:rsid w:val="00263321"/>
    <w:rsid w:val="00263A92"/>
    <w:rsid w:val="00266BD4"/>
    <w:rsid w:val="0027158A"/>
    <w:rsid w:val="00276D59"/>
    <w:rsid w:val="0028012B"/>
    <w:rsid w:val="00280B2B"/>
    <w:rsid w:val="00280D37"/>
    <w:rsid w:val="002812D1"/>
    <w:rsid w:val="002918B2"/>
    <w:rsid w:val="00291E22"/>
    <w:rsid w:val="00292931"/>
    <w:rsid w:val="00293C0D"/>
    <w:rsid w:val="00293E83"/>
    <w:rsid w:val="00295680"/>
    <w:rsid w:val="0029729E"/>
    <w:rsid w:val="002A2E0E"/>
    <w:rsid w:val="002A37D7"/>
    <w:rsid w:val="002A3BD6"/>
    <w:rsid w:val="002A4426"/>
    <w:rsid w:val="002A4708"/>
    <w:rsid w:val="002B6235"/>
    <w:rsid w:val="002B735D"/>
    <w:rsid w:val="002C449A"/>
    <w:rsid w:val="002C6F0D"/>
    <w:rsid w:val="002C7A47"/>
    <w:rsid w:val="002D2F97"/>
    <w:rsid w:val="002D3322"/>
    <w:rsid w:val="002D4575"/>
    <w:rsid w:val="002D5143"/>
    <w:rsid w:val="002D7D50"/>
    <w:rsid w:val="002E04B3"/>
    <w:rsid w:val="002E0DA5"/>
    <w:rsid w:val="002E2061"/>
    <w:rsid w:val="002E6B39"/>
    <w:rsid w:val="002E702A"/>
    <w:rsid w:val="002E78CF"/>
    <w:rsid w:val="002F19A6"/>
    <w:rsid w:val="002F5583"/>
    <w:rsid w:val="002F55AF"/>
    <w:rsid w:val="002F69FA"/>
    <w:rsid w:val="0030540F"/>
    <w:rsid w:val="003057C2"/>
    <w:rsid w:val="0030599C"/>
    <w:rsid w:val="00306B32"/>
    <w:rsid w:val="0031307A"/>
    <w:rsid w:val="00317A07"/>
    <w:rsid w:val="00320058"/>
    <w:rsid w:val="0032056F"/>
    <w:rsid w:val="00320E88"/>
    <w:rsid w:val="00324728"/>
    <w:rsid w:val="00326B32"/>
    <w:rsid w:val="00332577"/>
    <w:rsid w:val="00335E55"/>
    <w:rsid w:val="00337172"/>
    <w:rsid w:val="00340721"/>
    <w:rsid w:val="00340CD9"/>
    <w:rsid w:val="00346864"/>
    <w:rsid w:val="0034689E"/>
    <w:rsid w:val="00346E52"/>
    <w:rsid w:val="0034783B"/>
    <w:rsid w:val="00350889"/>
    <w:rsid w:val="003515B1"/>
    <w:rsid w:val="0035281E"/>
    <w:rsid w:val="00352D33"/>
    <w:rsid w:val="00355773"/>
    <w:rsid w:val="00360925"/>
    <w:rsid w:val="003612D3"/>
    <w:rsid w:val="00362107"/>
    <w:rsid w:val="0036600E"/>
    <w:rsid w:val="00367FF9"/>
    <w:rsid w:val="003715C5"/>
    <w:rsid w:val="003735A8"/>
    <w:rsid w:val="003755BE"/>
    <w:rsid w:val="0037796C"/>
    <w:rsid w:val="00381B09"/>
    <w:rsid w:val="00381CB5"/>
    <w:rsid w:val="003830C7"/>
    <w:rsid w:val="003862D0"/>
    <w:rsid w:val="003876D4"/>
    <w:rsid w:val="0038796C"/>
    <w:rsid w:val="00391837"/>
    <w:rsid w:val="0039510B"/>
    <w:rsid w:val="003A0F41"/>
    <w:rsid w:val="003A1981"/>
    <w:rsid w:val="003A408D"/>
    <w:rsid w:val="003B0D3A"/>
    <w:rsid w:val="003B33C7"/>
    <w:rsid w:val="003B5A92"/>
    <w:rsid w:val="003B5CB4"/>
    <w:rsid w:val="003B5D32"/>
    <w:rsid w:val="003B6C35"/>
    <w:rsid w:val="003C352C"/>
    <w:rsid w:val="003C3A82"/>
    <w:rsid w:val="003C6EFB"/>
    <w:rsid w:val="003C7E2E"/>
    <w:rsid w:val="003D12E6"/>
    <w:rsid w:val="003D1BCE"/>
    <w:rsid w:val="003D3EC1"/>
    <w:rsid w:val="003E384B"/>
    <w:rsid w:val="003E584F"/>
    <w:rsid w:val="003E5B00"/>
    <w:rsid w:val="003F5905"/>
    <w:rsid w:val="003F5D07"/>
    <w:rsid w:val="003F671B"/>
    <w:rsid w:val="004011DC"/>
    <w:rsid w:val="00406A06"/>
    <w:rsid w:val="00410372"/>
    <w:rsid w:val="00411C78"/>
    <w:rsid w:val="00411E70"/>
    <w:rsid w:val="00412716"/>
    <w:rsid w:val="0041336D"/>
    <w:rsid w:val="0041626F"/>
    <w:rsid w:val="00416302"/>
    <w:rsid w:val="00424108"/>
    <w:rsid w:val="004244F0"/>
    <w:rsid w:val="004244FE"/>
    <w:rsid w:val="00425EAF"/>
    <w:rsid w:val="00425F2C"/>
    <w:rsid w:val="00427202"/>
    <w:rsid w:val="00427399"/>
    <w:rsid w:val="004300BA"/>
    <w:rsid w:val="00431CEE"/>
    <w:rsid w:val="004320A7"/>
    <w:rsid w:val="00433C1E"/>
    <w:rsid w:val="004424AD"/>
    <w:rsid w:val="0044329D"/>
    <w:rsid w:val="00444DCE"/>
    <w:rsid w:val="004512CC"/>
    <w:rsid w:val="00452409"/>
    <w:rsid w:val="0045280C"/>
    <w:rsid w:val="0045475F"/>
    <w:rsid w:val="00455547"/>
    <w:rsid w:val="0045595B"/>
    <w:rsid w:val="00455E34"/>
    <w:rsid w:val="00456865"/>
    <w:rsid w:val="00456E73"/>
    <w:rsid w:val="004674D7"/>
    <w:rsid w:val="00467E9C"/>
    <w:rsid w:val="00474639"/>
    <w:rsid w:val="00474891"/>
    <w:rsid w:val="00475A65"/>
    <w:rsid w:val="00476741"/>
    <w:rsid w:val="0047787C"/>
    <w:rsid w:val="00477BB4"/>
    <w:rsid w:val="00477E45"/>
    <w:rsid w:val="004828C3"/>
    <w:rsid w:val="00484165"/>
    <w:rsid w:val="00484168"/>
    <w:rsid w:val="0048683C"/>
    <w:rsid w:val="00492720"/>
    <w:rsid w:val="00492727"/>
    <w:rsid w:val="00493C3D"/>
    <w:rsid w:val="00494A8E"/>
    <w:rsid w:val="00497EC9"/>
    <w:rsid w:val="004A07DC"/>
    <w:rsid w:val="004A2F6B"/>
    <w:rsid w:val="004A539A"/>
    <w:rsid w:val="004A59F9"/>
    <w:rsid w:val="004A71F9"/>
    <w:rsid w:val="004B01CF"/>
    <w:rsid w:val="004B2598"/>
    <w:rsid w:val="004B311F"/>
    <w:rsid w:val="004B6BD2"/>
    <w:rsid w:val="004B7338"/>
    <w:rsid w:val="004C3184"/>
    <w:rsid w:val="004C479D"/>
    <w:rsid w:val="004C7ED9"/>
    <w:rsid w:val="004D0175"/>
    <w:rsid w:val="004D05F0"/>
    <w:rsid w:val="004D0A7A"/>
    <w:rsid w:val="004D682B"/>
    <w:rsid w:val="004E0AB2"/>
    <w:rsid w:val="004E33C3"/>
    <w:rsid w:val="004E452B"/>
    <w:rsid w:val="004F06A9"/>
    <w:rsid w:val="004F0C06"/>
    <w:rsid w:val="004F220B"/>
    <w:rsid w:val="004F235C"/>
    <w:rsid w:val="004F3BE4"/>
    <w:rsid w:val="004F4424"/>
    <w:rsid w:val="004F7B2F"/>
    <w:rsid w:val="004F7DAC"/>
    <w:rsid w:val="00500318"/>
    <w:rsid w:val="005009B6"/>
    <w:rsid w:val="005025D0"/>
    <w:rsid w:val="00506A86"/>
    <w:rsid w:val="00520600"/>
    <w:rsid w:val="00523702"/>
    <w:rsid w:val="00525115"/>
    <w:rsid w:val="00526B54"/>
    <w:rsid w:val="00526D10"/>
    <w:rsid w:val="0052753C"/>
    <w:rsid w:val="00527ADB"/>
    <w:rsid w:val="00536A93"/>
    <w:rsid w:val="005412CE"/>
    <w:rsid w:val="00545826"/>
    <w:rsid w:val="0054774D"/>
    <w:rsid w:val="00547BEC"/>
    <w:rsid w:val="00551445"/>
    <w:rsid w:val="0055535C"/>
    <w:rsid w:val="00555C41"/>
    <w:rsid w:val="005571D2"/>
    <w:rsid w:val="00557AF4"/>
    <w:rsid w:val="00560408"/>
    <w:rsid w:val="00562E03"/>
    <w:rsid w:val="0056478D"/>
    <w:rsid w:val="00564D91"/>
    <w:rsid w:val="005659D2"/>
    <w:rsid w:val="00566355"/>
    <w:rsid w:val="005668DF"/>
    <w:rsid w:val="005708A1"/>
    <w:rsid w:val="00572695"/>
    <w:rsid w:val="005743F8"/>
    <w:rsid w:val="00574E95"/>
    <w:rsid w:val="0057505E"/>
    <w:rsid w:val="005754D5"/>
    <w:rsid w:val="005809C7"/>
    <w:rsid w:val="00580EA7"/>
    <w:rsid w:val="005824C8"/>
    <w:rsid w:val="00582CA2"/>
    <w:rsid w:val="00583EBF"/>
    <w:rsid w:val="00585DA6"/>
    <w:rsid w:val="00586A6C"/>
    <w:rsid w:val="00587744"/>
    <w:rsid w:val="00587D3C"/>
    <w:rsid w:val="0059181F"/>
    <w:rsid w:val="00596891"/>
    <w:rsid w:val="005A0BA3"/>
    <w:rsid w:val="005A0F8A"/>
    <w:rsid w:val="005A2DCA"/>
    <w:rsid w:val="005A7B5C"/>
    <w:rsid w:val="005B0E09"/>
    <w:rsid w:val="005B18C5"/>
    <w:rsid w:val="005B3D45"/>
    <w:rsid w:val="005C2160"/>
    <w:rsid w:val="005C2C87"/>
    <w:rsid w:val="005C3DA3"/>
    <w:rsid w:val="005C401B"/>
    <w:rsid w:val="005C6518"/>
    <w:rsid w:val="005C6B2D"/>
    <w:rsid w:val="005D225F"/>
    <w:rsid w:val="005D4908"/>
    <w:rsid w:val="005D5FDC"/>
    <w:rsid w:val="005D7934"/>
    <w:rsid w:val="005E05FD"/>
    <w:rsid w:val="005E1612"/>
    <w:rsid w:val="005E178B"/>
    <w:rsid w:val="005E2277"/>
    <w:rsid w:val="005E2EEC"/>
    <w:rsid w:val="005E31FB"/>
    <w:rsid w:val="005E4806"/>
    <w:rsid w:val="005E730C"/>
    <w:rsid w:val="005F0EB0"/>
    <w:rsid w:val="005F2340"/>
    <w:rsid w:val="005F2AC0"/>
    <w:rsid w:val="005F3882"/>
    <w:rsid w:val="005F38FB"/>
    <w:rsid w:val="005F6A32"/>
    <w:rsid w:val="00602014"/>
    <w:rsid w:val="00603015"/>
    <w:rsid w:val="006046BC"/>
    <w:rsid w:val="00605428"/>
    <w:rsid w:val="00607107"/>
    <w:rsid w:val="00610279"/>
    <w:rsid w:val="0061213D"/>
    <w:rsid w:val="00613CD7"/>
    <w:rsid w:val="00615BFC"/>
    <w:rsid w:val="006171A6"/>
    <w:rsid w:val="0063001E"/>
    <w:rsid w:val="0063086A"/>
    <w:rsid w:val="00635D96"/>
    <w:rsid w:val="00643F2A"/>
    <w:rsid w:val="00644F28"/>
    <w:rsid w:val="006479D4"/>
    <w:rsid w:val="00647E76"/>
    <w:rsid w:val="0065056D"/>
    <w:rsid w:val="0065297B"/>
    <w:rsid w:val="0065702E"/>
    <w:rsid w:val="00660C4F"/>
    <w:rsid w:val="00661A22"/>
    <w:rsid w:val="00662DCD"/>
    <w:rsid w:val="00663D01"/>
    <w:rsid w:val="006642AA"/>
    <w:rsid w:val="006668A9"/>
    <w:rsid w:val="00666B83"/>
    <w:rsid w:val="00670A8D"/>
    <w:rsid w:val="00670D11"/>
    <w:rsid w:val="00672EA4"/>
    <w:rsid w:val="006744E1"/>
    <w:rsid w:val="0068037F"/>
    <w:rsid w:val="00684064"/>
    <w:rsid w:val="00684164"/>
    <w:rsid w:val="00684E2A"/>
    <w:rsid w:val="00686316"/>
    <w:rsid w:val="00687494"/>
    <w:rsid w:val="00691F5F"/>
    <w:rsid w:val="0069610D"/>
    <w:rsid w:val="0069638B"/>
    <w:rsid w:val="006A1A3A"/>
    <w:rsid w:val="006A1F7F"/>
    <w:rsid w:val="006B5779"/>
    <w:rsid w:val="006C1FFC"/>
    <w:rsid w:val="006C46D7"/>
    <w:rsid w:val="006C555D"/>
    <w:rsid w:val="006C7B41"/>
    <w:rsid w:val="006D3E26"/>
    <w:rsid w:val="006D6485"/>
    <w:rsid w:val="006D6524"/>
    <w:rsid w:val="006D7AC4"/>
    <w:rsid w:val="006D7D53"/>
    <w:rsid w:val="006E0F30"/>
    <w:rsid w:val="006E3485"/>
    <w:rsid w:val="006E363E"/>
    <w:rsid w:val="006E3CE5"/>
    <w:rsid w:val="006E4FC8"/>
    <w:rsid w:val="006E73EC"/>
    <w:rsid w:val="006E7D6F"/>
    <w:rsid w:val="006F07DE"/>
    <w:rsid w:val="006F6206"/>
    <w:rsid w:val="006F765F"/>
    <w:rsid w:val="00702A5D"/>
    <w:rsid w:val="00704393"/>
    <w:rsid w:val="007109E7"/>
    <w:rsid w:val="0071346F"/>
    <w:rsid w:val="00717669"/>
    <w:rsid w:val="0072016F"/>
    <w:rsid w:val="00720374"/>
    <w:rsid w:val="00721D0D"/>
    <w:rsid w:val="00721FAA"/>
    <w:rsid w:val="007222E3"/>
    <w:rsid w:val="00723D75"/>
    <w:rsid w:val="00724D2D"/>
    <w:rsid w:val="00726190"/>
    <w:rsid w:val="00732B8B"/>
    <w:rsid w:val="0073684E"/>
    <w:rsid w:val="00737E6E"/>
    <w:rsid w:val="00743871"/>
    <w:rsid w:val="0074675F"/>
    <w:rsid w:val="007503FE"/>
    <w:rsid w:val="00750CD3"/>
    <w:rsid w:val="007537AC"/>
    <w:rsid w:val="007604B9"/>
    <w:rsid w:val="0076083F"/>
    <w:rsid w:val="00760F23"/>
    <w:rsid w:val="00764874"/>
    <w:rsid w:val="007677FA"/>
    <w:rsid w:val="00770BE5"/>
    <w:rsid w:val="00770C83"/>
    <w:rsid w:val="00771CA9"/>
    <w:rsid w:val="00772E58"/>
    <w:rsid w:val="00773833"/>
    <w:rsid w:val="00774747"/>
    <w:rsid w:val="00775267"/>
    <w:rsid w:val="0077748A"/>
    <w:rsid w:val="00781979"/>
    <w:rsid w:val="00782644"/>
    <w:rsid w:val="0078308F"/>
    <w:rsid w:val="00787CBC"/>
    <w:rsid w:val="00791C40"/>
    <w:rsid w:val="007946BF"/>
    <w:rsid w:val="007955BB"/>
    <w:rsid w:val="00796244"/>
    <w:rsid w:val="007965FE"/>
    <w:rsid w:val="007967FB"/>
    <w:rsid w:val="007A09FE"/>
    <w:rsid w:val="007A7208"/>
    <w:rsid w:val="007B02EE"/>
    <w:rsid w:val="007B0DA0"/>
    <w:rsid w:val="007B48B0"/>
    <w:rsid w:val="007B54E4"/>
    <w:rsid w:val="007B66D0"/>
    <w:rsid w:val="007C0B0C"/>
    <w:rsid w:val="007C29BB"/>
    <w:rsid w:val="007D061E"/>
    <w:rsid w:val="007D376E"/>
    <w:rsid w:val="007D56DF"/>
    <w:rsid w:val="007D745D"/>
    <w:rsid w:val="007E09CF"/>
    <w:rsid w:val="007E2C43"/>
    <w:rsid w:val="007E2DDD"/>
    <w:rsid w:val="007E6DF2"/>
    <w:rsid w:val="007E7C4A"/>
    <w:rsid w:val="007E7C79"/>
    <w:rsid w:val="007F0EA0"/>
    <w:rsid w:val="00800FA4"/>
    <w:rsid w:val="00802975"/>
    <w:rsid w:val="00802BAB"/>
    <w:rsid w:val="008031D7"/>
    <w:rsid w:val="008076B1"/>
    <w:rsid w:val="0081055A"/>
    <w:rsid w:val="008147B7"/>
    <w:rsid w:val="008255E5"/>
    <w:rsid w:val="00825A36"/>
    <w:rsid w:val="0082611B"/>
    <w:rsid w:val="00827103"/>
    <w:rsid w:val="00830098"/>
    <w:rsid w:val="008309F2"/>
    <w:rsid w:val="008337B1"/>
    <w:rsid w:val="00834647"/>
    <w:rsid w:val="008350A0"/>
    <w:rsid w:val="00835852"/>
    <w:rsid w:val="008372A2"/>
    <w:rsid w:val="008375AB"/>
    <w:rsid w:val="00840792"/>
    <w:rsid w:val="00842409"/>
    <w:rsid w:val="00846ED0"/>
    <w:rsid w:val="0085077C"/>
    <w:rsid w:val="00860E87"/>
    <w:rsid w:val="00861681"/>
    <w:rsid w:val="008617E9"/>
    <w:rsid w:val="00862EB6"/>
    <w:rsid w:val="008651B8"/>
    <w:rsid w:val="00867AEA"/>
    <w:rsid w:val="00867E08"/>
    <w:rsid w:val="00871302"/>
    <w:rsid w:val="0087523C"/>
    <w:rsid w:val="008759D3"/>
    <w:rsid w:val="00877856"/>
    <w:rsid w:val="008805FF"/>
    <w:rsid w:val="00881718"/>
    <w:rsid w:val="00881C88"/>
    <w:rsid w:val="00883837"/>
    <w:rsid w:val="0088466C"/>
    <w:rsid w:val="00884E52"/>
    <w:rsid w:val="00887C40"/>
    <w:rsid w:val="0089076F"/>
    <w:rsid w:val="008907E5"/>
    <w:rsid w:val="00894BB5"/>
    <w:rsid w:val="00896433"/>
    <w:rsid w:val="008A0DDD"/>
    <w:rsid w:val="008A12D2"/>
    <w:rsid w:val="008A41D8"/>
    <w:rsid w:val="008A6581"/>
    <w:rsid w:val="008A67A1"/>
    <w:rsid w:val="008A6B27"/>
    <w:rsid w:val="008C0744"/>
    <w:rsid w:val="008C2C4A"/>
    <w:rsid w:val="008C42DB"/>
    <w:rsid w:val="008C6070"/>
    <w:rsid w:val="008D2617"/>
    <w:rsid w:val="008E12D2"/>
    <w:rsid w:val="008E1520"/>
    <w:rsid w:val="008E1597"/>
    <w:rsid w:val="008E17E5"/>
    <w:rsid w:val="008E49F3"/>
    <w:rsid w:val="008E4EB6"/>
    <w:rsid w:val="008F1442"/>
    <w:rsid w:val="008F3E96"/>
    <w:rsid w:val="008F64AC"/>
    <w:rsid w:val="0090056F"/>
    <w:rsid w:val="00901217"/>
    <w:rsid w:val="009019E4"/>
    <w:rsid w:val="009027EE"/>
    <w:rsid w:val="00902D7E"/>
    <w:rsid w:val="009044AB"/>
    <w:rsid w:val="0090567B"/>
    <w:rsid w:val="00906A13"/>
    <w:rsid w:val="00911851"/>
    <w:rsid w:val="0091213D"/>
    <w:rsid w:val="0091249F"/>
    <w:rsid w:val="00915745"/>
    <w:rsid w:val="00916E67"/>
    <w:rsid w:val="009174DF"/>
    <w:rsid w:val="00920517"/>
    <w:rsid w:val="00922628"/>
    <w:rsid w:val="00924ECE"/>
    <w:rsid w:val="00925DE2"/>
    <w:rsid w:val="0092689F"/>
    <w:rsid w:val="00931DBC"/>
    <w:rsid w:val="00932130"/>
    <w:rsid w:val="00934B4B"/>
    <w:rsid w:val="00942DC5"/>
    <w:rsid w:val="00946B89"/>
    <w:rsid w:val="00955639"/>
    <w:rsid w:val="00957981"/>
    <w:rsid w:val="00963FF1"/>
    <w:rsid w:val="009648BD"/>
    <w:rsid w:val="009665B2"/>
    <w:rsid w:val="0096704D"/>
    <w:rsid w:val="00972FE1"/>
    <w:rsid w:val="009738EF"/>
    <w:rsid w:val="00976FB8"/>
    <w:rsid w:val="009833BD"/>
    <w:rsid w:val="0098504E"/>
    <w:rsid w:val="00991E9F"/>
    <w:rsid w:val="00994342"/>
    <w:rsid w:val="00994528"/>
    <w:rsid w:val="00995CE9"/>
    <w:rsid w:val="009964DD"/>
    <w:rsid w:val="009968D4"/>
    <w:rsid w:val="00997B7C"/>
    <w:rsid w:val="009A181D"/>
    <w:rsid w:val="009A1FAF"/>
    <w:rsid w:val="009A26C2"/>
    <w:rsid w:val="009A353A"/>
    <w:rsid w:val="009A57F2"/>
    <w:rsid w:val="009A7DA5"/>
    <w:rsid w:val="009B1AB4"/>
    <w:rsid w:val="009B4B25"/>
    <w:rsid w:val="009B50BC"/>
    <w:rsid w:val="009B5308"/>
    <w:rsid w:val="009B74BE"/>
    <w:rsid w:val="009C02E8"/>
    <w:rsid w:val="009C0F90"/>
    <w:rsid w:val="009C1E31"/>
    <w:rsid w:val="009C5B26"/>
    <w:rsid w:val="009C6D23"/>
    <w:rsid w:val="009D152B"/>
    <w:rsid w:val="009D220E"/>
    <w:rsid w:val="009D28E9"/>
    <w:rsid w:val="009D3DA7"/>
    <w:rsid w:val="009E025F"/>
    <w:rsid w:val="009E5164"/>
    <w:rsid w:val="009E58EA"/>
    <w:rsid w:val="009E6F09"/>
    <w:rsid w:val="009E733C"/>
    <w:rsid w:val="009E788A"/>
    <w:rsid w:val="009F10A1"/>
    <w:rsid w:val="00A04545"/>
    <w:rsid w:val="00A07785"/>
    <w:rsid w:val="00A14EF6"/>
    <w:rsid w:val="00A20F4E"/>
    <w:rsid w:val="00A2117D"/>
    <w:rsid w:val="00A24757"/>
    <w:rsid w:val="00A26B49"/>
    <w:rsid w:val="00A304AF"/>
    <w:rsid w:val="00A32CA5"/>
    <w:rsid w:val="00A3697B"/>
    <w:rsid w:val="00A40E4A"/>
    <w:rsid w:val="00A41DCE"/>
    <w:rsid w:val="00A439FE"/>
    <w:rsid w:val="00A46E71"/>
    <w:rsid w:val="00A476C0"/>
    <w:rsid w:val="00A5298F"/>
    <w:rsid w:val="00A5323F"/>
    <w:rsid w:val="00A55A97"/>
    <w:rsid w:val="00A56FC1"/>
    <w:rsid w:val="00A62D61"/>
    <w:rsid w:val="00A64C22"/>
    <w:rsid w:val="00A700D9"/>
    <w:rsid w:val="00A703AB"/>
    <w:rsid w:val="00A705E2"/>
    <w:rsid w:val="00A77F9A"/>
    <w:rsid w:val="00A8490E"/>
    <w:rsid w:val="00A8513F"/>
    <w:rsid w:val="00A86855"/>
    <w:rsid w:val="00A87058"/>
    <w:rsid w:val="00A93CB4"/>
    <w:rsid w:val="00A93D6A"/>
    <w:rsid w:val="00A94E3B"/>
    <w:rsid w:val="00A94F48"/>
    <w:rsid w:val="00AA05FC"/>
    <w:rsid w:val="00AA13B3"/>
    <w:rsid w:val="00AA18A3"/>
    <w:rsid w:val="00AA24F3"/>
    <w:rsid w:val="00AB0D42"/>
    <w:rsid w:val="00AB1A27"/>
    <w:rsid w:val="00AB349D"/>
    <w:rsid w:val="00AB7F43"/>
    <w:rsid w:val="00AB7F93"/>
    <w:rsid w:val="00AC014E"/>
    <w:rsid w:val="00AC0D68"/>
    <w:rsid w:val="00AC1884"/>
    <w:rsid w:val="00AC238B"/>
    <w:rsid w:val="00AC2467"/>
    <w:rsid w:val="00AC25C4"/>
    <w:rsid w:val="00AC6881"/>
    <w:rsid w:val="00AC6D79"/>
    <w:rsid w:val="00AD05A8"/>
    <w:rsid w:val="00AD1D13"/>
    <w:rsid w:val="00AD30A5"/>
    <w:rsid w:val="00AD57D1"/>
    <w:rsid w:val="00AE19E3"/>
    <w:rsid w:val="00AE1B6E"/>
    <w:rsid w:val="00AE26CA"/>
    <w:rsid w:val="00AE5E8C"/>
    <w:rsid w:val="00AE7E6B"/>
    <w:rsid w:val="00AF17B1"/>
    <w:rsid w:val="00AF3423"/>
    <w:rsid w:val="00AF37A5"/>
    <w:rsid w:val="00AF5291"/>
    <w:rsid w:val="00AF71A4"/>
    <w:rsid w:val="00B032FF"/>
    <w:rsid w:val="00B03AEB"/>
    <w:rsid w:val="00B03CD6"/>
    <w:rsid w:val="00B07CF4"/>
    <w:rsid w:val="00B1093B"/>
    <w:rsid w:val="00B11067"/>
    <w:rsid w:val="00B12AAF"/>
    <w:rsid w:val="00B23EA8"/>
    <w:rsid w:val="00B25E4F"/>
    <w:rsid w:val="00B25F6F"/>
    <w:rsid w:val="00B30086"/>
    <w:rsid w:val="00B33ADE"/>
    <w:rsid w:val="00B3421A"/>
    <w:rsid w:val="00B34E6B"/>
    <w:rsid w:val="00B35769"/>
    <w:rsid w:val="00B37AE3"/>
    <w:rsid w:val="00B42507"/>
    <w:rsid w:val="00B427F4"/>
    <w:rsid w:val="00B47BA8"/>
    <w:rsid w:val="00B54B6B"/>
    <w:rsid w:val="00B54CDB"/>
    <w:rsid w:val="00B55409"/>
    <w:rsid w:val="00B555F0"/>
    <w:rsid w:val="00B578B5"/>
    <w:rsid w:val="00B627AC"/>
    <w:rsid w:val="00B62C2F"/>
    <w:rsid w:val="00B64AA4"/>
    <w:rsid w:val="00B65EB3"/>
    <w:rsid w:val="00B7164F"/>
    <w:rsid w:val="00B72EBD"/>
    <w:rsid w:val="00B7630F"/>
    <w:rsid w:val="00B83783"/>
    <w:rsid w:val="00B8405E"/>
    <w:rsid w:val="00B85850"/>
    <w:rsid w:val="00B860FE"/>
    <w:rsid w:val="00B87C3F"/>
    <w:rsid w:val="00B9043C"/>
    <w:rsid w:val="00B95768"/>
    <w:rsid w:val="00B95874"/>
    <w:rsid w:val="00B96038"/>
    <w:rsid w:val="00B963A5"/>
    <w:rsid w:val="00BA0E5B"/>
    <w:rsid w:val="00BA1549"/>
    <w:rsid w:val="00BA1D89"/>
    <w:rsid w:val="00BB28D4"/>
    <w:rsid w:val="00BB2ACF"/>
    <w:rsid w:val="00BB3580"/>
    <w:rsid w:val="00BB4038"/>
    <w:rsid w:val="00BB5A82"/>
    <w:rsid w:val="00BB631B"/>
    <w:rsid w:val="00BB752D"/>
    <w:rsid w:val="00BB756A"/>
    <w:rsid w:val="00BC39F6"/>
    <w:rsid w:val="00BC51CB"/>
    <w:rsid w:val="00BD0692"/>
    <w:rsid w:val="00BD0EDB"/>
    <w:rsid w:val="00BD28EB"/>
    <w:rsid w:val="00BD2DE2"/>
    <w:rsid w:val="00BE0541"/>
    <w:rsid w:val="00BE1299"/>
    <w:rsid w:val="00BE6D3B"/>
    <w:rsid w:val="00BE7DC3"/>
    <w:rsid w:val="00BF4ADE"/>
    <w:rsid w:val="00BF7999"/>
    <w:rsid w:val="00C00581"/>
    <w:rsid w:val="00C01ACF"/>
    <w:rsid w:val="00C028F3"/>
    <w:rsid w:val="00C02DBF"/>
    <w:rsid w:val="00C05FCC"/>
    <w:rsid w:val="00C0714A"/>
    <w:rsid w:val="00C22CFD"/>
    <w:rsid w:val="00C23295"/>
    <w:rsid w:val="00C30CA2"/>
    <w:rsid w:val="00C30F27"/>
    <w:rsid w:val="00C31523"/>
    <w:rsid w:val="00C322EA"/>
    <w:rsid w:val="00C402A2"/>
    <w:rsid w:val="00C41EE6"/>
    <w:rsid w:val="00C42450"/>
    <w:rsid w:val="00C43A8F"/>
    <w:rsid w:val="00C4404D"/>
    <w:rsid w:val="00C51609"/>
    <w:rsid w:val="00C52FF4"/>
    <w:rsid w:val="00C543AB"/>
    <w:rsid w:val="00C54451"/>
    <w:rsid w:val="00C54E8B"/>
    <w:rsid w:val="00C57972"/>
    <w:rsid w:val="00C62A4F"/>
    <w:rsid w:val="00C63648"/>
    <w:rsid w:val="00C63D3E"/>
    <w:rsid w:val="00C642E5"/>
    <w:rsid w:val="00C67577"/>
    <w:rsid w:val="00C71F6B"/>
    <w:rsid w:val="00C72005"/>
    <w:rsid w:val="00C73153"/>
    <w:rsid w:val="00C73621"/>
    <w:rsid w:val="00C77067"/>
    <w:rsid w:val="00C77BFD"/>
    <w:rsid w:val="00C93C29"/>
    <w:rsid w:val="00C94A57"/>
    <w:rsid w:val="00C96B39"/>
    <w:rsid w:val="00C97089"/>
    <w:rsid w:val="00CA2DA6"/>
    <w:rsid w:val="00CA3F67"/>
    <w:rsid w:val="00CA7285"/>
    <w:rsid w:val="00CA7476"/>
    <w:rsid w:val="00CB4348"/>
    <w:rsid w:val="00CB5886"/>
    <w:rsid w:val="00CB75AE"/>
    <w:rsid w:val="00CC2F43"/>
    <w:rsid w:val="00CC37F1"/>
    <w:rsid w:val="00CC5579"/>
    <w:rsid w:val="00CC7F6A"/>
    <w:rsid w:val="00CD28A8"/>
    <w:rsid w:val="00CE13D7"/>
    <w:rsid w:val="00CE1957"/>
    <w:rsid w:val="00CE44DA"/>
    <w:rsid w:val="00CE6EA6"/>
    <w:rsid w:val="00CE74E1"/>
    <w:rsid w:val="00CE75CB"/>
    <w:rsid w:val="00CF285F"/>
    <w:rsid w:val="00CF2EB8"/>
    <w:rsid w:val="00CF3EE6"/>
    <w:rsid w:val="00D004EE"/>
    <w:rsid w:val="00D005D0"/>
    <w:rsid w:val="00D01D5F"/>
    <w:rsid w:val="00D02AC3"/>
    <w:rsid w:val="00D0459A"/>
    <w:rsid w:val="00D12197"/>
    <w:rsid w:val="00D12591"/>
    <w:rsid w:val="00D12797"/>
    <w:rsid w:val="00D14348"/>
    <w:rsid w:val="00D1595D"/>
    <w:rsid w:val="00D17958"/>
    <w:rsid w:val="00D23F4E"/>
    <w:rsid w:val="00D2520D"/>
    <w:rsid w:val="00D25736"/>
    <w:rsid w:val="00D30318"/>
    <w:rsid w:val="00D30847"/>
    <w:rsid w:val="00D31498"/>
    <w:rsid w:val="00D350EF"/>
    <w:rsid w:val="00D403A0"/>
    <w:rsid w:val="00D4068F"/>
    <w:rsid w:val="00D411C0"/>
    <w:rsid w:val="00D42A3A"/>
    <w:rsid w:val="00D529F4"/>
    <w:rsid w:val="00D53C26"/>
    <w:rsid w:val="00D5457B"/>
    <w:rsid w:val="00D54FE8"/>
    <w:rsid w:val="00D57DD9"/>
    <w:rsid w:val="00D63A98"/>
    <w:rsid w:val="00D63E0A"/>
    <w:rsid w:val="00D7282B"/>
    <w:rsid w:val="00D77761"/>
    <w:rsid w:val="00D854E9"/>
    <w:rsid w:val="00D9049F"/>
    <w:rsid w:val="00D91974"/>
    <w:rsid w:val="00D92FFC"/>
    <w:rsid w:val="00D94B50"/>
    <w:rsid w:val="00D97301"/>
    <w:rsid w:val="00DA22E5"/>
    <w:rsid w:val="00DA4466"/>
    <w:rsid w:val="00DA622E"/>
    <w:rsid w:val="00DB13B5"/>
    <w:rsid w:val="00DB6479"/>
    <w:rsid w:val="00DB660A"/>
    <w:rsid w:val="00DB7995"/>
    <w:rsid w:val="00DC5B33"/>
    <w:rsid w:val="00DD1E4D"/>
    <w:rsid w:val="00DD3F1D"/>
    <w:rsid w:val="00DD4AB9"/>
    <w:rsid w:val="00DD586C"/>
    <w:rsid w:val="00DD5EBA"/>
    <w:rsid w:val="00DE5F84"/>
    <w:rsid w:val="00DE748B"/>
    <w:rsid w:val="00DF27FD"/>
    <w:rsid w:val="00DF6839"/>
    <w:rsid w:val="00E004ED"/>
    <w:rsid w:val="00E01D4B"/>
    <w:rsid w:val="00E02B93"/>
    <w:rsid w:val="00E0355F"/>
    <w:rsid w:val="00E03652"/>
    <w:rsid w:val="00E044ED"/>
    <w:rsid w:val="00E0662C"/>
    <w:rsid w:val="00E06F36"/>
    <w:rsid w:val="00E12EFC"/>
    <w:rsid w:val="00E17D98"/>
    <w:rsid w:val="00E2076C"/>
    <w:rsid w:val="00E23362"/>
    <w:rsid w:val="00E24AA5"/>
    <w:rsid w:val="00E258BA"/>
    <w:rsid w:val="00E304AE"/>
    <w:rsid w:val="00E30601"/>
    <w:rsid w:val="00E349E0"/>
    <w:rsid w:val="00E36C0E"/>
    <w:rsid w:val="00E379D3"/>
    <w:rsid w:val="00E43254"/>
    <w:rsid w:val="00E442A0"/>
    <w:rsid w:val="00E44AE5"/>
    <w:rsid w:val="00E545F3"/>
    <w:rsid w:val="00E56D92"/>
    <w:rsid w:val="00E56DB4"/>
    <w:rsid w:val="00E574E4"/>
    <w:rsid w:val="00E57572"/>
    <w:rsid w:val="00E57806"/>
    <w:rsid w:val="00E62F20"/>
    <w:rsid w:val="00E6391E"/>
    <w:rsid w:val="00E64D85"/>
    <w:rsid w:val="00E65864"/>
    <w:rsid w:val="00E65C1E"/>
    <w:rsid w:val="00E67AD0"/>
    <w:rsid w:val="00E67CAE"/>
    <w:rsid w:val="00E733D1"/>
    <w:rsid w:val="00E74B90"/>
    <w:rsid w:val="00E768EE"/>
    <w:rsid w:val="00E82FB2"/>
    <w:rsid w:val="00E83EC9"/>
    <w:rsid w:val="00E84E1F"/>
    <w:rsid w:val="00E85AE4"/>
    <w:rsid w:val="00E85E22"/>
    <w:rsid w:val="00E87FA3"/>
    <w:rsid w:val="00E90D93"/>
    <w:rsid w:val="00E92DF4"/>
    <w:rsid w:val="00E9491D"/>
    <w:rsid w:val="00EA2355"/>
    <w:rsid w:val="00EA4DA7"/>
    <w:rsid w:val="00EA4FFE"/>
    <w:rsid w:val="00EA6002"/>
    <w:rsid w:val="00EA7D99"/>
    <w:rsid w:val="00EB3582"/>
    <w:rsid w:val="00EC10A4"/>
    <w:rsid w:val="00EC5A7A"/>
    <w:rsid w:val="00EC6F4E"/>
    <w:rsid w:val="00EC7298"/>
    <w:rsid w:val="00ED1351"/>
    <w:rsid w:val="00ED4E0A"/>
    <w:rsid w:val="00ED68FE"/>
    <w:rsid w:val="00ED6BBE"/>
    <w:rsid w:val="00ED6EAD"/>
    <w:rsid w:val="00EE2825"/>
    <w:rsid w:val="00EE2FA6"/>
    <w:rsid w:val="00EE4147"/>
    <w:rsid w:val="00EE4AEF"/>
    <w:rsid w:val="00EE5E82"/>
    <w:rsid w:val="00EE6F4D"/>
    <w:rsid w:val="00EE7C79"/>
    <w:rsid w:val="00EF0157"/>
    <w:rsid w:val="00EF2214"/>
    <w:rsid w:val="00EF281C"/>
    <w:rsid w:val="00EF39FE"/>
    <w:rsid w:val="00EF4751"/>
    <w:rsid w:val="00EF73FC"/>
    <w:rsid w:val="00F15777"/>
    <w:rsid w:val="00F17BA0"/>
    <w:rsid w:val="00F2337C"/>
    <w:rsid w:val="00F256BE"/>
    <w:rsid w:val="00F263B7"/>
    <w:rsid w:val="00F34A6D"/>
    <w:rsid w:val="00F358E4"/>
    <w:rsid w:val="00F3592B"/>
    <w:rsid w:val="00F35E93"/>
    <w:rsid w:val="00F36469"/>
    <w:rsid w:val="00F41E42"/>
    <w:rsid w:val="00F4207D"/>
    <w:rsid w:val="00F44314"/>
    <w:rsid w:val="00F44D4C"/>
    <w:rsid w:val="00F503DB"/>
    <w:rsid w:val="00F5245E"/>
    <w:rsid w:val="00F545BB"/>
    <w:rsid w:val="00F54823"/>
    <w:rsid w:val="00F60B59"/>
    <w:rsid w:val="00F62755"/>
    <w:rsid w:val="00F678CD"/>
    <w:rsid w:val="00F816A5"/>
    <w:rsid w:val="00F83A65"/>
    <w:rsid w:val="00F84451"/>
    <w:rsid w:val="00F862D9"/>
    <w:rsid w:val="00F879D1"/>
    <w:rsid w:val="00F9085E"/>
    <w:rsid w:val="00F91220"/>
    <w:rsid w:val="00F91DA2"/>
    <w:rsid w:val="00F93A6C"/>
    <w:rsid w:val="00F94163"/>
    <w:rsid w:val="00FA1B84"/>
    <w:rsid w:val="00FA29B4"/>
    <w:rsid w:val="00FA2B3C"/>
    <w:rsid w:val="00FA55DB"/>
    <w:rsid w:val="00FA6EFE"/>
    <w:rsid w:val="00FB2A3C"/>
    <w:rsid w:val="00FB2B79"/>
    <w:rsid w:val="00FB4BEA"/>
    <w:rsid w:val="00FB4DAD"/>
    <w:rsid w:val="00FB7047"/>
    <w:rsid w:val="00FB7B91"/>
    <w:rsid w:val="00FC3627"/>
    <w:rsid w:val="00FC7158"/>
    <w:rsid w:val="00FD3290"/>
    <w:rsid w:val="00FD5BA0"/>
    <w:rsid w:val="00FE003B"/>
    <w:rsid w:val="00FE00FA"/>
    <w:rsid w:val="00FE1AA1"/>
    <w:rsid w:val="00FE6A4F"/>
    <w:rsid w:val="00FE73DD"/>
    <w:rsid w:val="00FF27A3"/>
    <w:rsid w:val="00FF2BB4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85B9E"/>
  <w15:chartTrackingRefBased/>
  <w15:docId w15:val="{AD47C09C-9BC4-4B34-AF3D-20AA4867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0F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00F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52B"/>
    <w:pPr>
      <w:ind w:left="720"/>
      <w:contextualSpacing/>
    </w:pPr>
  </w:style>
  <w:style w:type="character" w:customStyle="1" w:styleId="fontstyle01">
    <w:name w:val="fontstyle01"/>
    <w:basedOn w:val="DefaultParagraphFont"/>
    <w:rsid w:val="00BE1299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724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2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160"/>
  </w:style>
  <w:style w:type="paragraph" w:styleId="Footer">
    <w:name w:val="footer"/>
    <w:basedOn w:val="Normal"/>
    <w:link w:val="FooterChar"/>
    <w:uiPriority w:val="99"/>
    <w:unhideWhenUsed/>
    <w:rsid w:val="005C2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160"/>
  </w:style>
  <w:style w:type="character" w:styleId="CommentReference">
    <w:name w:val="annotation reference"/>
    <w:basedOn w:val="DefaultParagraphFont"/>
    <w:uiPriority w:val="99"/>
    <w:semiHidden/>
    <w:unhideWhenUsed/>
    <w:rsid w:val="002C6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6F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6F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F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F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31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1FB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011B9C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0459A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16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16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1681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18372B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472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3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67CA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0F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00FA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-text">
    <w:name w:val="title-text"/>
    <w:basedOn w:val="DefaultParagraphFont"/>
    <w:rsid w:val="00800FA4"/>
  </w:style>
  <w:style w:type="character" w:customStyle="1" w:styleId="sr-only">
    <w:name w:val="sr-only"/>
    <w:basedOn w:val="DefaultParagraphFont"/>
    <w:rsid w:val="00800FA4"/>
  </w:style>
  <w:style w:type="character" w:customStyle="1" w:styleId="text">
    <w:name w:val="text"/>
    <w:basedOn w:val="DefaultParagraphFont"/>
    <w:rsid w:val="00800FA4"/>
  </w:style>
  <w:style w:type="character" w:customStyle="1" w:styleId="author-ref">
    <w:name w:val="author-ref"/>
    <w:basedOn w:val="DefaultParagraphFont"/>
    <w:rsid w:val="00800FA4"/>
  </w:style>
  <w:style w:type="character" w:customStyle="1" w:styleId="authors">
    <w:name w:val="authors"/>
    <w:basedOn w:val="DefaultParagraphFont"/>
    <w:rsid w:val="00C322EA"/>
  </w:style>
  <w:style w:type="character" w:customStyle="1" w:styleId="Date1">
    <w:name w:val="Date1"/>
    <w:basedOn w:val="DefaultParagraphFont"/>
    <w:rsid w:val="00C322EA"/>
  </w:style>
  <w:style w:type="character" w:customStyle="1" w:styleId="arttitle">
    <w:name w:val="art_title"/>
    <w:basedOn w:val="DefaultParagraphFont"/>
    <w:rsid w:val="00C322EA"/>
  </w:style>
  <w:style w:type="character" w:customStyle="1" w:styleId="serialtitle">
    <w:name w:val="serial_title"/>
    <w:basedOn w:val="DefaultParagraphFont"/>
    <w:rsid w:val="00C322EA"/>
  </w:style>
  <w:style w:type="character" w:customStyle="1" w:styleId="volumeissue">
    <w:name w:val="volume_issue"/>
    <w:basedOn w:val="DefaultParagraphFont"/>
    <w:rsid w:val="00C322EA"/>
  </w:style>
  <w:style w:type="character" w:customStyle="1" w:styleId="pagerange">
    <w:name w:val="page_range"/>
    <w:basedOn w:val="DefaultParagraphFont"/>
    <w:rsid w:val="00C322EA"/>
  </w:style>
  <w:style w:type="character" w:customStyle="1" w:styleId="doilink">
    <w:name w:val="doi_link"/>
    <w:basedOn w:val="DefaultParagraphFont"/>
    <w:rsid w:val="00C322EA"/>
  </w:style>
  <w:style w:type="numbering" w:customStyle="1" w:styleId="NoList1">
    <w:name w:val="No List1"/>
    <w:next w:val="NoList"/>
    <w:uiPriority w:val="99"/>
    <w:semiHidden/>
    <w:unhideWhenUsed/>
    <w:rsid w:val="0022076C"/>
  </w:style>
  <w:style w:type="paragraph" w:customStyle="1" w:styleId="TableParagraph">
    <w:name w:val="Table Paragraph"/>
    <w:basedOn w:val="Normal"/>
    <w:uiPriority w:val="1"/>
    <w:qFormat/>
    <w:rsid w:val="0022076C"/>
    <w:pPr>
      <w:widowControl w:val="0"/>
      <w:autoSpaceDE w:val="0"/>
      <w:autoSpaceDN w:val="0"/>
      <w:spacing w:before="81" w:after="0" w:line="240" w:lineRule="auto"/>
      <w:ind w:left="77"/>
    </w:pPr>
    <w:rPr>
      <w:rFonts w:ascii="Tahoma" w:eastAsia="Tahoma" w:hAnsi="Tahoma" w:cs="Tahoma"/>
    </w:rPr>
  </w:style>
  <w:style w:type="table" w:styleId="TableGridLight">
    <w:name w:val="Grid Table Light"/>
    <w:basedOn w:val="TableNormal"/>
    <w:uiPriority w:val="40"/>
    <w:rsid w:val="0022076C"/>
    <w:pPr>
      <w:spacing w:after="0" w:line="240" w:lineRule="auto"/>
    </w:pPr>
    <w:rPr>
      <w:lang w:val="en-I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F38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388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3882"/>
    <w:rPr>
      <w:vertAlign w:val="superscript"/>
    </w:rPr>
  </w:style>
  <w:style w:type="paragraph" w:customStyle="1" w:styleId="MDPI17abstract">
    <w:name w:val="MDPI_1.7_abstract"/>
    <w:next w:val="Normal"/>
    <w:qFormat/>
    <w:rsid w:val="005D7934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eastAsia="de-DE" w:bidi="en-US"/>
    </w:rPr>
  </w:style>
  <w:style w:type="paragraph" w:customStyle="1" w:styleId="MDPI11articletype">
    <w:name w:val="MDPI_1.1_article_type"/>
    <w:next w:val="Normal"/>
    <w:qFormat/>
    <w:rsid w:val="00F263B7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F263B7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F263B7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F263B7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F263B7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61Citation">
    <w:name w:val="MDPI_6.1_Citation"/>
    <w:qFormat/>
    <w:rsid w:val="00F263B7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eastAsia="zh-CN"/>
    </w:rPr>
  </w:style>
  <w:style w:type="paragraph" w:customStyle="1" w:styleId="MDPI72Copyright">
    <w:name w:val="MDPI_7.2_Copyright"/>
    <w:qFormat/>
    <w:rsid w:val="00F263B7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4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3136057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253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9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urohit@ifc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smysun.com/solar-state-wise-polic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purohit@ifc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urohit@iiasa.ac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arma39@if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E86C2-7534-48DD-AF74-6C0F8F00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Ishan Purohit</dc:creator>
  <cp:keywords/>
  <dc:description/>
  <cp:lastModifiedBy>PUROHIT Pallav</cp:lastModifiedBy>
  <cp:revision>4</cp:revision>
  <dcterms:created xsi:type="dcterms:W3CDTF">2023-04-19T07:05:00Z</dcterms:created>
  <dcterms:modified xsi:type="dcterms:W3CDTF">2023-04-19T07:11:00Z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0312153aa8b0e6402b733a81119bebdcf38cbec9a7239afb9fd24ee60de62703</vt:lpwstr>
  </property>
</Properties>
</file>