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A7E7C6" w14:textId="77777777" w:rsidR="00783B01" w:rsidRPr="00165152" w:rsidRDefault="00783B01" w:rsidP="00B81628">
      <w:pPr>
        <w:spacing w:line="360" w:lineRule="auto"/>
        <w:jc w:val="center"/>
        <w:rPr>
          <w:rFonts w:ascii="Palatino Linotype" w:hAnsi="Palatino Linotype" w:cs="Times New Roman"/>
          <w:b/>
          <w:sz w:val="32"/>
          <w:szCs w:val="32"/>
        </w:rPr>
      </w:pPr>
      <w:r w:rsidRPr="00165152">
        <w:rPr>
          <w:rFonts w:ascii="Palatino Linotype" w:hAnsi="Palatino Linotype" w:cs="Times New Roman"/>
          <w:b/>
          <w:sz w:val="32"/>
          <w:szCs w:val="32"/>
        </w:rPr>
        <w:t>Predicting effortful control at 3 years of age from measures of attention and home environment in infancy: a machine learning approach</w:t>
      </w:r>
    </w:p>
    <w:p w14:paraId="69718196" w14:textId="59150684" w:rsidR="00B152A0" w:rsidRPr="00165152" w:rsidRDefault="00B152A0" w:rsidP="00B81628">
      <w:pPr>
        <w:spacing w:line="360" w:lineRule="auto"/>
        <w:jc w:val="center"/>
        <w:rPr>
          <w:rFonts w:ascii="Palatino Linotype" w:hAnsi="Palatino Linotype"/>
          <w:b/>
          <w:bCs/>
        </w:rPr>
      </w:pPr>
      <w:r w:rsidRPr="00165152">
        <w:rPr>
          <w:rFonts w:ascii="Palatino Linotype" w:hAnsi="Palatino Linotype"/>
          <w:b/>
          <w:bCs/>
        </w:rPr>
        <w:t>Supplementary Materials</w:t>
      </w:r>
    </w:p>
    <w:p w14:paraId="428541E4" w14:textId="6F0C2E17" w:rsidR="00B152A0" w:rsidRPr="007161B3" w:rsidRDefault="00165152" w:rsidP="0022741F">
      <w:pPr>
        <w:pStyle w:val="Heading1"/>
        <w:rPr>
          <w:rFonts w:ascii="Palatino Linotype" w:hAnsi="Palatino Linotype"/>
          <w:sz w:val="20"/>
          <w:szCs w:val="20"/>
        </w:rPr>
      </w:pPr>
      <w:r w:rsidRPr="007161B3">
        <w:rPr>
          <w:rFonts w:ascii="Palatino Linotype" w:hAnsi="Palatino Linotype"/>
          <w:sz w:val="20"/>
          <w:szCs w:val="20"/>
        </w:rPr>
        <w:t>Experimental tasks supplementary information</w:t>
      </w:r>
    </w:p>
    <w:p w14:paraId="28C8E465" w14:textId="5B66E324" w:rsidR="00783B01" w:rsidRPr="007161B3" w:rsidRDefault="00783B01" w:rsidP="0022741F">
      <w:pPr>
        <w:pStyle w:val="ListParagraph"/>
        <w:numPr>
          <w:ilvl w:val="1"/>
          <w:numId w:val="28"/>
        </w:numPr>
        <w:ind w:left="567" w:hanging="567"/>
        <w:rPr>
          <w:rFonts w:ascii="Palatino Linotype" w:hAnsi="Palatino Linotype"/>
          <w:bCs/>
          <w:i/>
          <w:iCs/>
          <w:sz w:val="20"/>
          <w:szCs w:val="20"/>
        </w:rPr>
      </w:pPr>
      <w:r w:rsidRPr="007161B3">
        <w:rPr>
          <w:rFonts w:ascii="Palatino Linotype" w:hAnsi="Palatino Linotype"/>
          <w:bCs/>
          <w:i/>
          <w:iCs/>
          <w:sz w:val="20"/>
          <w:szCs w:val="20"/>
        </w:rPr>
        <w:t>Gap-overlap task</w:t>
      </w:r>
    </w:p>
    <w:p w14:paraId="7F9780A5" w14:textId="2984D813" w:rsidR="00CD2B7F" w:rsidRPr="00165152" w:rsidRDefault="00CD2B7F" w:rsidP="00B85C03">
      <w:pPr>
        <w:pStyle w:val="MDPI31text"/>
        <w:ind w:left="0" w:firstLine="567"/>
      </w:pPr>
      <w:r w:rsidRPr="00165152">
        <w:t xml:space="preserve">Central and peripheral stimuli were randomly selected from a pool of 74 and 6 stimuli for central and peripheral stimulus, respectively. In order for the trial to be considered valid, infants had to look at the central stimulus during the last 200 </w:t>
      </w:r>
      <w:proofErr w:type="spellStart"/>
      <w:r w:rsidRPr="00165152">
        <w:t>ms</w:t>
      </w:r>
      <w:proofErr w:type="spellEnd"/>
      <w:r w:rsidRPr="00165152">
        <w:t xml:space="preserve"> before the peripheral target presentation, otherwise it was considered invalid and removed from analysis (</w:t>
      </w:r>
      <w:proofErr w:type="spellStart"/>
      <w:r w:rsidRPr="00165152">
        <w:t>Holmboe</w:t>
      </w:r>
      <w:proofErr w:type="spellEnd"/>
      <w:r w:rsidRPr="00165152">
        <w:t xml:space="preserve"> et al., 2018). </w:t>
      </w:r>
    </w:p>
    <w:p w14:paraId="0BE4B4A5" w14:textId="16A191B9" w:rsidR="00B152A0" w:rsidRDefault="00CD2B7F" w:rsidP="00B85C03">
      <w:pPr>
        <w:pStyle w:val="MDPI31text"/>
        <w:spacing w:line="240" w:lineRule="auto"/>
        <w:ind w:left="0" w:firstLine="567"/>
      </w:pPr>
      <w:r w:rsidRPr="00165152">
        <w:t xml:space="preserve">Two 16.34º x 20.47º areas of interest (AOIs) were created for the peripheral targets, while a 15.4º x 20.47º AOI was generated for the central stimulus. Saccade latencies (SL) were computed on valid trials subtracting the onset of the first fixation on the peripheral target from its onset. SL below the threshold of 120 </w:t>
      </w:r>
      <w:proofErr w:type="spellStart"/>
      <w:r w:rsidRPr="00165152">
        <w:t>ms</w:t>
      </w:r>
      <w:proofErr w:type="spellEnd"/>
      <w:r w:rsidRPr="00165152">
        <w:t xml:space="preserve"> were considered anticipatory and removed from analysis (</w:t>
      </w:r>
      <w:proofErr w:type="spellStart"/>
      <w:r w:rsidRPr="00165152">
        <w:t>Csibra</w:t>
      </w:r>
      <w:proofErr w:type="spellEnd"/>
      <w:r w:rsidRPr="00165152">
        <w:t xml:space="preserve"> et al., 2001). Infants were removed from subsequent analyses if: 1. Did not achieve a minimum of 4 valid trials in each experimental condition and 2. Experienced family interference during task administration or 3. Did not have enough data for pre-processing steps. A total of 42 infants were excluded from statistical analyses (</w:t>
      </w:r>
      <w:r w:rsidRPr="00165152">
        <w:rPr>
          <w:i/>
          <w:iCs/>
        </w:rPr>
        <w:t>n</w:t>
      </w:r>
      <w:r w:rsidRPr="00165152">
        <w:t xml:space="preserve"> = 25 for criteria 1; </w:t>
      </w:r>
      <w:r w:rsidRPr="00165152">
        <w:rPr>
          <w:i/>
          <w:iCs/>
        </w:rPr>
        <w:t>n</w:t>
      </w:r>
      <w:r w:rsidRPr="00165152">
        <w:t xml:space="preserve"> = 3 by criteria 2 and </w:t>
      </w:r>
      <w:r w:rsidRPr="00165152">
        <w:rPr>
          <w:i/>
          <w:iCs/>
        </w:rPr>
        <w:t>n</w:t>
      </w:r>
      <w:r w:rsidRPr="00165152">
        <w:t xml:space="preserve"> = 14 by criteria 3 at 6 months).</w:t>
      </w:r>
    </w:p>
    <w:p w14:paraId="568A674A" w14:textId="77777777" w:rsidR="0022741F" w:rsidRPr="00165152" w:rsidRDefault="0022741F" w:rsidP="0022741F">
      <w:pPr>
        <w:pStyle w:val="MDPI31text"/>
        <w:spacing w:line="240" w:lineRule="auto"/>
        <w:ind w:left="0" w:firstLine="0"/>
      </w:pPr>
    </w:p>
    <w:p w14:paraId="628438EB" w14:textId="00C13104" w:rsidR="00783B01" w:rsidRPr="007161B3" w:rsidRDefault="00783B01" w:rsidP="0022741F">
      <w:pPr>
        <w:pStyle w:val="ListParagraph"/>
        <w:numPr>
          <w:ilvl w:val="1"/>
          <w:numId w:val="28"/>
        </w:numPr>
        <w:ind w:left="567" w:hanging="567"/>
        <w:rPr>
          <w:rFonts w:ascii="Palatino Linotype" w:hAnsi="Palatino Linotype"/>
          <w:bCs/>
          <w:i/>
          <w:iCs/>
          <w:sz w:val="20"/>
          <w:szCs w:val="20"/>
        </w:rPr>
      </w:pPr>
      <w:r w:rsidRPr="007161B3">
        <w:rPr>
          <w:rFonts w:ascii="Palatino Linotype" w:hAnsi="Palatino Linotype"/>
          <w:bCs/>
          <w:i/>
          <w:iCs/>
          <w:sz w:val="20"/>
          <w:szCs w:val="20"/>
        </w:rPr>
        <w:t>Visual Sequence Learning (VSL) task</w:t>
      </w:r>
    </w:p>
    <w:p w14:paraId="7312E7FD" w14:textId="788B89BE" w:rsidR="004A0B59" w:rsidRPr="004E72D1" w:rsidRDefault="004E72D1" w:rsidP="004E72D1">
      <w:pPr>
        <w:pStyle w:val="ListParagraph"/>
        <w:numPr>
          <w:ilvl w:val="2"/>
          <w:numId w:val="28"/>
        </w:numPr>
        <w:rPr>
          <w:rFonts w:ascii="Palatino Linotype" w:hAnsi="Palatino Linotype"/>
          <w:bCs/>
          <w:sz w:val="20"/>
          <w:szCs w:val="20"/>
        </w:rPr>
      </w:pPr>
      <w:r>
        <w:rPr>
          <w:rFonts w:ascii="Palatino Linotype" w:hAnsi="Palatino Linotype"/>
          <w:bCs/>
          <w:sz w:val="20"/>
          <w:szCs w:val="20"/>
        </w:rPr>
        <w:t>Six-month-olds version</w:t>
      </w:r>
    </w:p>
    <w:p w14:paraId="71D42D2D" w14:textId="51E965B3" w:rsidR="0053779E" w:rsidRPr="004E72D1" w:rsidRDefault="0053779E" w:rsidP="006A699D">
      <w:pPr>
        <w:ind w:firstLine="720"/>
        <w:rPr>
          <w:rFonts w:ascii="Palatino Linotype" w:hAnsi="Palatino Linotype"/>
          <w:sz w:val="20"/>
          <w:szCs w:val="20"/>
        </w:rPr>
      </w:pPr>
      <w:r w:rsidRPr="004E72D1">
        <w:rPr>
          <w:rFonts w:ascii="Palatino Linotype" w:hAnsi="Palatino Linotype"/>
          <w:sz w:val="20"/>
          <w:szCs w:val="20"/>
        </w:rPr>
        <w:t>Two 19.02º x 26.56º AOIs were defined around each of the possible stimulus locations. In order to be considered for statistical analysis, infants were required to accomplish more than 50% of trials with stimulus fixations in practice and experimental trials (Rothbart et al., 2003). A total of 42 infants were excluded due to not meeting the experimental criteria of trials with stimulus fixations (</w:t>
      </w:r>
      <w:r w:rsidRPr="004E72D1">
        <w:rPr>
          <w:rFonts w:ascii="Palatino Linotype" w:hAnsi="Palatino Linotype"/>
          <w:i/>
          <w:iCs/>
          <w:sz w:val="20"/>
          <w:szCs w:val="20"/>
        </w:rPr>
        <w:t>n</w:t>
      </w:r>
      <w:r w:rsidRPr="004E72D1">
        <w:rPr>
          <w:rFonts w:ascii="Palatino Linotype" w:hAnsi="Palatino Linotype"/>
          <w:sz w:val="20"/>
          <w:szCs w:val="20"/>
        </w:rPr>
        <w:t xml:space="preserve"> = 39) or due to parent interference (</w:t>
      </w:r>
      <w:r w:rsidRPr="004E72D1">
        <w:rPr>
          <w:rFonts w:ascii="Palatino Linotype" w:hAnsi="Palatino Linotype"/>
          <w:i/>
          <w:iCs/>
          <w:sz w:val="20"/>
          <w:szCs w:val="20"/>
        </w:rPr>
        <w:t>n</w:t>
      </w:r>
      <w:r w:rsidRPr="004E72D1">
        <w:rPr>
          <w:rFonts w:ascii="Palatino Linotype" w:hAnsi="Palatino Linotype"/>
          <w:sz w:val="20"/>
          <w:szCs w:val="20"/>
        </w:rPr>
        <w:t xml:space="preserve"> = 3)</w:t>
      </w:r>
    </w:p>
    <w:p w14:paraId="01EF5840" w14:textId="37BE788E" w:rsidR="0053779E" w:rsidRPr="004E72D1" w:rsidRDefault="004E72D1" w:rsidP="004E72D1">
      <w:pPr>
        <w:pStyle w:val="ListParagraph"/>
        <w:numPr>
          <w:ilvl w:val="2"/>
          <w:numId w:val="28"/>
        </w:numPr>
        <w:rPr>
          <w:rFonts w:ascii="Palatino Linotype" w:hAnsi="Palatino Linotype"/>
          <w:sz w:val="20"/>
          <w:szCs w:val="20"/>
        </w:rPr>
      </w:pPr>
      <w:r>
        <w:rPr>
          <w:rFonts w:ascii="Palatino Linotype" w:hAnsi="Palatino Linotype"/>
          <w:sz w:val="20"/>
          <w:szCs w:val="20"/>
        </w:rPr>
        <w:t>Nine-month-olds version</w:t>
      </w:r>
    </w:p>
    <w:p w14:paraId="537BD0D3" w14:textId="6F6E3016" w:rsidR="0053779E" w:rsidRPr="004E72D1" w:rsidRDefault="0053779E" w:rsidP="006A699D">
      <w:pPr>
        <w:ind w:firstLine="567"/>
        <w:rPr>
          <w:rFonts w:ascii="Palatino Linotype" w:hAnsi="Palatino Linotype"/>
          <w:bCs/>
          <w:sz w:val="20"/>
          <w:szCs w:val="20"/>
        </w:rPr>
      </w:pPr>
      <w:r w:rsidRPr="004E72D1">
        <w:rPr>
          <w:rFonts w:ascii="Palatino Linotype" w:hAnsi="Palatino Linotype"/>
          <w:sz w:val="20"/>
          <w:szCs w:val="20"/>
        </w:rPr>
        <w:t>Two 19.02º x 26.56º AOIs were defined around each stimulus position in order to compute stimuli fixations, reactive looks and anticipatory looks. Only those trials in which an overt orienting of visual attention was allowed were considered to compute stimulus fixations, reactive and anticipatory looks, that is in trials in which attention could be oriented from position 1 to position 2, and from position 2 to position 1. It should be noted that in trials in which position 1 is again followed by position 1, infants were likely to remain fixed in that position during the anticipatory and reactive period. In these trials, the distinction of these two types of looks is hampered due to this sequence configuration. Considering all trials would lead to a lower number of reactive and anticipatory looks compared to the other versions of the task in which these events are allowed in all trials. Consequently, we decided to correct this difference between versions calculating these variables considering only these trials.</w:t>
      </w:r>
      <w:r w:rsidR="00115A49" w:rsidRPr="004E72D1">
        <w:rPr>
          <w:rFonts w:ascii="Palatino Linotype" w:hAnsi="Palatino Linotype"/>
          <w:sz w:val="20"/>
          <w:szCs w:val="20"/>
        </w:rPr>
        <w:t xml:space="preserve"> The same exclusion criteria considered for the 6-mo-olds version were </w:t>
      </w:r>
      <w:r w:rsidR="00115A49" w:rsidRPr="004E72D1">
        <w:rPr>
          <w:rFonts w:ascii="Palatino Linotype" w:hAnsi="Palatino Linotype"/>
          <w:sz w:val="20"/>
          <w:szCs w:val="20"/>
        </w:rPr>
        <w:lastRenderedPageBreak/>
        <w:t>applied. A total of 34 infants were excluded due to not meeting trials requirements criterion (</w:t>
      </w:r>
      <w:r w:rsidR="00115A49" w:rsidRPr="004E72D1">
        <w:rPr>
          <w:rFonts w:ascii="Palatino Linotype" w:hAnsi="Palatino Linotype"/>
          <w:i/>
          <w:iCs/>
          <w:sz w:val="20"/>
          <w:szCs w:val="20"/>
        </w:rPr>
        <w:t>n</w:t>
      </w:r>
      <w:r w:rsidR="00115A49" w:rsidRPr="004E72D1">
        <w:rPr>
          <w:rFonts w:ascii="Palatino Linotype" w:hAnsi="Palatino Linotype"/>
          <w:sz w:val="20"/>
          <w:szCs w:val="20"/>
        </w:rPr>
        <w:t xml:space="preserve"> = 28) parent interference (</w:t>
      </w:r>
      <w:r w:rsidR="00115A49" w:rsidRPr="004E72D1">
        <w:rPr>
          <w:rFonts w:ascii="Palatino Linotype" w:hAnsi="Palatino Linotype"/>
          <w:i/>
          <w:iCs/>
          <w:sz w:val="20"/>
          <w:szCs w:val="20"/>
        </w:rPr>
        <w:t>n</w:t>
      </w:r>
      <w:r w:rsidR="00115A49" w:rsidRPr="004E72D1">
        <w:rPr>
          <w:rFonts w:ascii="Palatino Linotype" w:hAnsi="Palatino Linotype"/>
          <w:sz w:val="20"/>
          <w:szCs w:val="20"/>
        </w:rPr>
        <w:t xml:space="preserve"> = 2) or infant cry (</w:t>
      </w:r>
      <w:r w:rsidR="00115A49" w:rsidRPr="004E72D1">
        <w:rPr>
          <w:rFonts w:ascii="Palatino Linotype" w:hAnsi="Palatino Linotype"/>
          <w:i/>
          <w:iCs/>
          <w:sz w:val="20"/>
          <w:szCs w:val="20"/>
        </w:rPr>
        <w:t>n</w:t>
      </w:r>
      <w:r w:rsidR="00115A49" w:rsidRPr="004E72D1">
        <w:rPr>
          <w:rFonts w:ascii="Palatino Linotype" w:hAnsi="Palatino Linotype"/>
          <w:sz w:val="20"/>
          <w:szCs w:val="20"/>
        </w:rPr>
        <w:t xml:space="preserve"> = 4).</w:t>
      </w:r>
    </w:p>
    <w:p w14:paraId="0050B033" w14:textId="0243835B" w:rsidR="00783B01" w:rsidRPr="007161B3" w:rsidRDefault="00783B01" w:rsidP="0022741F">
      <w:pPr>
        <w:pStyle w:val="ListParagraph"/>
        <w:numPr>
          <w:ilvl w:val="1"/>
          <w:numId w:val="28"/>
        </w:numPr>
        <w:ind w:left="567" w:hanging="567"/>
        <w:rPr>
          <w:rFonts w:ascii="Palatino Linotype" w:hAnsi="Palatino Linotype"/>
          <w:bCs/>
          <w:i/>
          <w:iCs/>
          <w:sz w:val="20"/>
          <w:szCs w:val="20"/>
        </w:rPr>
      </w:pPr>
      <w:r w:rsidRPr="007161B3">
        <w:rPr>
          <w:rFonts w:ascii="Palatino Linotype" w:hAnsi="Palatino Linotype"/>
          <w:bCs/>
          <w:i/>
          <w:iCs/>
          <w:sz w:val="20"/>
          <w:szCs w:val="20"/>
        </w:rPr>
        <w:t>Switching task</w:t>
      </w:r>
    </w:p>
    <w:p w14:paraId="5C8F0DA4" w14:textId="70A20E34" w:rsidR="009A7565" w:rsidRPr="007161B3" w:rsidRDefault="009A7565" w:rsidP="007161B3">
      <w:pPr>
        <w:ind w:firstLine="567"/>
        <w:rPr>
          <w:rFonts w:ascii="Palatino Linotype" w:hAnsi="Palatino Linotype"/>
          <w:sz w:val="20"/>
          <w:szCs w:val="20"/>
        </w:rPr>
      </w:pPr>
      <w:r w:rsidRPr="007161B3">
        <w:rPr>
          <w:rFonts w:ascii="Palatino Linotype" w:hAnsi="Palatino Linotype"/>
          <w:sz w:val="20"/>
          <w:szCs w:val="20"/>
        </w:rPr>
        <w:t>Two 19.57º x 27.4º AOIs were generated for the left and right side of the screen (</w:t>
      </w:r>
      <w:proofErr w:type="spellStart"/>
      <w:r w:rsidRPr="007161B3">
        <w:rPr>
          <w:rFonts w:ascii="Palatino Linotype" w:hAnsi="Palatino Linotype"/>
          <w:sz w:val="20"/>
          <w:szCs w:val="20"/>
        </w:rPr>
        <w:t>Conejero</w:t>
      </w:r>
      <w:proofErr w:type="spellEnd"/>
      <w:r w:rsidRPr="007161B3">
        <w:rPr>
          <w:rFonts w:ascii="Palatino Linotype" w:hAnsi="Palatino Linotype"/>
          <w:sz w:val="20"/>
          <w:szCs w:val="20"/>
        </w:rPr>
        <w:t xml:space="preserve"> &amp; Rueda, 2018). We excluded all fixations that occurred in the first 200 </w:t>
      </w:r>
      <w:proofErr w:type="spellStart"/>
      <w:r w:rsidRPr="007161B3">
        <w:rPr>
          <w:rFonts w:ascii="Palatino Linotype" w:hAnsi="Palatino Linotype"/>
          <w:sz w:val="20"/>
          <w:szCs w:val="20"/>
        </w:rPr>
        <w:t>ms</w:t>
      </w:r>
      <w:proofErr w:type="spellEnd"/>
      <w:r w:rsidRPr="007161B3">
        <w:rPr>
          <w:rFonts w:ascii="Palatino Linotype" w:hAnsi="Palatino Linotype"/>
          <w:sz w:val="20"/>
          <w:szCs w:val="20"/>
        </w:rPr>
        <w:t xml:space="preserve"> of the anticipatory period, as they do not reflect a real expectation, considering instead the first 200 </w:t>
      </w:r>
      <w:proofErr w:type="spellStart"/>
      <w:r w:rsidRPr="007161B3">
        <w:rPr>
          <w:rFonts w:ascii="Palatino Linotype" w:hAnsi="Palatino Linotype"/>
          <w:sz w:val="20"/>
          <w:szCs w:val="20"/>
        </w:rPr>
        <w:t>ms</w:t>
      </w:r>
      <w:proofErr w:type="spellEnd"/>
      <w:r w:rsidRPr="007161B3">
        <w:rPr>
          <w:rFonts w:ascii="Palatino Linotype" w:hAnsi="Palatino Linotype"/>
          <w:sz w:val="20"/>
          <w:szCs w:val="20"/>
        </w:rPr>
        <w:t xml:space="preserve"> of the stimulus presentation as part of the anticipatory period (Canfield &amp; Haith, 1991). All anticipatory fixations were required to be followed by a fixation on the stimulus as a form to ensure that the infant was engaged in the trial, avoiding to code artifactual anticipations (i.e., coding an anticipation when the infant was moving gaze outside of the screen). If anticipations to the correct and incorrect side were recorded on the same trial, only the anticipatory fixation with the highest duration was considered (</w:t>
      </w:r>
      <w:proofErr w:type="spellStart"/>
      <w:r w:rsidRPr="007161B3">
        <w:rPr>
          <w:rFonts w:ascii="Palatino Linotype" w:hAnsi="Palatino Linotype"/>
          <w:sz w:val="20"/>
          <w:szCs w:val="20"/>
        </w:rPr>
        <w:t>Kòvacs</w:t>
      </w:r>
      <w:proofErr w:type="spellEnd"/>
      <w:r w:rsidRPr="007161B3">
        <w:rPr>
          <w:rFonts w:ascii="Palatino Linotype" w:hAnsi="Palatino Linotype"/>
          <w:sz w:val="20"/>
          <w:szCs w:val="20"/>
        </w:rPr>
        <w:t xml:space="preserve"> &amp; </w:t>
      </w:r>
      <w:proofErr w:type="spellStart"/>
      <w:r w:rsidRPr="007161B3">
        <w:rPr>
          <w:rFonts w:ascii="Palatino Linotype" w:hAnsi="Palatino Linotype"/>
          <w:sz w:val="20"/>
          <w:szCs w:val="20"/>
        </w:rPr>
        <w:t>Mehler</w:t>
      </w:r>
      <w:proofErr w:type="spellEnd"/>
      <w:r w:rsidRPr="007161B3">
        <w:rPr>
          <w:rFonts w:ascii="Palatino Linotype" w:hAnsi="Palatino Linotype"/>
          <w:sz w:val="20"/>
          <w:szCs w:val="20"/>
        </w:rPr>
        <w:t xml:space="preserve">, 2009). </w:t>
      </w:r>
      <w:r w:rsidRPr="007161B3">
        <w:rPr>
          <w:rFonts w:ascii="Palatino Linotype" w:hAnsi="Palatino Linotype"/>
          <w:bCs/>
          <w:sz w:val="20"/>
          <w:szCs w:val="20"/>
        </w:rPr>
        <w:t>Infants were excluded from these analyses if they: 1. Displayed a tendency to anticipate to the non-rewarded location in the pre-switch block (</w:t>
      </w:r>
      <w:r w:rsidRPr="007E4A85">
        <w:rPr>
          <w:rFonts w:ascii="Palatino Linotype" w:hAnsi="Palatino Linotype"/>
          <w:bCs/>
          <w:i/>
          <w:iCs/>
          <w:sz w:val="20"/>
          <w:szCs w:val="20"/>
        </w:rPr>
        <w:t>n</w:t>
      </w:r>
      <w:r w:rsidRPr="007161B3">
        <w:rPr>
          <w:rFonts w:ascii="Palatino Linotype" w:hAnsi="Palatino Linotype"/>
          <w:bCs/>
          <w:sz w:val="20"/>
          <w:szCs w:val="20"/>
        </w:rPr>
        <w:t xml:space="preserve"> = 16); 2. Experienced family interference during task administration (</w:t>
      </w:r>
      <w:r w:rsidRPr="007E4A85">
        <w:rPr>
          <w:rFonts w:ascii="Palatino Linotype" w:hAnsi="Palatino Linotype"/>
          <w:bCs/>
          <w:i/>
          <w:iCs/>
          <w:sz w:val="20"/>
          <w:szCs w:val="20"/>
        </w:rPr>
        <w:t xml:space="preserve">n </w:t>
      </w:r>
      <w:r w:rsidRPr="007161B3">
        <w:rPr>
          <w:rFonts w:ascii="Palatino Linotype" w:hAnsi="Palatino Linotype"/>
          <w:bCs/>
          <w:sz w:val="20"/>
          <w:szCs w:val="20"/>
        </w:rPr>
        <w:t>= 2); 3. Cried during task administration (</w:t>
      </w:r>
      <w:r w:rsidRPr="007E4A85">
        <w:rPr>
          <w:rFonts w:ascii="Palatino Linotype" w:hAnsi="Palatino Linotype"/>
          <w:bCs/>
          <w:i/>
          <w:iCs/>
          <w:sz w:val="20"/>
          <w:szCs w:val="20"/>
        </w:rPr>
        <w:t>n</w:t>
      </w:r>
      <w:r w:rsidRPr="007161B3">
        <w:rPr>
          <w:rFonts w:ascii="Palatino Linotype" w:hAnsi="Palatino Linotype"/>
          <w:bCs/>
          <w:sz w:val="20"/>
          <w:szCs w:val="20"/>
        </w:rPr>
        <w:t xml:space="preserve"> = 1) or 4. Did not achieve a minimum of 3 correct anticipations during the pre-switch block (</w:t>
      </w:r>
      <w:r w:rsidRPr="007E4A85">
        <w:rPr>
          <w:rFonts w:ascii="Palatino Linotype" w:hAnsi="Palatino Linotype"/>
          <w:bCs/>
          <w:i/>
          <w:iCs/>
          <w:sz w:val="20"/>
          <w:szCs w:val="20"/>
        </w:rPr>
        <w:t>n</w:t>
      </w:r>
      <w:r w:rsidRPr="007161B3">
        <w:rPr>
          <w:rFonts w:ascii="Palatino Linotype" w:hAnsi="Palatino Linotype"/>
          <w:bCs/>
          <w:sz w:val="20"/>
          <w:szCs w:val="20"/>
        </w:rPr>
        <w:t xml:space="preserve"> = 39).</w:t>
      </w:r>
    </w:p>
    <w:p w14:paraId="567D0B6A" w14:textId="5CFE5B47" w:rsidR="00783B01" w:rsidRPr="007161B3" w:rsidRDefault="00783B01" w:rsidP="0022741F">
      <w:pPr>
        <w:pStyle w:val="ListParagraph"/>
        <w:numPr>
          <w:ilvl w:val="1"/>
          <w:numId w:val="28"/>
        </w:numPr>
        <w:ind w:left="567" w:hanging="567"/>
        <w:rPr>
          <w:rFonts w:ascii="Palatino Linotype" w:hAnsi="Palatino Linotype"/>
          <w:bCs/>
          <w:i/>
          <w:iCs/>
          <w:sz w:val="20"/>
          <w:szCs w:val="20"/>
        </w:rPr>
      </w:pPr>
      <w:r w:rsidRPr="007161B3">
        <w:rPr>
          <w:rFonts w:ascii="Palatino Linotype" w:hAnsi="Palatino Linotype"/>
          <w:bCs/>
          <w:i/>
          <w:iCs/>
          <w:sz w:val="20"/>
          <w:szCs w:val="20"/>
        </w:rPr>
        <w:t>Toy prohibition task</w:t>
      </w:r>
    </w:p>
    <w:p w14:paraId="25009E9E" w14:textId="04C90C9C" w:rsidR="00783B01" w:rsidRPr="006A699D" w:rsidRDefault="004A0B59" w:rsidP="006A699D">
      <w:pPr>
        <w:pStyle w:val="MDPI31text"/>
        <w:ind w:left="0" w:firstLine="567"/>
      </w:pPr>
      <w:r w:rsidRPr="000521B5">
        <w:t>An attractive toy (a glitter wand with flashing-colored lights) that was previously out of sight, was grabbed and presented by the experimenter directing infant’s attention towards it. Next, the experimenter turned on the lights of the glitter wand, holding it centrally in front of the infant but keeping it out of infant’s reach, while saying “</w:t>
      </w:r>
      <w:r w:rsidRPr="007E4A85">
        <w:rPr>
          <w:i/>
          <w:iCs/>
        </w:rPr>
        <w:t>[Infant’s name] don’t touch it. No</w:t>
      </w:r>
      <w:r w:rsidRPr="000521B5">
        <w:t>”. Immediately after the instruction was delivered, the experimenter left the toy on the table in front of the infant within a reachable distance, turning his/her head to the side in order to look away from the infant. The glitter wand was left over a piece of slightly sticky material to avoid the glitter want to roll towards the infant. If the infant did not touch the glitter wand after 30 seconds, the experimenter encouraged the infant saying “</w:t>
      </w:r>
      <w:r w:rsidRPr="007E4A85">
        <w:rPr>
          <w:i/>
          <w:iCs/>
        </w:rPr>
        <w:t>It’s okay, you can touch it now</w:t>
      </w:r>
      <w:r w:rsidRPr="000521B5">
        <w:t>”, “</w:t>
      </w:r>
      <w:r w:rsidRPr="007E4A85">
        <w:rPr>
          <w:i/>
          <w:iCs/>
        </w:rPr>
        <w:t>You can touch it (pointing at the toy)</w:t>
      </w:r>
      <w:r w:rsidRPr="000521B5">
        <w:t>” after 35 seconds and finally “</w:t>
      </w:r>
      <w:r w:rsidRPr="007E4A85">
        <w:rPr>
          <w:i/>
          <w:iCs/>
        </w:rPr>
        <w:t>Let’s see what happens when we touch it</w:t>
      </w:r>
      <w:r w:rsidRPr="000521B5">
        <w:t>” after 40 seconds. The task was ended if the infant did not touch it after 45 seconds.</w:t>
      </w:r>
    </w:p>
    <w:p w14:paraId="2AB2035F" w14:textId="77777777" w:rsidR="00B152A0" w:rsidRPr="007161B3" w:rsidRDefault="00B152A0" w:rsidP="00B152A0">
      <w:pPr>
        <w:rPr>
          <w:rFonts w:ascii="Palatino Linotype" w:hAnsi="Palatino Linotype"/>
          <w:sz w:val="20"/>
          <w:szCs w:val="18"/>
        </w:rPr>
      </w:pPr>
    </w:p>
    <w:sectPr w:rsidR="00B152A0" w:rsidRPr="007161B3" w:rsidSect="006F70D8">
      <w:footerReference w:type="default" r:id="rId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AD806" w14:textId="77777777" w:rsidR="00E76510" w:rsidRDefault="00E76510" w:rsidP="00117666">
      <w:pPr>
        <w:spacing w:after="0"/>
      </w:pPr>
      <w:r>
        <w:separator/>
      </w:r>
    </w:p>
  </w:endnote>
  <w:endnote w:type="continuationSeparator" w:id="0">
    <w:p w14:paraId="65063E70" w14:textId="77777777" w:rsidR="00E76510" w:rsidRDefault="00E76510" w:rsidP="001176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1838109"/>
      <w:docPartObj>
        <w:docPartGallery w:val="Page Numbers (Bottom of Page)"/>
        <w:docPartUnique/>
      </w:docPartObj>
    </w:sdtPr>
    <w:sdtEndPr/>
    <w:sdtContent>
      <w:p w14:paraId="2027A784" w14:textId="5A129609" w:rsidR="00257B6C" w:rsidRDefault="00257B6C">
        <w:pPr>
          <w:pStyle w:val="Footer"/>
          <w:jc w:val="right"/>
        </w:pPr>
        <w:r>
          <w:fldChar w:fldCharType="begin"/>
        </w:r>
        <w:r>
          <w:instrText>PAGE   \* MERGEFORMAT</w:instrText>
        </w:r>
        <w:r>
          <w:fldChar w:fldCharType="separate"/>
        </w:r>
        <w:r>
          <w:rPr>
            <w:lang w:val="es-ES"/>
          </w:rPr>
          <w:t>2</w:t>
        </w:r>
        <w:r>
          <w:fldChar w:fldCharType="end"/>
        </w:r>
      </w:p>
    </w:sdtContent>
  </w:sdt>
  <w:p w14:paraId="5EFCE2D9" w14:textId="77777777" w:rsidR="00257B6C" w:rsidRDefault="00257B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4A492" w14:textId="77777777" w:rsidR="00E76510" w:rsidRDefault="00E76510" w:rsidP="00117666">
      <w:pPr>
        <w:spacing w:after="0"/>
      </w:pPr>
      <w:r>
        <w:separator/>
      </w:r>
    </w:p>
  </w:footnote>
  <w:footnote w:type="continuationSeparator" w:id="0">
    <w:p w14:paraId="2C63AEBB" w14:textId="77777777" w:rsidR="00E76510" w:rsidRDefault="00E76510" w:rsidP="0011766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B7666"/>
    <w:multiLevelType w:val="multilevel"/>
    <w:tmpl w:val="44328928"/>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ascii="Times New Roman" w:hAnsi="Times New Roman" w:hint="default"/>
        <w:b/>
        <w:i w:val="0"/>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EDF3AB7"/>
    <w:multiLevelType w:val="hybridMultilevel"/>
    <w:tmpl w:val="8E5CD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8A03CD"/>
    <w:multiLevelType w:val="multilevel"/>
    <w:tmpl w:val="ADB20CA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EC0601A"/>
    <w:multiLevelType w:val="multilevel"/>
    <w:tmpl w:val="C6A8CCEA"/>
    <w:styleLink w:val="Headings"/>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pStyle w:val="Heading3"/>
      <w:lvlText w:val="%1.%2.%3"/>
      <w:lvlJc w:val="left"/>
      <w:pPr>
        <w:tabs>
          <w:tab w:val="num" w:pos="567"/>
        </w:tabs>
        <w:ind w:left="567" w:hanging="567"/>
      </w:pPr>
      <w:rPr>
        <w:rFonts w:hint="default"/>
      </w:rPr>
    </w:lvl>
    <w:lvl w:ilvl="3">
      <w:start w:val="1"/>
      <w:numFmt w:val="decimal"/>
      <w:pStyle w:val="Heading4"/>
      <w:lvlText w:val="%1.%2.%3.%4"/>
      <w:lvlJc w:val="left"/>
      <w:pPr>
        <w:tabs>
          <w:tab w:val="num" w:pos="567"/>
        </w:tabs>
        <w:ind w:left="567" w:hanging="567"/>
      </w:pPr>
      <w:rPr>
        <w:rFonts w:hint="default"/>
      </w:rPr>
    </w:lvl>
    <w:lvl w:ilvl="4">
      <w:start w:val="1"/>
      <w:numFmt w:val="decimal"/>
      <w:pStyle w:val="Heading5"/>
      <w:lvlText w:val="%1.%2.%3.%4.%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abstractNum w:abstractNumId="4" w15:restartNumberingAfterBreak="0">
    <w:nsid w:val="225305B5"/>
    <w:multiLevelType w:val="hybridMultilevel"/>
    <w:tmpl w:val="4F8C24FA"/>
    <w:lvl w:ilvl="0" w:tplc="A9DCD718">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99A228A"/>
    <w:multiLevelType w:val="multilevel"/>
    <w:tmpl w:val="70F49EB6"/>
    <w:lvl w:ilvl="0">
      <w:start w:val="3"/>
      <w:numFmt w:val="decimal"/>
      <w:lvlText w:val="%1."/>
      <w:lvlJc w:val="left"/>
      <w:pPr>
        <w:ind w:left="360" w:hanging="360"/>
      </w:pPr>
      <w:rPr>
        <w:rFonts w:hint="default"/>
        <w:b/>
        <w:bCs/>
        <w:i w:val="0"/>
        <w:iCs/>
      </w:rPr>
    </w:lvl>
    <w:lvl w:ilvl="1">
      <w:start w:val="1"/>
      <w:numFmt w:val="decimal"/>
      <w:lvlText w:val="%1.%2."/>
      <w:lvlJc w:val="left"/>
      <w:pPr>
        <w:ind w:left="360" w:hanging="360"/>
      </w:pPr>
      <w:rPr>
        <w:rFonts w:hint="default"/>
        <w:b w:val="0"/>
        <w:i/>
      </w:rPr>
    </w:lvl>
    <w:lvl w:ilvl="2">
      <w:start w:val="1"/>
      <w:numFmt w:val="decimal"/>
      <w:lvlText w:val="%1.%2.%3."/>
      <w:lvlJc w:val="left"/>
      <w:pPr>
        <w:ind w:left="720" w:hanging="720"/>
      </w:pPr>
      <w:rPr>
        <w:rFonts w:hint="default"/>
        <w:b w:val="0"/>
        <w:i/>
      </w:rPr>
    </w:lvl>
    <w:lvl w:ilvl="3">
      <w:start w:val="1"/>
      <w:numFmt w:val="decimal"/>
      <w:lvlText w:val="%1.%2.%3.%4."/>
      <w:lvlJc w:val="left"/>
      <w:pPr>
        <w:ind w:left="720" w:hanging="720"/>
      </w:pPr>
      <w:rPr>
        <w:rFonts w:hint="default"/>
        <w:b w:val="0"/>
        <w:i/>
      </w:rPr>
    </w:lvl>
    <w:lvl w:ilvl="4">
      <w:start w:val="1"/>
      <w:numFmt w:val="decimal"/>
      <w:lvlText w:val="%1.%2.%3.%4.%5."/>
      <w:lvlJc w:val="left"/>
      <w:pPr>
        <w:ind w:left="1080" w:hanging="1080"/>
      </w:pPr>
      <w:rPr>
        <w:rFonts w:hint="default"/>
        <w:b w:val="0"/>
        <w:i/>
      </w:rPr>
    </w:lvl>
    <w:lvl w:ilvl="5">
      <w:start w:val="1"/>
      <w:numFmt w:val="decimal"/>
      <w:lvlText w:val="%1.%2.%3.%4.%5.%6."/>
      <w:lvlJc w:val="left"/>
      <w:pPr>
        <w:ind w:left="1080" w:hanging="1080"/>
      </w:pPr>
      <w:rPr>
        <w:rFonts w:hint="default"/>
        <w:b w:val="0"/>
        <w:i/>
      </w:rPr>
    </w:lvl>
    <w:lvl w:ilvl="6">
      <w:start w:val="1"/>
      <w:numFmt w:val="decimal"/>
      <w:lvlText w:val="%1.%2.%3.%4.%5.%6.%7."/>
      <w:lvlJc w:val="left"/>
      <w:pPr>
        <w:ind w:left="1440" w:hanging="1440"/>
      </w:pPr>
      <w:rPr>
        <w:rFonts w:hint="default"/>
        <w:b w:val="0"/>
        <w:i/>
      </w:rPr>
    </w:lvl>
    <w:lvl w:ilvl="7">
      <w:start w:val="1"/>
      <w:numFmt w:val="decimal"/>
      <w:lvlText w:val="%1.%2.%3.%4.%5.%6.%7.%8."/>
      <w:lvlJc w:val="left"/>
      <w:pPr>
        <w:ind w:left="1440" w:hanging="1440"/>
      </w:pPr>
      <w:rPr>
        <w:rFonts w:hint="default"/>
        <w:b w:val="0"/>
        <w:i/>
      </w:rPr>
    </w:lvl>
    <w:lvl w:ilvl="8">
      <w:start w:val="1"/>
      <w:numFmt w:val="decimal"/>
      <w:lvlText w:val="%1.%2.%3.%4.%5.%6.%7.%8.%9."/>
      <w:lvlJc w:val="left"/>
      <w:pPr>
        <w:ind w:left="1800" w:hanging="1800"/>
      </w:pPr>
      <w:rPr>
        <w:rFonts w:hint="default"/>
        <w:b w:val="0"/>
        <w:i/>
      </w:rPr>
    </w:lvl>
  </w:abstractNum>
  <w:abstractNum w:abstractNumId="6" w15:restartNumberingAfterBreak="0">
    <w:nsid w:val="302A7CAC"/>
    <w:multiLevelType w:val="multilevel"/>
    <w:tmpl w:val="C6A8CCEA"/>
    <w:numStyleLink w:val="Headings"/>
  </w:abstractNum>
  <w:abstractNum w:abstractNumId="7" w15:restartNumberingAfterBreak="0">
    <w:nsid w:val="36D30736"/>
    <w:multiLevelType w:val="hybridMultilevel"/>
    <w:tmpl w:val="BC1E7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17787E"/>
    <w:multiLevelType w:val="multilevel"/>
    <w:tmpl w:val="ADB20CA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AE92CDE"/>
    <w:multiLevelType w:val="hybridMultilevel"/>
    <w:tmpl w:val="294E0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1539C0"/>
    <w:multiLevelType w:val="hybridMultilevel"/>
    <w:tmpl w:val="675E0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8E502C"/>
    <w:multiLevelType w:val="hybridMultilevel"/>
    <w:tmpl w:val="C2165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216449"/>
    <w:multiLevelType w:val="hybridMultilevel"/>
    <w:tmpl w:val="60E244E0"/>
    <w:lvl w:ilvl="0" w:tplc="BB925A6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5D6630B"/>
    <w:multiLevelType w:val="hybridMultilevel"/>
    <w:tmpl w:val="E1DEB6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8C5743B"/>
    <w:multiLevelType w:val="multilevel"/>
    <w:tmpl w:val="ED2AFF6A"/>
    <w:styleLink w:val="Estilo1"/>
    <w:lvl w:ilvl="0">
      <w:start w:val="1"/>
      <w:numFmt w:val="decimal"/>
      <w:lvlText w:val="%1."/>
      <w:lvlJc w:val="left"/>
      <w:pPr>
        <w:ind w:left="360" w:hanging="76"/>
      </w:pPr>
      <w:rPr>
        <w:rFonts w:hint="default"/>
      </w:rPr>
    </w:lvl>
    <w:lvl w:ilvl="1">
      <w:start w:val="1"/>
      <w:numFmt w:val="decimal"/>
      <w:lvlText w:val="%1.%2."/>
      <w:lvlJc w:val="left"/>
      <w:pPr>
        <w:ind w:left="792" w:hanging="168"/>
      </w:pPr>
      <w:rPr>
        <w:rFonts w:hint="default"/>
      </w:rPr>
    </w:lvl>
    <w:lvl w:ilvl="2">
      <w:start w:val="1"/>
      <w:numFmt w:val="decimal"/>
      <w:lvlText w:val="%1.%2.%3."/>
      <w:lvlJc w:val="left"/>
      <w:pPr>
        <w:ind w:left="1224" w:hanging="33"/>
      </w:pPr>
      <w:rPr>
        <w:rFonts w:hint="default"/>
      </w:rPr>
    </w:lvl>
    <w:lvl w:ilvl="3">
      <w:start w:val="1"/>
      <w:numFmt w:val="decimal"/>
      <w:lvlText w:val="%1.%2.%3.%4."/>
      <w:lvlJc w:val="left"/>
      <w:pPr>
        <w:ind w:left="1728" w:firstLine="313"/>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D8113DE"/>
    <w:multiLevelType w:val="multilevel"/>
    <w:tmpl w:val="ADB20CA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49F1D82"/>
    <w:multiLevelType w:val="hybridMultilevel"/>
    <w:tmpl w:val="734A7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1236D4"/>
    <w:multiLevelType w:val="multilevel"/>
    <w:tmpl w:val="56FA13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63C13BE"/>
    <w:multiLevelType w:val="multilevel"/>
    <w:tmpl w:val="B642967A"/>
    <w:lvl w:ilvl="0">
      <w:start w:val="3"/>
      <w:numFmt w:val="decimal"/>
      <w:lvlText w:val="%1."/>
      <w:lvlJc w:val="left"/>
      <w:pPr>
        <w:ind w:left="360" w:hanging="360"/>
      </w:pPr>
      <w:rPr>
        <w:rFonts w:ascii="Times New Roman" w:hAnsi="Times New Roman" w:cs="Times New Roman" w:hint="default"/>
        <w:b/>
        <w:bCs w:val="0"/>
        <w:i w:val="0"/>
        <w:iCs w:val="0"/>
        <w:sz w:val="24"/>
        <w:szCs w:val="24"/>
      </w:rPr>
    </w:lvl>
    <w:lvl w:ilvl="1">
      <w:start w:val="1"/>
      <w:numFmt w:val="decimal"/>
      <w:lvlText w:val="%1.%2."/>
      <w:lvlJc w:val="left"/>
      <w:pPr>
        <w:ind w:left="792" w:hanging="432"/>
      </w:pPr>
      <w:rPr>
        <w:rFonts w:ascii="Times New Roman" w:hAnsi="Times New Roman" w:cs="Times New Roman" w:hint="default"/>
        <w:b w:val="0"/>
        <w:bCs/>
        <w:i/>
        <w:iCs/>
      </w:rPr>
    </w:lvl>
    <w:lvl w:ilvl="2">
      <w:start w:val="1"/>
      <w:numFmt w:val="decimal"/>
      <w:lvlText w:val="%1.%2.%3."/>
      <w:lvlJc w:val="left"/>
      <w:pPr>
        <w:ind w:left="1224" w:hanging="504"/>
      </w:pPr>
      <w:rPr>
        <w:rFonts w:hint="default"/>
        <w:b w:val="0"/>
        <w:bCs/>
        <w:i/>
        <w:iCs/>
      </w:rPr>
    </w:lvl>
    <w:lvl w:ilvl="3">
      <w:start w:val="1"/>
      <w:numFmt w:val="decimal"/>
      <w:lvlText w:val="%1.%2.%3.%4."/>
      <w:lvlJc w:val="left"/>
      <w:pPr>
        <w:ind w:left="1728" w:hanging="648"/>
      </w:pPr>
      <w:rPr>
        <w:rFonts w:hint="default"/>
        <w:b w:val="0"/>
        <w:bCs/>
        <w:i/>
        <w:i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2290D83"/>
    <w:multiLevelType w:val="hybridMultilevel"/>
    <w:tmpl w:val="D1E4BA92"/>
    <w:lvl w:ilvl="0" w:tplc="E9807BE6">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683E6C4F"/>
    <w:multiLevelType w:val="hybridMultilevel"/>
    <w:tmpl w:val="E39A3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DBC6F29"/>
    <w:multiLevelType w:val="multilevel"/>
    <w:tmpl w:val="C6A8CCEA"/>
    <w:numStyleLink w:val="Headings"/>
  </w:abstractNum>
  <w:abstractNum w:abstractNumId="22" w15:restartNumberingAfterBreak="0">
    <w:nsid w:val="7ECA4DDE"/>
    <w:multiLevelType w:val="multilevel"/>
    <w:tmpl w:val="B642967A"/>
    <w:lvl w:ilvl="0">
      <w:start w:val="3"/>
      <w:numFmt w:val="decimal"/>
      <w:lvlText w:val="%1."/>
      <w:lvlJc w:val="left"/>
      <w:pPr>
        <w:ind w:left="360" w:hanging="360"/>
      </w:pPr>
      <w:rPr>
        <w:rFonts w:ascii="Times New Roman" w:hAnsi="Times New Roman" w:cs="Times New Roman" w:hint="default"/>
        <w:b/>
        <w:bCs w:val="0"/>
        <w:i w:val="0"/>
        <w:iCs w:val="0"/>
        <w:sz w:val="24"/>
        <w:szCs w:val="24"/>
      </w:rPr>
    </w:lvl>
    <w:lvl w:ilvl="1">
      <w:start w:val="1"/>
      <w:numFmt w:val="decimal"/>
      <w:lvlText w:val="%1.%2."/>
      <w:lvlJc w:val="left"/>
      <w:pPr>
        <w:ind w:left="792" w:hanging="432"/>
      </w:pPr>
      <w:rPr>
        <w:rFonts w:ascii="Times New Roman" w:hAnsi="Times New Roman" w:cs="Times New Roman" w:hint="default"/>
        <w:b w:val="0"/>
        <w:bCs/>
        <w:i/>
        <w:iCs/>
      </w:rPr>
    </w:lvl>
    <w:lvl w:ilvl="2">
      <w:start w:val="1"/>
      <w:numFmt w:val="decimal"/>
      <w:lvlText w:val="%1.%2.%3."/>
      <w:lvlJc w:val="left"/>
      <w:pPr>
        <w:ind w:left="1224" w:hanging="504"/>
      </w:pPr>
      <w:rPr>
        <w:rFonts w:hint="default"/>
        <w:b w:val="0"/>
        <w:bCs/>
        <w:i/>
        <w:iCs/>
      </w:rPr>
    </w:lvl>
    <w:lvl w:ilvl="3">
      <w:start w:val="1"/>
      <w:numFmt w:val="decimal"/>
      <w:lvlText w:val="%1.%2.%3.%4."/>
      <w:lvlJc w:val="left"/>
      <w:pPr>
        <w:ind w:left="1728" w:hanging="648"/>
      </w:pPr>
      <w:rPr>
        <w:rFonts w:hint="default"/>
        <w:b w:val="0"/>
        <w:bCs/>
        <w:i/>
        <w:i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F983756"/>
    <w:multiLevelType w:val="multilevel"/>
    <w:tmpl w:val="F300CEF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439983391">
    <w:abstractNumId w:val="0"/>
  </w:num>
  <w:num w:numId="2" w16cid:durableId="97801890">
    <w:abstractNumId w:val="16"/>
  </w:num>
  <w:num w:numId="3" w16cid:durableId="2025865564">
    <w:abstractNumId w:val="1"/>
  </w:num>
  <w:num w:numId="4" w16cid:durableId="918950598">
    <w:abstractNumId w:val="20"/>
  </w:num>
  <w:num w:numId="5" w16cid:durableId="9014803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79811073">
    <w:abstractNumId w:val="11"/>
  </w:num>
  <w:num w:numId="7" w16cid:durableId="1125200796">
    <w:abstractNumId w:val="9"/>
  </w:num>
  <w:num w:numId="8" w16cid:durableId="439574469">
    <w:abstractNumId w:val="7"/>
  </w:num>
  <w:num w:numId="9" w16cid:durableId="440731720">
    <w:abstractNumId w:val="10"/>
  </w:num>
  <w:num w:numId="10" w16cid:durableId="731543333">
    <w:abstractNumId w:val="8"/>
  </w:num>
  <w:num w:numId="11" w16cid:durableId="1049763766">
    <w:abstractNumId w:val="2"/>
  </w:num>
  <w:num w:numId="12" w16cid:durableId="1800997035">
    <w:abstractNumId w:val="23"/>
  </w:num>
  <w:num w:numId="13" w16cid:durableId="1854145348">
    <w:abstractNumId w:val="15"/>
  </w:num>
  <w:num w:numId="14" w16cid:durableId="1524436689">
    <w:abstractNumId w:val="4"/>
  </w:num>
  <w:num w:numId="15" w16cid:durableId="376703295">
    <w:abstractNumId w:val="12"/>
  </w:num>
  <w:num w:numId="16" w16cid:durableId="600843308">
    <w:abstractNumId w:val="19"/>
  </w:num>
  <w:num w:numId="17" w16cid:durableId="1745369434">
    <w:abstractNumId w:val="3"/>
    <w:lvlOverride w:ilvl="0">
      <w:lvl w:ilvl="0">
        <w:start w:val="1"/>
        <w:numFmt w:val="decimal"/>
        <w:pStyle w:val="Heading1"/>
        <w:lvlText w:val="%1"/>
        <w:lvlJc w:val="left"/>
        <w:pPr>
          <w:tabs>
            <w:tab w:val="num" w:pos="567"/>
          </w:tabs>
          <w:ind w:left="567" w:hanging="567"/>
        </w:pPr>
        <w:rPr>
          <w:rFonts w:hint="default"/>
        </w:rPr>
      </w:lvl>
    </w:lvlOverride>
    <w:lvlOverride w:ilvl="1">
      <w:lvl w:ilvl="1">
        <w:start w:val="1"/>
        <w:numFmt w:val="decimal"/>
        <w:pStyle w:val="Heading2"/>
        <w:lvlText w:val="%1.%2"/>
        <w:lvlJc w:val="left"/>
        <w:pPr>
          <w:tabs>
            <w:tab w:val="num" w:pos="567"/>
          </w:tabs>
          <w:ind w:left="567" w:hanging="567"/>
        </w:pPr>
        <w:rPr>
          <w:rFonts w:hint="default"/>
        </w:rPr>
      </w:lvl>
    </w:lvlOverride>
  </w:num>
  <w:num w:numId="18" w16cid:durableId="3117625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47159774">
    <w:abstractNumId w:val="6"/>
  </w:num>
  <w:num w:numId="20" w16cid:durableId="555749819">
    <w:abstractNumId w:val="21"/>
  </w:num>
  <w:num w:numId="21" w16cid:durableId="484735926">
    <w:abstractNumId w:val="3"/>
  </w:num>
  <w:num w:numId="22" w16cid:durableId="1100100841">
    <w:abstractNumId w:val="3"/>
    <w:lvlOverride w:ilvl="0">
      <w:startOverride w:val="1"/>
      <w:lvl w:ilvl="0">
        <w:start w:val="1"/>
        <w:numFmt w:val="decimal"/>
        <w:pStyle w:val="Heading1"/>
        <w:lvlText w:val="%1"/>
        <w:lvlJc w:val="left"/>
        <w:pPr>
          <w:tabs>
            <w:tab w:val="num" w:pos="567"/>
          </w:tabs>
          <w:ind w:left="567" w:hanging="567"/>
        </w:pPr>
      </w:lvl>
    </w:lvlOverride>
    <w:lvlOverride w:ilvl="1">
      <w:startOverride w:val="1"/>
      <w:lvl w:ilvl="1">
        <w:start w:val="1"/>
        <w:numFmt w:val="decimal"/>
        <w:pStyle w:val="Heading2"/>
        <w:lvlText w:val="%1.%2"/>
        <w:lvlJc w:val="left"/>
        <w:pPr>
          <w:tabs>
            <w:tab w:val="num" w:pos="567"/>
          </w:tabs>
          <w:ind w:left="567" w:hanging="567"/>
        </w:pPr>
      </w:lvl>
    </w:lvlOverride>
    <w:lvlOverride w:ilvl="2">
      <w:startOverride w:val="1"/>
      <w:lvl w:ilvl="2">
        <w:start w:val="1"/>
        <w:numFmt w:val="decimal"/>
        <w:pStyle w:val="Heading3"/>
        <w:lvlText w:val=""/>
        <w:lvlJc w:val="left"/>
      </w:lvl>
    </w:lvlOverride>
    <w:lvlOverride w:ilvl="3">
      <w:startOverride w:val="1"/>
      <w:lvl w:ilvl="3">
        <w:start w:val="1"/>
        <w:numFmt w:val="decimal"/>
        <w:pStyle w:val="Heading4"/>
        <w:lvlText w:val=""/>
        <w:lvlJc w:val="left"/>
      </w:lvl>
    </w:lvlOverride>
    <w:lvlOverride w:ilvl="4">
      <w:startOverride w:val="1"/>
      <w:lvl w:ilvl="4">
        <w:start w:val="1"/>
        <w:numFmt w:val="decimal"/>
        <w:pStyle w:val="Heading5"/>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3" w16cid:durableId="1132868239">
    <w:abstractNumId w:val="14"/>
  </w:num>
  <w:num w:numId="24" w16cid:durableId="382020269">
    <w:abstractNumId w:val="5"/>
  </w:num>
  <w:num w:numId="25" w16cid:durableId="58796963">
    <w:abstractNumId w:val="18"/>
  </w:num>
  <w:num w:numId="26" w16cid:durableId="490296961">
    <w:abstractNumId w:val="13"/>
  </w:num>
  <w:num w:numId="27" w16cid:durableId="285359194">
    <w:abstractNumId w:val="22"/>
  </w:num>
  <w:num w:numId="28" w16cid:durableId="7884026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821"/>
    <w:rsid w:val="00005D29"/>
    <w:rsid w:val="00010398"/>
    <w:rsid w:val="000168C1"/>
    <w:rsid w:val="00034304"/>
    <w:rsid w:val="00035434"/>
    <w:rsid w:val="0004555F"/>
    <w:rsid w:val="00045678"/>
    <w:rsid w:val="000458E4"/>
    <w:rsid w:val="00054562"/>
    <w:rsid w:val="0005677D"/>
    <w:rsid w:val="00063D84"/>
    <w:rsid w:val="0006636D"/>
    <w:rsid w:val="00077D53"/>
    <w:rsid w:val="00081394"/>
    <w:rsid w:val="000873BF"/>
    <w:rsid w:val="00091CA1"/>
    <w:rsid w:val="00097F7C"/>
    <w:rsid w:val="000A0E60"/>
    <w:rsid w:val="000B34BD"/>
    <w:rsid w:val="000C2311"/>
    <w:rsid w:val="000C3230"/>
    <w:rsid w:val="000C7E2A"/>
    <w:rsid w:val="000E12EA"/>
    <w:rsid w:val="000F3257"/>
    <w:rsid w:val="000F4CFB"/>
    <w:rsid w:val="00101E86"/>
    <w:rsid w:val="00113919"/>
    <w:rsid w:val="00115A49"/>
    <w:rsid w:val="001165F9"/>
    <w:rsid w:val="00117666"/>
    <w:rsid w:val="00121FC0"/>
    <w:rsid w:val="001223A7"/>
    <w:rsid w:val="0012329B"/>
    <w:rsid w:val="00134256"/>
    <w:rsid w:val="001417F1"/>
    <w:rsid w:val="00147395"/>
    <w:rsid w:val="001552C9"/>
    <w:rsid w:val="0016321C"/>
    <w:rsid w:val="00165152"/>
    <w:rsid w:val="00174847"/>
    <w:rsid w:val="00176FDC"/>
    <w:rsid w:val="00177D84"/>
    <w:rsid w:val="00183486"/>
    <w:rsid w:val="001964EF"/>
    <w:rsid w:val="001B1A2C"/>
    <w:rsid w:val="001B6F65"/>
    <w:rsid w:val="001D5C23"/>
    <w:rsid w:val="001F4C07"/>
    <w:rsid w:val="00201042"/>
    <w:rsid w:val="00217539"/>
    <w:rsid w:val="00220AEA"/>
    <w:rsid w:val="00226954"/>
    <w:rsid w:val="0022741F"/>
    <w:rsid w:val="0023303D"/>
    <w:rsid w:val="00245B06"/>
    <w:rsid w:val="002509B0"/>
    <w:rsid w:val="0025611B"/>
    <w:rsid w:val="00257B6C"/>
    <w:rsid w:val="002629A3"/>
    <w:rsid w:val="00265660"/>
    <w:rsid w:val="00266DFF"/>
    <w:rsid w:val="00267D18"/>
    <w:rsid w:val="00275024"/>
    <w:rsid w:val="002767A0"/>
    <w:rsid w:val="00280D1A"/>
    <w:rsid w:val="00284B27"/>
    <w:rsid w:val="002868E2"/>
    <w:rsid w:val="002869C3"/>
    <w:rsid w:val="002923C0"/>
    <w:rsid w:val="002936E4"/>
    <w:rsid w:val="00296B88"/>
    <w:rsid w:val="002A2BF9"/>
    <w:rsid w:val="002A457F"/>
    <w:rsid w:val="002A4698"/>
    <w:rsid w:val="002C0459"/>
    <w:rsid w:val="002C74CA"/>
    <w:rsid w:val="002E511C"/>
    <w:rsid w:val="002F744D"/>
    <w:rsid w:val="00303DE6"/>
    <w:rsid w:val="00310124"/>
    <w:rsid w:val="00316DB2"/>
    <w:rsid w:val="003253A4"/>
    <w:rsid w:val="00327762"/>
    <w:rsid w:val="0033670A"/>
    <w:rsid w:val="003544FB"/>
    <w:rsid w:val="003569E0"/>
    <w:rsid w:val="00363CE2"/>
    <w:rsid w:val="0036483E"/>
    <w:rsid w:val="00365D63"/>
    <w:rsid w:val="0036793B"/>
    <w:rsid w:val="00372682"/>
    <w:rsid w:val="00376C32"/>
    <w:rsid w:val="00376CC5"/>
    <w:rsid w:val="003775D4"/>
    <w:rsid w:val="0039693B"/>
    <w:rsid w:val="003A2D91"/>
    <w:rsid w:val="003B48EB"/>
    <w:rsid w:val="003D2F2D"/>
    <w:rsid w:val="003D5B71"/>
    <w:rsid w:val="003E5D73"/>
    <w:rsid w:val="003F793D"/>
    <w:rsid w:val="00401590"/>
    <w:rsid w:val="0041362C"/>
    <w:rsid w:val="00415407"/>
    <w:rsid w:val="00422C94"/>
    <w:rsid w:val="00423E6C"/>
    <w:rsid w:val="004533B3"/>
    <w:rsid w:val="00463E3D"/>
    <w:rsid w:val="004645AE"/>
    <w:rsid w:val="0048289C"/>
    <w:rsid w:val="004A0B59"/>
    <w:rsid w:val="004B00DB"/>
    <w:rsid w:val="004B7970"/>
    <w:rsid w:val="004C11B7"/>
    <w:rsid w:val="004D052C"/>
    <w:rsid w:val="004D3136"/>
    <w:rsid w:val="004D3E33"/>
    <w:rsid w:val="004E0697"/>
    <w:rsid w:val="004E15D3"/>
    <w:rsid w:val="004E72D1"/>
    <w:rsid w:val="00506918"/>
    <w:rsid w:val="005250F2"/>
    <w:rsid w:val="005313F9"/>
    <w:rsid w:val="0053779E"/>
    <w:rsid w:val="0054165E"/>
    <w:rsid w:val="00561C8E"/>
    <w:rsid w:val="005971C4"/>
    <w:rsid w:val="005A12AB"/>
    <w:rsid w:val="005A1D84"/>
    <w:rsid w:val="005A70EA"/>
    <w:rsid w:val="005B5462"/>
    <w:rsid w:val="005C3963"/>
    <w:rsid w:val="005D1840"/>
    <w:rsid w:val="005D35E4"/>
    <w:rsid w:val="005D7910"/>
    <w:rsid w:val="005E46AE"/>
    <w:rsid w:val="00603F94"/>
    <w:rsid w:val="006058C1"/>
    <w:rsid w:val="00612E99"/>
    <w:rsid w:val="0061383F"/>
    <w:rsid w:val="0062154F"/>
    <w:rsid w:val="00627BBE"/>
    <w:rsid w:val="00631A8C"/>
    <w:rsid w:val="00637800"/>
    <w:rsid w:val="00651CA2"/>
    <w:rsid w:val="00653D60"/>
    <w:rsid w:val="00660D05"/>
    <w:rsid w:val="00664C5B"/>
    <w:rsid w:val="00671D9A"/>
    <w:rsid w:val="00673952"/>
    <w:rsid w:val="00681821"/>
    <w:rsid w:val="0068618C"/>
    <w:rsid w:val="00686C9D"/>
    <w:rsid w:val="006976FA"/>
    <w:rsid w:val="006A699D"/>
    <w:rsid w:val="006B2D5B"/>
    <w:rsid w:val="006B361D"/>
    <w:rsid w:val="006B48FE"/>
    <w:rsid w:val="006B7D14"/>
    <w:rsid w:val="006C499C"/>
    <w:rsid w:val="006D26E9"/>
    <w:rsid w:val="006D5B93"/>
    <w:rsid w:val="006F3392"/>
    <w:rsid w:val="006F70D8"/>
    <w:rsid w:val="007161B3"/>
    <w:rsid w:val="007166F6"/>
    <w:rsid w:val="0072354B"/>
    <w:rsid w:val="00725A7D"/>
    <w:rsid w:val="0073085C"/>
    <w:rsid w:val="0073164B"/>
    <w:rsid w:val="00733784"/>
    <w:rsid w:val="00746505"/>
    <w:rsid w:val="007714F4"/>
    <w:rsid w:val="00772EFB"/>
    <w:rsid w:val="007766E2"/>
    <w:rsid w:val="00783B01"/>
    <w:rsid w:val="00790BB3"/>
    <w:rsid w:val="00792043"/>
    <w:rsid w:val="00797EDD"/>
    <w:rsid w:val="007B0322"/>
    <w:rsid w:val="007B7240"/>
    <w:rsid w:val="007C0E3F"/>
    <w:rsid w:val="007C206C"/>
    <w:rsid w:val="007C4DC3"/>
    <w:rsid w:val="007C5729"/>
    <w:rsid w:val="007E4A85"/>
    <w:rsid w:val="007E4D78"/>
    <w:rsid w:val="008111E4"/>
    <w:rsid w:val="0081301C"/>
    <w:rsid w:val="00817799"/>
    <w:rsid w:val="00817DD6"/>
    <w:rsid w:val="0083403A"/>
    <w:rsid w:val="008452D9"/>
    <w:rsid w:val="00861599"/>
    <w:rsid w:val="008629A9"/>
    <w:rsid w:val="00867139"/>
    <w:rsid w:val="00883274"/>
    <w:rsid w:val="0088513A"/>
    <w:rsid w:val="00893C19"/>
    <w:rsid w:val="008B1D34"/>
    <w:rsid w:val="008B1FC2"/>
    <w:rsid w:val="008D6C8D"/>
    <w:rsid w:val="008E0FB2"/>
    <w:rsid w:val="008E2B54"/>
    <w:rsid w:val="008E4404"/>
    <w:rsid w:val="008E58C7"/>
    <w:rsid w:val="008E73DA"/>
    <w:rsid w:val="008F5021"/>
    <w:rsid w:val="009267D0"/>
    <w:rsid w:val="00943573"/>
    <w:rsid w:val="009465BC"/>
    <w:rsid w:val="009515CD"/>
    <w:rsid w:val="009539F8"/>
    <w:rsid w:val="00956415"/>
    <w:rsid w:val="009671B3"/>
    <w:rsid w:val="00971B61"/>
    <w:rsid w:val="00980C31"/>
    <w:rsid w:val="00981D24"/>
    <w:rsid w:val="009955FF"/>
    <w:rsid w:val="00997293"/>
    <w:rsid w:val="009A7565"/>
    <w:rsid w:val="009A761F"/>
    <w:rsid w:val="009C2AA9"/>
    <w:rsid w:val="009D259D"/>
    <w:rsid w:val="009F0431"/>
    <w:rsid w:val="00A13C9B"/>
    <w:rsid w:val="00A244D3"/>
    <w:rsid w:val="00A24CB5"/>
    <w:rsid w:val="00A3055B"/>
    <w:rsid w:val="00A45FD3"/>
    <w:rsid w:val="00A50D9D"/>
    <w:rsid w:val="00A53000"/>
    <w:rsid w:val="00A545C6"/>
    <w:rsid w:val="00A560AB"/>
    <w:rsid w:val="00A629F5"/>
    <w:rsid w:val="00A652D0"/>
    <w:rsid w:val="00A67349"/>
    <w:rsid w:val="00A75F87"/>
    <w:rsid w:val="00A95D8B"/>
    <w:rsid w:val="00A9778D"/>
    <w:rsid w:val="00AB4521"/>
    <w:rsid w:val="00AC0270"/>
    <w:rsid w:val="00AC3EA3"/>
    <w:rsid w:val="00AC792D"/>
    <w:rsid w:val="00B073A8"/>
    <w:rsid w:val="00B152A0"/>
    <w:rsid w:val="00B174C2"/>
    <w:rsid w:val="00B4080D"/>
    <w:rsid w:val="00B457B3"/>
    <w:rsid w:val="00B51E0A"/>
    <w:rsid w:val="00B57EA7"/>
    <w:rsid w:val="00B657B8"/>
    <w:rsid w:val="00B757DF"/>
    <w:rsid w:val="00B81035"/>
    <w:rsid w:val="00B81628"/>
    <w:rsid w:val="00B82963"/>
    <w:rsid w:val="00B84920"/>
    <w:rsid w:val="00B8556A"/>
    <w:rsid w:val="00B85C03"/>
    <w:rsid w:val="00B872FD"/>
    <w:rsid w:val="00B93F3D"/>
    <w:rsid w:val="00BD32B0"/>
    <w:rsid w:val="00BE0223"/>
    <w:rsid w:val="00BE6979"/>
    <w:rsid w:val="00C012A3"/>
    <w:rsid w:val="00C02B7C"/>
    <w:rsid w:val="00C0721C"/>
    <w:rsid w:val="00C16F19"/>
    <w:rsid w:val="00C23F29"/>
    <w:rsid w:val="00C40EF5"/>
    <w:rsid w:val="00C52A7B"/>
    <w:rsid w:val="00C53740"/>
    <w:rsid w:val="00C6324C"/>
    <w:rsid w:val="00C6558D"/>
    <w:rsid w:val="00C679AA"/>
    <w:rsid w:val="00C724CF"/>
    <w:rsid w:val="00C73174"/>
    <w:rsid w:val="00C75972"/>
    <w:rsid w:val="00C82792"/>
    <w:rsid w:val="00C948FD"/>
    <w:rsid w:val="00CA146C"/>
    <w:rsid w:val="00CB024E"/>
    <w:rsid w:val="00CB43D5"/>
    <w:rsid w:val="00CB57A5"/>
    <w:rsid w:val="00CC1B24"/>
    <w:rsid w:val="00CC60F7"/>
    <w:rsid w:val="00CC76F9"/>
    <w:rsid w:val="00CD066B"/>
    <w:rsid w:val="00CD2B7F"/>
    <w:rsid w:val="00CD46E2"/>
    <w:rsid w:val="00CF3817"/>
    <w:rsid w:val="00D00D0B"/>
    <w:rsid w:val="00D040B1"/>
    <w:rsid w:val="00D04B69"/>
    <w:rsid w:val="00D07509"/>
    <w:rsid w:val="00D259BF"/>
    <w:rsid w:val="00D26F0B"/>
    <w:rsid w:val="00D349D2"/>
    <w:rsid w:val="00D40C35"/>
    <w:rsid w:val="00D459DB"/>
    <w:rsid w:val="00D537FA"/>
    <w:rsid w:val="00D5547D"/>
    <w:rsid w:val="00D80D99"/>
    <w:rsid w:val="00D82DD7"/>
    <w:rsid w:val="00D9503C"/>
    <w:rsid w:val="00DA140B"/>
    <w:rsid w:val="00DC369A"/>
    <w:rsid w:val="00DD06A7"/>
    <w:rsid w:val="00DD3961"/>
    <w:rsid w:val="00DD73EF"/>
    <w:rsid w:val="00DE23E8"/>
    <w:rsid w:val="00DF4E12"/>
    <w:rsid w:val="00E0128B"/>
    <w:rsid w:val="00E3410F"/>
    <w:rsid w:val="00E64E17"/>
    <w:rsid w:val="00E737C8"/>
    <w:rsid w:val="00E76510"/>
    <w:rsid w:val="00EA3D3C"/>
    <w:rsid w:val="00EA62AE"/>
    <w:rsid w:val="00EC18E9"/>
    <w:rsid w:val="00EC7CC3"/>
    <w:rsid w:val="00ED7911"/>
    <w:rsid w:val="00EF4B1C"/>
    <w:rsid w:val="00EF7607"/>
    <w:rsid w:val="00F01D98"/>
    <w:rsid w:val="00F40990"/>
    <w:rsid w:val="00F46494"/>
    <w:rsid w:val="00F558AB"/>
    <w:rsid w:val="00F61D89"/>
    <w:rsid w:val="00F82DF0"/>
    <w:rsid w:val="00F86ABB"/>
    <w:rsid w:val="00F87127"/>
    <w:rsid w:val="00F90D61"/>
    <w:rsid w:val="00F913B3"/>
    <w:rsid w:val="00FD7648"/>
    <w:rsid w:val="00FF3B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BA59A7"/>
  <w15:docId w15:val="{A8739828-D660-4540-8763-1F8320FEE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HAnsi" w:hAnsiTheme="maj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D99"/>
    <w:pPr>
      <w:spacing w:before="120" w:after="240" w:line="240" w:lineRule="auto"/>
    </w:pPr>
    <w:rPr>
      <w:rFonts w:ascii="Times New Roman" w:hAnsi="Times New Roman"/>
      <w:sz w:val="24"/>
    </w:rPr>
  </w:style>
  <w:style w:type="paragraph" w:styleId="Heading1">
    <w:name w:val="heading 1"/>
    <w:basedOn w:val="ListParagraph"/>
    <w:next w:val="Normal"/>
    <w:link w:val="Heading1Char"/>
    <w:uiPriority w:val="2"/>
    <w:qFormat/>
    <w:rsid w:val="00D80D99"/>
    <w:pPr>
      <w:numPr>
        <w:numId w:val="17"/>
      </w:numPr>
      <w:spacing w:before="240"/>
      <w:contextualSpacing w:val="0"/>
      <w:outlineLvl w:val="0"/>
    </w:pPr>
    <w:rPr>
      <w:b/>
    </w:rPr>
  </w:style>
  <w:style w:type="paragraph" w:styleId="Heading2">
    <w:name w:val="heading 2"/>
    <w:basedOn w:val="Heading1"/>
    <w:next w:val="Normal"/>
    <w:link w:val="Heading2Char"/>
    <w:uiPriority w:val="2"/>
    <w:qFormat/>
    <w:rsid w:val="00D80D99"/>
    <w:pPr>
      <w:numPr>
        <w:ilvl w:val="1"/>
      </w:numPr>
      <w:spacing w:after="200"/>
      <w:outlineLvl w:val="1"/>
    </w:pPr>
  </w:style>
  <w:style w:type="paragraph" w:styleId="Heading3">
    <w:name w:val="heading 3"/>
    <w:basedOn w:val="Normal"/>
    <w:next w:val="Normal"/>
    <w:link w:val="Heading3Char"/>
    <w:uiPriority w:val="2"/>
    <w:qFormat/>
    <w:rsid w:val="00D80D99"/>
    <w:pPr>
      <w:keepNext/>
      <w:keepLines/>
      <w:numPr>
        <w:ilvl w:val="2"/>
        <w:numId w:val="17"/>
      </w:numPr>
      <w:spacing w:before="40" w:after="120"/>
      <w:outlineLvl w:val="2"/>
    </w:pPr>
    <w:rPr>
      <w:rFonts w:eastAsiaTheme="majorEastAsia" w:cstheme="majorBidi"/>
      <w:b/>
      <w:szCs w:val="24"/>
    </w:rPr>
  </w:style>
  <w:style w:type="paragraph" w:styleId="Heading4">
    <w:name w:val="heading 4"/>
    <w:basedOn w:val="Heading3"/>
    <w:next w:val="Normal"/>
    <w:link w:val="Heading4Char"/>
    <w:uiPriority w:val="2"/>
    <w:qFormat/>
    <w:rsid w:val="00D80D99"/>
    <w:pPr>
      <w:numPr>
        <w:ilvl w:val="3"/>
      </w:numPr>
      <w:outlineLvl w:val="3"/>
    </w:pPr>
    <w:rPr>
      <w:iCs/>
    </w:rPr>
  </w:style>
  <w:style w:type="paragraph" w:styleId="Heading5">
    <w:name w:val="heading 5"/>
    <w:basedOn w:val="Heading4"/>
    <w:next w:val="Normal"/>
    <w:link w:val="Heading5Char"/>
    <w:uiPriority w:val="2"/>
    <w:qFormat/>
    <w:rsid w:val="00D80D99"/>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147395"/>
    <w:rPr>
      <w:rFonts w:ascii="Times New Roman" w:eastAsia="Cambria" w:hAnsi="Times New Roman" w:cs="Times New Roman"/>
      <w:b/>
      <w:sz w:val="24"/>
      <w:szCs w:val="24"/>
    </w:rPr>
  </w:style>
  <w:style w:type="character" w:customStyle="1" w:styleId="Heading2Char">
    <w:name w:val="Heading 2 Char"/>
    <w:basedOn w:val="DefaultParagraphFont"/>
    <w:link w:val="Heading2"/>
    <w:uiPriority w:val="2"/>
    <w:rsid w:val="00147395"/>
    <w:rPr>
      <w:rFonts w:ascii="Times New Roman" w:eastAsia="Cambria" w:hAnsi="Times New Roman" w:cs="Times New Roman"/>
      <w:b/>
      <w:sz w:val="24"/>
      <w:szCs w:val="24"/>
    </w:rPr>
  </w:style>
  <w:style w:type="character" w:styleId="Emphasis">
    <w:name w:val="Emphasis"/>
    <w:basedOn w:val="DefaultParagraphFont"/>
    <w:uiPriority w:val="20"/>
    <w:qFormat/>
    <w:rsid w:val="00C724CF"/>
    <w:rPr>
      <w:rFonts w:ascii="Times New Roman" w:hAnsi="Times New Roman"/>
      <w:i/>
      <w:iCs/>
    </w:rPr>
  </w:style>
  <w:style w:type="paragraph" w:styleId="ListParagraph">
    <w:name w:val="List Paragraph"/>
    <w:basedOn w:val="Normal"/>
    <w:uiPriority w:val="34"/>
    <w:qFormat/>
    <w:rsid w:val="00310124"/>
    <w:pPr>
      <w:numPr>
        <w:numId w:val="14"/>
      </w:numPr>
      <w:ind w:left="1434" w:hanging="357"/>
      <w:contextualSpacing/>
    </w:pPr>
    <w:rPr>
      <w:rFonts w:eastAsia="Cambria" w:cs="Times New Roman"/>
      <w:szCs w:val="24"/>
    </w:rPr>
  </w:style>
  <w:style w:type="character" w:styleId="Strong">
    <w:name w:val="Strong"/>
    <w:basedOn w:val="DefaultParagraphFont"/>
    <w:uiPriority w:val="22"/>
    <w:qFormat/>
    <w:rsid w:val="00C724CF"/>
    <w:rPr>
      <w:rFonts w:ascii="Times New Roman" w:hAnsi="Times New Roman"/>
      <w:b/>
      <w:bCs/>
    </w:rPr>
  </w:style>
  <w:style w:type="paragraph" w:styleId="NormalWeb">
    <w:name w:val="Normal (Web)"/>
    <w:basedOn w:val="Normal"/>
    <w:uiPriority w:val="99"/>
    <w:unhideWhenUsed/>
    <w:rsid w:val="00117666"/>
    <w:pPr>
      <w:spacing w:before="100" w:beforeAutospacing="1" w:after="100" w:afterAutospacing="1"/>
    </w:pPr>
    <w:rPr>
      <w:rFonts w:eastAsia="Times New Roman" w:cs="Times New Roman"/>
      <w:szCs w:val="24"/>
    </w:rPr>
  </w:style>
  <w:style w:type="paragraph" w:styleId="Header">
    <w:name w:val="header"/>
    <w:basedOn w:val="Normal"/>
    <w:link w:val="HeaderChar"/>
    <w:uiPriority w:val="99"/>
    <w:unhideWhenUsed/>
    <w:rsid w:val="00A53000"/>
    <w:pPr>
      <w:tabs>
        <w:tab w:val="center" w:pos="4844"/>
        <w:tab w:val="right" w:pos="9689"/>
      </w:tabs>
    </w:pPr>
    <w:rPr>
      <w:b/>
    </w:rPr>
  </w:style>
  <w:style w:type="character" w:customStyle="1" w:styleId="HeaderChar">
    <w:name w:val="Header Char"/>
    <w:basedOn w:val="DefaultParagraphFont"/>
    <w:link w:val="Header"/>
    <w:uiPriority w:val="99"/>
    <w:rsid w:val="00A53000"/>
    <w:rPr>
      <w:rFonts w:ascii="Times New Roman" w:hAnsi="Times New Roman"/>
      <w:b/>
      <w:sz w:val="24"/>
    </w:rPr>
  </w:style>
  <w:style w:type="paragraph" w:styleId="Footer">
    <w:name w:val="footer"/>
    <w:basedOn w:val="Normal"/>
    <w:link w:val="FooterChar"/>
    <w:uiPriority w:val="99"/>
    <w:unhideWhenUsed/>
    <w:rsid w:val="00117666"/>
    <w:pPr>
      <w:tabs>
        <w:tab w:val="center" w:pos="4844"/>
        <w:tab w:val="right" w:pos="9689"/>
      </w:tabs>
      <w:spacing w:after="0"/>
    </w:pPr>
  </w:style>
  <w:style w:type="character" w:customStyle="1" w:styleId="FooterChar">
    <w:name w:val="Footer Char"/>
    <w:basedOn w:val="DefaultParagraphFont"/>
    <w:link w:val="Footer"/>
    <w:uiPriority w:val="99"/>
    <w:rsid w:val="00117666"/>
  </w:style>
  <w:style w:type="table" w:styleId="TableGrid">
    <w:name w:val="Table Grid"/>
    <w:basedOn w:val="TableNormal"/>
    <w:uiPriority w:val="39"/>
    <w:rsid w:val="001176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17666"/>
    <w:pPr>
      <w:spacing w:after="0"/>
    </w:pPr>
    <w:rPr>
      <w:sz w:val="20"/>
      <w:szCs w:val="20"/>
    </w:rPr>
  </w:style>
  <w:style w:type="character" w:customStyle="1" w:styleId="FootnoteTextChar">
    <w:name w:val="Footnote Text Char"/>
    <w:basedOn w:val="DefaultParagraphFont"/>
    <w:link w:val="FootnoteText"/>
    <w:uiPriority w:val="99"/>
    <w:semiHidden/>
    <w:rsid w:val="00117666"/>
    <w:rPr>
      <w:sz w:val="20"/>
      <w:szCs w:val="20"/>
    </w:rPr>
  </w:style>
  <w:style w:type="character" w:styleId="FootnoteReference">
    <w:name w:val="footnote reference"/>
    <w:basedOn w:val="DefaultParagraphFont"/>
    <w:uiPriority w:val="99"/>
    <w:semiHidden/>
    <w:unhideWhenUsed/>
    <w:rsid w:val="00117666"/>
    <w:rPr>
      <w:vertAlign w:val="superscript"/>
    </w:rPr>
  </w:style>
  <w:style w:type="paragraph" w:styleId="Caption">
    <w:name w:val="caption"/>
    <w:basedOn w:val="Normal"/>
    <w:next w:val="NoSpacing"/>
    <w:uiPriority w:val="35"/>
    <w:unhideWhenUsed/>
    <w:qFormat/>
    <w:rsid w:val="00A53000"/>
    <w:pPr>
      <w:keepNext/>
    </w:pPr>
    <w:rPr>
      <w:rFonts w:cs="Times New Roman"/>
      <w:b/>
      <w:bCs/>
      <w:szCs w:val="24"/>
    </w:rPr>
  </w:style>
  <w:style w:type="paragraph" w:styleId="BalloonText">
    <w:name w:val="Balloon Text"/>
    <w:basedOn w:val="Normal"/>
    <w:link w:val="BalloonTextChar"/>
    <w:uiPriority w:val="99"/>
    <w:semiHidden/>
    <w:unhideWhenUsed/>
    <w:rsid w:val="0011766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7666"/>
    <w:rPr>
      <w:rFonts w:ascii="Tahoma" w:hAnsi="Tahoma" w:cs="Tahoma"/>
      <w:sz w:val="16"/>
      <w:szCs w:val="16"/>
    </w:rPr>
  </w:style>
  <w:style w:type="character" w:styleId="LineNumber">
    <w:name w:val="line number"/>
    <w:basedOn w:val="DefaultParagraphFont"/>
    <w:uiPriority w:val="99"/>
    <w:semiHidden/>
    <w:unhideWhenUsed/>
    <w:rsid w:val="00117666"/>
  </w:style>
  <w:style w:type="paragraph" w:styleId="EndnoteText">
    <w:name w:val="endnote text"/>
    <w:basedOn w:val="Normal"/>
    <w:link w:val="EndnoteTextChar"/>
    <w:uiPriority w:val="99"/>
    <w:semiHidden/>
    <w:unhideWhenUsed/>
    <w:rsid w:val="00CD066B"/>
    <w:pPr>
      <w:spacing w:after="0"/>
    </w:pPr>
    <w:rPr>
      <w:sz w:val="20"/>
      <w:szCs w:val="20"/>
    </w:rPr>
  </w:style>
  <w:style w:type="character" w:customStyle="1" w:styleId="EndnoteTextChar">
    <w:name w:val="Endnote Text Char"/>
    <w:basedOn w:val="DefaultParagraphFont"/>
    <w:link w:val="EndnoteText"/>
    <w:uiPriority w:val="99"/>
    <w:semiHidden/>
    <w:rsid w:val="00CD066B"/>
    <w:rPr>
      <w:sz w:val="20"/>
      <w:szCs w:val="20"/>
    </w:rPr>
  </w:style>
  <w:style w:type="character" w:styleId="EndnoteReference">
    <w:name w:val="endnote reference"/>
    <w:basedOn w:val="DefaultParagraphFont"/>
    <w:uiPriority w:val="99"/>
    <w:semiHidden/>
    <w:unhideWhenUsed/>
    <w:rsid w:val="00CD066B"/>
    <w:rPr>
      <w:vertAlign w:val="superscript"/>
    </w:rPr>
  </w:style>
  <w:style w:type="character" w:styleId="CommentReference">
    <w:name w:val="annotation reference"/>
    <w:basedOn w:val="DefaultParagraphFont"/>
    <w:uiPriority w:val="99"/>
    <w:semiHidden/>
    <w:unhideWhenUsed/>
    <w:rsid w:val="00725A7D"/>
    <w:rPr>
      <w:sz w:val="16"/>
      <w:szCs w:val="16"/>
    </w:rPr>
  </w:style>
  <w:style w:type="paragraph" w:styleId="CommentText">
    <w:name w:val="annotation text"/>
    <w:basedOn w:val="Normal"/>
    <w:link w:val="CommentTextChar"/>
    <w:uiPriority w:val="99"/>
    <w:unhideWhenUsed/>
    <w:rsid w:val="00725A7D"/>
    <w:rPr>
      <w:sz w:val="20"/>
      <w:szCs w:val="20"/>
    </w:rPr>
  </w:style>
  <w:style w:type="character" w:customStyle="1" w:styleId="CommentTextChar">
    <w:name w:val="Comment Text Char"/>
    <w:basedOn w:val="DefaultParagraphFont"/>
    <w:link w:val="CommentText"/>
    <w:uiPriority w:val="99"/>
    <w:rsid w:val="00725A7D"/>
    <w:rPr>
      <w:sz w:val="20"/>
      <w:szCs w:val="20"/>
    </w:rPr>
  </w:style>
  <w:style w:type="paragraph" w:styleId="CommentSubject">
    <w:name w:val="annotation subject"/>
    <w:basedOn w:val="CommentText"/>
    <w:next w:val="CommentText"/>
    <w:link w:val="CommentSubjectChar"/>
    <w:uiPriority w:val="99"/>
    <w:semiHidden/>
    <w:unhideWhenUsed/>
    <w:rsid w:val="00725A7D"/>
    <w:rPr>
      <w:b/>
      <w:bCs/>
    </w:rPr>
  </w:style>
  <w:style w:type="character" w:customStyle="1" w:styleId="CommentSubjectChar">
    <w:name w:val="Comment Subject Char"/>
    <w:basedOn w:val="CommentTextChar"/>
    <w:link w:val="CommentSubject"/>
    <w:uiPriority w:val="99"/>
    <w:semiHidden/>
    <w:rsid w:val="00725A7D"/>
    <w:rPr>
      <w:b/>
      <w:bCs/>
      <w:sz w:val="20"/>
      <w:szCs w:val="20"/>
    </w:rPr>
  </w:style>
  <w:style w:type="character" w:styleId="Hyperlink">
    <w:name w:val="Hyperlink"/>
    <w:basedOn w:val="DefaultParagraphFont"/>
    <w:uiPriority w:val="99"/>
    <w:unhideWhenUsed/>
    <w:rsid w:val="005A1D84"/>
    <w:rPr>
      <w:color w:val="0000FF"/>
      <w:u w:val="single"/>
    </w:rPr>
  </w:style>
  <w:style w:type="character" w:styleId="FollowedHyperlink">
    <w:name w:val="FollowedHyperlink"/>
    <w:basedOn w:val="DefaultParagraphFont"/>
    <w:uiPriority w:val="99"/>
    <w:semiHidden/>
    <w:unhideWhenUsed/>
    <w:rsid w:val="006D5B93"/>
    <w:rPr>
      <w:color w:val="800080" w:themeColor="followedHyperlink"/>
      <w:u w:val="single"/>
    </w:rPr>
  </w:style>
  <w:style w:type="paragraph" w:styleId="Title">
    <w:name w:val="Title"/>
    <w:basedOn w:val="Normal"/>
    <w:next w:val="Normal"/>
    <w:link w:val="TitleChar"/>
    <w:qFormat/>
    <w:rsid w:val="00D80D99"/>
    <w:pPr>
      <w:suppressLineNumbers/>
      <w:spacing w:before="240" w:after="360"/>
      <w:jc w:val="center"/>
    </w:pPr>
    <w:rPr>
      <w:rFonts w:cs="Times New Roman"/>
      <w:b/>
      <w:sz w:val="32"/>
      <w:szCs w:val="32"/>
    </w:rPr>
  </w:style>
  <w:style w:type="character" w:customStyle="1" w:styleId="TitleChar">
    <w:name w:val="Title Char"/>
    <w:basedOn w:val="DefaultParagraphFont"/>
    <w:link w:val="Title"/>
    <w:rsid w:val="00D80D99"/>
    <w:rPr>
      <w:rFonts w:ascii="Times New Roman" w:hAnsi="Times New Roman" w:cs="Times New Roman"/>
      <w:b/>
      <w:sz w:val="32"/>
      <w:szCs w:val="32"/>
    </w:rPr>
  </w:style>
  <w:style w:type="paragraph" w:styleId="Subtitle">
    <w:name w:val="Subtitle"/>
    <w:basedOn w:val="Normal"/>
    <w:next w:val="Normal"/>
    <w:link w:val="SubtitleChar"/>
    <w:uiPriority w:val="99"/>
    <w:unhideWhenUsed/>
    <w:qFormat/>
    <w:rsid w:val="00AC0270"/>
    <w:pPr>
      <w:spacing w:before="240"/>
    </w:pPr>
    <w:rPr>
      <w:rFonts w:cs="Times New Roman"/>
      <w:b/>
      <w:szCs w:val="24"/>
    </w:rPr>
  </w:style>
  <w:style w:type="character" w:customStyle="1" w:styleId="SubtitleChar">
    <w:name w:val="Subtitle Char"/>
    <w:basedOn w:val="DefaultParagraphFont"/>
    <w:link w:val="Subtitle"/>
    <w:uiPriority w:val="99"/>
    <w:rsid w:val="00651CA2"/>
    <w:rPr>
      <w:rFonts w:ascii="Times New Roman" w:hAnsi="Times New Roman" w:cs="Times New Roman"/>
      <w:b/>
      <w:sz w:val="24"/>
      <w:szCs w:val="24"/>
    </w:rPr>
  </w:style>
  <w:style w:type="character" w:customStyle="1" w:styleId="Heading3Char">
    <w:name w:val="Heading 3 Char"/>
    <w:basedOn w:val="DefaultParagraphFont"/>
    <w:link w:val="Heading3"/>
    <w:uiPriority w:val="2"/>
    <w:rsid w:val="005D1840"/>
    <w:rPr>
      <w:rFonts w:ascii="Times New Roman" w:eastAsiaTheme="majorEastAsia" w:hAnsi="Times New Roman" w:cstheme="majorBidi"/>
      <w:b/>
      <w:sz w:val="24"/>
      <w:szCs w:val="24"/>
    </w:rPr>
  </w:style>
  <w:style w:type="paragraph" w:styleId="NoSpacing">
    <w:name w:val="No Spacing"/>
    <w:uiPriority w:val="99"/>
    <w:unhideWhenUsed/>
    <w:qFormat/>
    <w:rsid w:val="00A53000"/>
    <w:pPr>
      <w:spacing w:after="0" w:line="240" w:lineRule="auto"/>
    </w:pPr>
    <w:rPr>
      <w:rFonts w:ascii="Times New Roman" w:hAnsi="Times New Roman"/>
      <w:sz w:val="24"/>
    </w:rPr>
  </w:style>
  <w:style w:type="character" w:customStyle="1" w:styleId="Heading4Char">
    <w:name w:val="Heading 4 Char"/>
    <w:basedOn w:val="DefaultParagraphFont"/>
    <w:link w:val="Heading4"/>
    <w:uiPriority w:val="2"/>
    <w:rsid w:val="005D1840"/>
    <w:rPr>
      <w:rFonts w:ascii="Times New Roman" w:eastAsiaTheme="majorEastAsia" w:hAnsi="Times New Roman" w:cstheme="majorBidi"/>
      <w:b/>
      <w:iCs/>
      <w:sz w:val="24"/>
      <w:szCs w:val="24"/>
    </w:rPr>
  </w:style>
  <w:style w:type="character" w:customStyle="1" w:styleId="Heading5Char">
    <w:name w:val="Heading 5 Char"/>
    <w:basedOn w:val="DefaultParagraphFont"/>
    <w:link w:val="Heading5"/>
    <w:uiPriority w:val="2"/>
    <w:rsid w:val="005D1840"/>
    <w:rPr>
      <w:rFonts w:ascii="Times New Roman" w:eastAsiaTheme="majorEastAsia" w:hAnsi="Times New Roman" w:cstheme="majorBidi"/>
      <w:b/>
      <w:iCs/>
      <w:sz w:val="24"/>
      <w:szCs w:val="24"/>
    </w:rPr>
  </w:style>
  <w:style w:type="paragraph" w:customStyle="1" w:styleId="AuthorList">
    <w:name w:val="Author List"/>
    <w:aliases w:val="Keywords,Abstract"/>
    <w:basedOn w:val="Subtitle"/>
    <w:next w:val="Normal"/>
    <w:uiPriority w:val="1"/>
    <w:qFormat/>
    <w:rsid w:val="00651CA2"/>
  </w:style>
  <w:style w:type="character" w:styleId="SubtleEmphasis">
    <w:name w:val="Subtle Emphasis"/>
    <w:basedOn w:val="DefaultParagraphFont"/>
    <w:uiPriority w:val="19"/>
    <w:qFormat/>
    <w:rsid w:val="00C724CF"/>
    <w:rPr>
      <w:rFonts w:ascii="Times New Roman" w:hAnsi="Times New Roman"/>
      <w:i/>
      <w:iCs/>
      <w:color w:val="404040" w:themeColor="text1" w:themeTint="BF"/>
    </w:rPr>
  </w:style>
  <w:style w:type="character" w:styleId="IntenseEmphasis">
    <w:name w:val="Intense Emphasis"/>
    <w:basedOn w:val="DefaultParagraphFont"/>
    <w:uiPriority w:val="21"/>
    <w:unhideWhenUsed/>
    <w:rsid w:val="00C724CF"/>
    <w:rPr>
      <w:rFonts w:ascii="Times New Roman" w:hAnsi="Times New Roman"/>
      <w:i/>
      <w:iCs/>
      <w:color w:val="auto"/>
    </w:rPr>
  </w:style>
  <w:style w:type="paragraph" w:styleId="Quote">
    <w:name w:val="Quote"/>
    <w:basedOn w:val="Normal"/>
    <w:next w:val="Normal"/>
    <w:link w:val="QuoteChar"/>
    <w:uiPriority w:val="29"/>
    <w:qFormat/>
    <w:rsid w:val="00C724C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724CF"/>
    <w:rPr>
      <w:rFonts w:ascii="Times New Roman" w:hAnsi="Times New Roman"/>
      <w:i/>
      <w:iCs/>
      <w:color w:val="404040" w:themeColor="text1" w:themeTint="BF"/>
      <w:sz w:val="24"/>
    </w:rPr>
  </w:style>
  <w:style w:type="character" w:styleId="IntenseReference">
    <w:name w:val="Intense Reference"/>
    <w:basedOn w:val="DefaultParagraphFont"/>
    <w:uiPriority w:val="32"/>
    <w:qFormat/>
    <w:rsid w:val="00C724CF"/>
    <w:rPr>
      <w:b/>
      <w:bCs/>
      <w:smallCaps/>
      <w:color w:val="auto"/>
      <w:spacing w:val="5"/>
    </w:rPr>
  </w:style>
  <w:style w:type="character" w:styleId="BookTitle">
    <w:name w:val="Book Title"/>
    <w:basedOn w:val="DefaultParagraphFont"/>
    <w:uiPriority w:val="33"/>
    <w:qFormat/>
    <w:rsid w:val="00C724CF"/>
    <w:rPr>
      <w:rFonts w:ascii="Times New Roman" w:hAnsi="Times New Roman"/>
      <w:b/>
      <w:bCs/>
      <w:i/>
      <w:iCs/>
      <w:spacing w:val="5"/>
    </w:rPr>
  </w:style>
  <w:style w:type="numbering" w:customStyle="1" w:styleId="Headings">
    <w:name w:val="Headings"/>
    <w:uiPriority w:val="99"/>
    <w:rsid w:val="00D80D99"/>
    <w:pPr>
      <w:numPr>
        <w:numId w:val="21"/>
      </w:numPr>
    </w:pPr>
  </w:style>
  <w:style w:type="paragraph" w:styleId="Revision">
    <w:name w:val="Revision"/>
    <w:hidden/>
    <w:uiPriority w:val="99"/>
    <w:semiHidden/>
    <w:rsid w:val="00A545C6"/>
    <w:pPr>
      <w:spacing w:after="0" w:line="240" w:lineRule="auto"/>
    </w:pPr>
    <w:rPr>
      <w:rFonts w:ascii="Times New Roman" w:hAnsi="Times New Roman"/>
      <w:sz w:val="24"/>
    </w:rPr>
  </w:style>
  <w:style w:type="character" w:styleId="UnresolvedMention">
    <w:name w:val="Unresolved Mention"/>
    <w:basedOn w:val="DefaultParagraphFont"/>
    <w:uiPriority w:val="99"/>
    <w:semiHidden/>
    <w:unhideWhenUsed/>
    <w:rsid w:val="006B361D"/>
    <w:rPr>
      <w:color w:val="605E5C"/>
      <w:shd w:val="clear" w:color="auto" w:fill="E1DFDD"/>
    </w:rPr>
  </w:style>
  <w:style w:type="numbering" w:customStyle="1" w:styleId="Estilo1">
    <w:name w:val="Estilo1"/>
    <w:uiPriority w:val="99"/>
    <w:rsid w:val="000E12EA"/>
    <w:pPr>
      <w:numPr>
        <w:numId w:val="23"/>
      </w:numPr>
    </w:pPr>
  </w:style>
  <w:style w:type="table" w:customStyle="1" w:styleId="Tablaconcuadrcula1">
    <w:name w:val="Tabla con cuadrícula1"/>
    <w:basedOn w:val="TableNormal"/>
    <w:next w:val="TableGrid"/>
    <w:uiPriority w:val="39"/>
    <w:rsid w:val="000E12EA"/>
    <w:pPr>
      <w:spacing w:after="0" w:line="240" w:lineRule="auto"/>
    </w:pPr>
    <w:rPr>
      <w:rFonts w:asciiTheme="minorHAnsi" w:eastAsia="Calibri" w:hAnsiTheme="minorHAnsi"/>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
    <w:name w:val="Tabla con cuadrícula18"/>
    <w:basedOn w:val="TableNormal"/>
    <w:next w:val="TableGrid"/>
    <w:uiPriority w:val="39"/>
    <w:rsid w:val="00EC18E9"/>
    <w:pPr>
      <w:spacing w:after="0" w:line="240" w:lineRule="auto"/>
    </w:pPr>
    <w:rPr>
      <w:rFonts w:asciiTheme="minorHAnsi" w:hAnsiTheme="minorHAns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eNormal"/>
    <w:next w:val="TableGrid"/>
    <w:uiPriority w:val="39"/>
    <w:rsid w:val="00867139"/>
    <w:pPr>
      <w:spacing w:after="0" w:line="240" w:lineRule="auto"/>
    </w:pPr>
    <w:rPr>
      <w:rFonts w:asciiTheme="minorHAnsi" w:eastAsia="Calibri" w:hAnsiTheme="minorHAnsi"/>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
    <w:name w:val="Tabla con cuadrícula19"/>
    <w:basedOn w:val="TableNormal"/>
    <w:next w:val="TableGrid"/>
    <w:uiPriority w:val="39"/>
    <w:rsid w:val="00861599"/>
    <w:pPr>
      <w:spacing w:after="0" w:line="240" w:lineRule="auto"/>
    </w:pPr>
    <w:rPr>
      <w:rFonts w:asciiTheme="minorHAnsi" w:hAnsiTheme="minorHAns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152A0"/>
    <w:rPr>
      <w:color w:val="808080"/>
    </w:rPr>
  </w:style>
  <w:style w:type="paragraph" w:customStyle="1" w:styleId="MDPI31text">
    <w:name w:val="MDPI_3.1_text"/>
    <w:qFormat/>
    <w:rsid w:val="00CD2B7F"/>
    <w:pPr>
      <w:adjustRightInd w:val="0"/>
      <w:snapToGrid w:val="0"/>
      <w:spacing w:after="0" w:line="228" w:lineRule="auto"/>
      <w:ind w:left="2608" w:firstLine="425"/>
      <w:jc w:val="both"/>
    </w:pPr>
    <w:rPr>
      <w:rFonts w:ascii="Palatino Linotype" w:eastAsia="Times New Roman" w:hAnsi="Palatino Linotype" w:cs="Times New Roman"/>
      <w:snapToGrid w:val="0"/>
      <w:color w:val="000000"/>
      <w:sz w:val="20"/>
      <w:lang w:eastAsia="de-D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52381">
      <w:bodyDiv w:val="1"/>
      <w:marLeft w:val="0"/>
      <w:marRight w:val="0"/>
      <w:marTop w:val="0"/>
      <w:marBottom w:val="0"/>
      <w:divBdr>
        <w:top w:val="none" w:sz="0" w:space="0" w:color="auto"/>
        <w:left w:val="none" w:sz="0" w:space="0" w:color="auto"/>
        <w:bottom w:val="none" w:sz="0" w:space="0" w:color="auto"/>
        <w:right w:val="none" w:sz="0" w:space="0" w:color="auto"/>
      </w:divBdr>
    </w:div>
    <w:div w:id="47456943">
      <w:bodyDiv w:val="1"/>
      <w:marLeft w:val="0"/>
      <w:marRight w:val="0"/>
      <w:marTop w:val="0"/>
      <w:marBottom w:val="0"/>
      <w:divBdr>
        <w:top w:val="none" w:sz="0" w:space="0" w:color="auto"/>
        <w:left w:val="none" w:sz="0" w:space="0" w:color="auto"/>
        <w:bottom w:val="none" w:sz="0" w:space="0" w:color="auto"/>
        <w:right w:val="none" w:sz="0" w:space="0" w:color="auto"/>
      </w:divBdr>
    </w:div>
    <w:div w:id="83501254">
      <w:bodyDiv w:val="1"/>
      <w:marLeft w:val="0"/>
      <w:marRight w:val="0"/>
      <w:marTop w:val="0"/>
      <w:marBottom w:val="0"/>
      <w:divBdr>
        <w:top w:val="none" w:sz="0" w:space="0" w:color="auto"/>
        <w:left w:val="none" w:sz="0" w:space="0" w:color="auto"/>
        <w:bottom w:val="none" w:sz="0" w:space="0" w:color="auto"/>
        <w:right w:val="none" w:sz="0" w:space="0" w:color="auto"/>
      </w:divBdr>
    </w:div>
    <w:div w:id="129640057">
      <w:bodyDiv w:val="1"/>
      <w:marLeft w:val="0"/>
      <w:marRight w:val="0"/>
      <w:marTop w:val="0"/>
      <w:marBottom w:val="0"/>
      <w:divBdr>
        <w:top w:val="none" w:sz="0" w:space="0" w:color="auto"/>
        <w:left w:val="none" w:sz="0" w:space="0" w:color="auto"/>
        <w:bottom w:val="none" w:sz="0" w:space="0" w:color="auto"/>
        <w:right w:val="none" w:sz="0" w:space="0" w:color="auto"/>
      </w:divBdr>
    </w:div>
    <w:div w:id="171993267">
      <w:bodyDiv w:val="1"/>
      <w:marLeft w:val="0"/>
      <w:marRight w:val="0"/>
      <w:marTop w:val="0"/>
      <w:marBottom w:val="0"/>
      <w:divBdr>
        <w:top w:val="none" w:sz="0" w:space="0" w:color="auto"/>
        <w:left w:val="none" w:sz="0" w:space="0" w:color="auto"/>
        <w:bottom w:val="none" w:sz="0" w:space="0" w:color="auto"/>
        <w:right w:val="none" w:sz="0" w:space="0" w:color="auto"/>
      </w:divBdr>
    </w:div>
    <w:div w:id="330254591">
      <w:bodyDiv w:val="1"/>
      <w:marLeft w:val="0"/>
      <w:marRight w:val="0"/>
      <w:marTop w:val="0"/>
      <w:marBottom w:val="0"/>
      <w:divBdr>
        <w:top w:val="none" w:sz="0" w:space="0" w:color="auto"/>
        <w:left w:val="none" w:sz="0" w:space="0" w:color="auto"/>
        <w:bottom w:val="none" w:sz="0" w:space="0" w:color="auto"/>
        <w:right w:val="none" w:sz="0" w:space="0" w:color="auto"/>
      </w:divBdr>
    </w:div>
    <w:div w:id="368335732">
      <w:bodyDiv w:val="1"/>
      <w:marLeft w:val="0"/>
      <w:marRight w:val="0"/>
      <w:marTop w:val="0"/>
      <w:marBottom w:val="0"/>
      <w:divBdr>
        <w:top w:val="none" w:sz="0" w:space="0" w:color="auto"/>
        <w:left w:val="none" w:sz="0" w:space="0" w:color="auto"/>
        <w:bottom w:val="none" w:sz="0" w:space="0" w:color="auto"/>
        <w:right w:val="none" w:sz="0" w:space="0" w:color="auto"/>
      </w:divBdr>
    </w:div>
    <w:div w:id="472144551">
      <w:bodyDiv w:val="1"/>
      <w:marLeft w:val="0"/>
      <w:marRight w:val="0"/>
      <w:marTop w:val="0"/>
      <w:marBottom w:val="0"/>
      <w:divBdr>
        <w:top w:val="none" w:sz="0" w:space="0" w:color="auto"/>
        <w:left w:val="none" w:sz="0" w:space="0" w:color="auto"/>
        <w:bottom w:val="none" w:sz="0" w:space="0" w:color="auto"/>
        <w:right w:val="none" w:sz="0" w:space="0" w:color="auto"/>
      </w:divBdr>
      <w:divsChild>
        <w:div w:id="1665930615">
          <w:marLeft w:val="480"/>
          <w:marRight w:val="0"/>
          <w:marTop w:val="0"/>
          <w:marBottom w:val="0"/>
          <w:divBdr>
            <w:top w:val="none" w:sz="0" w:space="0" w:color="auto"/>
            <w:left w:val="none" w:sz="0" w:space="0" w:color="auto"/>
            <w:bottom w:val="none" w:sz="0" w:space="0" w:color="auto"/>
            <w:right w:val="none" w:sz="0" w:space="0" w:color="auto"/>
          </w:divBdr>
        </w:div>
        <w:div w:id="384570796">
          <w:marLeft w:val="480"/>
          <w:marRight w:val="0"/>
          <w:marTop w:val="0"/>
          <w:marBottom w:val="0"/>
          <w:divBdr>
            <w:top w:val="none" w:sz="0" w:space="0" w:color="auto"/>
            <w:left w:val="none" w:sz="0" w:space="0" w:color="auto"/>
            <w:bottom w:val="none" w:sz="0" w:space="0" w:color="auto"/>
            <w:right w:val="none" w:sz="0" w:space="0" w:color="auto"/>
          </w:divBdr>
        </w:div>
        <w:div w:id="49617756">
          <w:marLeft w:val="480"/>
          <w:marRight w:val="0"/>
          <w:marTop w:val="0"/>
          <w:marBottom w:val="0"/>
          <w:divBdr>
            <w:top w:val="none" w:sz="0" w:space="0" w:color="auto"/>
            <w:left w:val="none" w:sz="0" w:space="0" w:color="auto"/>
            <w:bottom w:val="none" w:sz="0" w:space="0" w:color="auto"/>
            <w:right w:val="none" w:sz="0" w:space="0" w:color="auto"/>
          </w:divBdr>
        </w:div>
      </w:divsChild>
    </w:div>
    <w:div w:id="476724946">
      <w:bodyDiv w:val="1"/>
      <w:marLeft w:val="0"/>
      <w:marRight w:val="0"/>
      <w:marTop w:val="0"/>
      <w:marBottom w:val="0"/>
      <w:divBdr>
        <w:top w:val="none" w:sz="0" w:space="0" w:color="auto"/>
        <w:left w:val="none" w:sz="0" w:space="0" w:color="auto"/>
        <w:bottom w:val="none" w:sz="0" w:space="0" w:color="auto"/>
        <w:right w:val="none" w:sz="0" w:space="0" w:color="auto"/>
      </w:divBdr>
    </w:div>
    <w:div w:id="566258189">
      <w:bodyDiv w:val="1"/>
      <w:marLeft w:val="0"/>
      <w:marRight w:val="0"/>
      <w:marTop w:val="0"/>
      <w:marBottom w:val="0"/>
      <w:divBdr>
        <w:top w:val="none" w:sz="0" w:space="0" w:color="auto"/>
        <w:left w:val="none" w:sz="0" w:space="0" w:color="auto"/>
        <w:bottom w:val="none" w:sz="0" w:space="0" w:color="auto"/>
        <w:right w:val="none" w:sz="0" w:space="0" w:color="auto"/>
      </w:divBdr>
    </w:div>
    <w:div w:id="625626042">
      <w:bodyDiv w:val="1"/>
      <w:marLeft w:val="0"/>
      <w:marRight w:val="0"/>
      <w:marTop w:val="0"/>
      <w:marBottom w:val="0"/>
      <w:divBdr>
        <w:top w:val="none" w:sz="0" w:space="0" w:color="auto"/>
        <w:left w:val="none" w:sz="0" w:space="0" w:color="auto"/>
        <w:bottom w:val="none" w:sz="0" w:space="0" w:color="auto"/>
        <w:right w:val="none" w:sz="0" w:space="0" w:color="auto"/>
      </w:divBdr>
    </w:div>
    <w:div w:id="647976011">
      <w:bodyDiv w:val="1"/>
      <w:marLeft w:val="0"/>
      <w:marRight w:val="0"/>
      <w:marTop w:val="0"/>
      <w:marBottom w:val="0"/>
      <w:divBdr>
        <w:top w:val="none" w:sz="0" w:space="0" w:color="auto"/>
        <w:left w:val="none" w:sz="0" w:space="0" w:color="auto"/>
        <w:bottom w:val="none" w:sz="0" w:space="0" w:color="auto"/>
        <w:right w:val="none" w:sz="0" w:space="0" w:color="auto"/>
      </w:divBdr>
    </w:div>
    <w:div w:id="690228166">
      <w:bodyDiv w:val="1"/>
      <w:marLeft w:val="0"/>
      <w:marRight w:val="0"/>
      <w:marTop w:val="0"/>
      <w:marBottom w:val="0"/>
      <w:divBdr>
        <w:top w:val="none" w:sz="0" w:space="0" w:color="auto"/>
        <w:left w:val="none" w:sz="0" w:space="0" w:color="auto"/>
        <w:bottom w:val="none" w:sz="0" w:space="0" w:color="auto"/>
        <w:right w:val="none" w:sz="0" w:space="0" w:color="auto"/>
      </w:divBdr>
    </w:div>
    <w:div w:id="935138230">
      <w:bodyDiv w:val="1"/>
      <w:marLeft w:val="0"/>
      <w:marRight w:val="0"/>
      <w:marTop w:val="0"/>
      <w:marBottom w:val="0"/>
      <w:divBdr>
        <w:top w:val="none" w:sz="0" w:space="0" w:color="auto"/>
        <w:left w:val="none" w:sz="0" w:space="0" w:color="auto"/>
        <w:bottom w:val="none" w:sz="0" w:space="0" w:color="auto"/>
        <w:right w:val="none" w:sz="0" w:space="0" w:color="auto"/>
      </w:divBdr>
    </w:div>
    <w:div w:id="1002313091">
      <w:bodyDiv w:val="1"/>
      <w:marLeft w:val="0"/>
      <w:marRight w:val="0"/>
      <w:marTop w:val="0"/>
      <w:marBottom w:val="0"/>
      <w:divBdr>
        <w:top w:val="none" w:sz="0" w:space="0" w:color="auto"/>
        <w:left w:val="none" w:sz="0" w:space="0" w:color="auto"/>
        <w:bottom w:val="none" w:sz="0" w:space="0" w:color="auto"/>
        <w:right w:val="none" w:sz="0" w:space="0" w:color="auto"/>
      </w:divBdr>
    </w:div>
    <w:div w:id="1136987497">
      <w:bodyDiv w:val="1"/>
      <w:marLeft w:val="0"/>
      <w:marRight w:val="0"/>
      <w:marTop w:val="0"/>
      <w:marBottom w:val="0"/>
      <w:divBdr>
        <w:top w:val="none" w:sz="0" w:space="0" w:color="auto"/>
        <w:left w:val="none" w:sz="0" w:space="0" w:color="auto"/>
        <w:bottom w:val="none" w:sz="0" w:space="0" w:color="auto"/>
        <w:right w:val="none" w:sz="0" w:space="0" w:color="auto"/>
      </w:divBdr>
    </w:div>
    <w:div w:id="1425807103">
      <w:bodyDiv w:val="1"/>
      <w:marLeft w:val="0"/>
      <w:marRight w:val="0"/>
      <w:marTop w:val="0"/>
      <w:marBottom w:val="0"/>
      <w:divBdr>
        <w:top w:val="none" w:sz="0" w:space="0" w:color="auto"/>
        <w:left w:val="none" w:sz="0" w:space="0" w:color="auto"/>
        <w:bottom w:val="none" w:sz="0" w:space="0" w:color="auto"/>
        <w:right w:val="none" w:sz="0" w:space="0" w:color="auto"/>
      </w:divBdr>
    </w:div>
    <w:div w:id="1810244670">
      <w:bodyDiv w:val="1"/>
      <w:marLeft w:val="0"/>
      <w:marRight w:val="0"/>
      <w:marTop w:val="0"/>
      <w:marBottom w:val="0"/>
      <w:divBdr>
        <w:top w:val="none" w:sz="0" w:space="0" w:color="auto"/>
        <w:left w:val="none" w:sz="0" w:space="0" w:color="auto"/>
        <w:bottom w:val="none" w:sz="0" w:space="0" w:color="auto"/>
        <w:right w:val="none" w:sz="0" w:space="0" w:color="auto"/>
      </w:divBdr>
    </w:div>
    <w:div w:id="2108455780">
      <w:bodyDiv w:val="1"/>
      <w:marLeft w:val="0"/>
      <w:marRight w:val="0"/>
      <w:marTop w:val="0"/>
      <w:marBottom w:val="0"/>
      <w:divBdr>
        <w:top w:val="none" w:sz="0" w:space="0" w:color="auto"/>
        <w:left w:val="none" w:sz="0" w:space="0" w:color="auto"/>
        <w:bottom w:val="none" w:sz="0" w:space="0" w:color="auto"/>
        <w:right w:val="none" w:sz="0" w:space="0" w:color="auto"/>
      </w:divBdr>
    </w:div>
    <w:div w:id="21305152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shua.stocco\Documents\Templates\Frontiers_Word_Templates\Frontiers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0A694AF-96CE-4889-91DD-040F10D1CAE3}">
  <we:reference id="wa104382081" version="1.46.0.0" store="en-GB" storeType="OMEX"/>
  <we:alternateReferences>
    <we:reference id="wa104382081" version="1.46.0.0" store="en-GB" storeType="OMEX"/>
  </we:alternateReferences>
  <we:properties>
    <we:property name="MENDELEY_CITATIONS" value="[{&quot;citationID&quot;:&quot;MENDELEY_CITATION_a12dea84-efe8-4be9-89b7-343e16891d8c&quot;,&quot;properties&quot;:{&quot;noteIndex&quot;:0},&quot;isEdited&quot;:false,&quot;manualOverride&quot;:{&quot;isManuallyOverridden&quot;:false,&quot;citeprocText&quot;:&quot;(Holmboe et al., 2018)&quot;,&quot;manualOverrideText&quot;:&quot;&quot;},&quot;citationTag&quot;:&quot;MENDELEY_CITATION_v3_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&quot;,&quot;citationItems&quot;:[{&quot;id&quot;:&quot;fd4b2849-3f8f-3f98-a42e-5cd3906bd5cc&quot;,&quot;itemData&quot;:{&quot;type&quot;:&quot;article-journal&quot;,&quot;id&quot;:&quot;fd4b2849-3f8f-3f98-a42e-5cd3906bd5cc&quot;,&quot;title&quot;:&quot;Longitudinal development of attention and inhibitory control during the first year of life&quot;,&quot;author&quot;:[{&quot;family&quot;:&quot;Holmboe&quot;,&quot;given&quot;:&quot;Karla&quot;,&quot;parse-names&quot;:false,&quot;dropping-particle&quot;:&quot;&quot;,&quot;non-dropping-particle&quot;:&quot;&quot;},{&quot;family&quot;:&quot;Bonneville-Roussy&quot;,&quot;given&quot;:&quot;Arielle&quot;,&quot;parse-names&quot;:false,&quot;dropping-particle&quot;:&quot;&quot;,&quot;non-dropping-particle&quot;:&quot;&quot;},{&quot;family&quot;:&quot;Csibra&quot;,&quot;given&quot;:&quot;Gergely&quot;,&quot;parse-names&quot;:false,&quot;dropping-particle&quot;:&quot;&quot;,&quot;non-dropping-particle&quot;:&quot;&quot;},{&quot;family&quot;:&quot;Johnson&quot;,&quot;given&quot;:&quot;Mark H.&quot;,&quot;parse-names&quot;:false,&quot;dropping-particle&quot;:&quot;&quot;,&quot;non-dropping-particle&quot;:&quot;&quot;}],&quot;container-title&quot;:&quot;Developmental Science&quot;,&quot;container-title-short&quot;:&quot;Dev Sci&quot;,&quot;DOI&quot;:&quot;10.1111/desc.12690&quot;,&quot;ISSN&quot;:&quot;14677687&quot;,&quot;PMID&quot;:&quot;29911347&quot;,&quot;issued&quot;:{&quot;date-parts&quot;:[[2018,11,1]]},&quot;abstract&quot;:&quot;Executive functions (EFs) are key abilities that allow us to control our thoughts and actions. Research suggests that two EFs, inhibitory control (IC) and working memory (WM), emerge around 9 months. Little is known about IC earlier in infancy and whether basic attentional processes form the “building blocks” of emerging IC. These questions were investigated longitudinally in 104 infants tested behaviorally on two screen-based attention tasks at 4 months, and on IC tasks at 6 and 9 months. Results provided no evidence that basic attention formed precursors for IC. However, there was full support for coherence in IC at 9 months and partial support for stability in IC from 6 months. This suggests that IC emerges earlier than previously assumed. A video abstract of this article can be viewed at: https://www.youtube.com/watch?v=rVE17hooANY.&quot;,&quot;publisher&quot;:&quot;Blackwell Publishing Ltd&quot;,&quot;issue&quot;:&quot;6&quot;,&quot;volume&quot;:&quot;21&quot;},&quot;isTemporary&quot;:false}]},{&quot;citationID&quot;:&quot;MENDELEY_CITATION_96916735-b0a4-4f85-a315-e97c35fa09c1&quot;,&quot;properties&quot;:{&quot;noteIndex&quot;:0},&quot;isEdited&quot;:false,&quot;manualOverride&quot;:{&quot;isManuallyOverridden&quot;:false,&quot;citeprocText&quot;:&quot;(Heck et al., 2014)&quot;,&quot;manualOverrideText&quot;:&quot;&quot;},&quot;citationTag&quot;:&quot;MENDELEY_CITATION_v3_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&quot;,&quot;citationItems&quot;:[{&quot;id&quot;:&quot;d709c144-87bf-395c-97aa-b0848e21eb88&quot;,&quot;itemData&quot;:{&quot;type&quot;:&quot;book&quot;,&quot;id&quot;:&quot;d709c144-87bf-395c-97aa-b0848e21eb88&quot;,&quot;title&quot;:&quot;Multilevel and Longitudinal Modeling with IBM SPSS&quot;,&quot;author&quot;:[{&quot;family&quot;:&quot;Heck&quot;,&quot;given&quot;:&quot;Ronald H.&quot;,&quot;parse-names&quot;:false,&quot;dropping-particle&quot;:&quot;&quot;,&quot;non-dropping-particle&quot;:&quot;&quot;},{&quot;family&quot;:&quot;Thomas&quot;,&quot;given&quot;:&quot;Scott L.&quot;,&quot;parse-names&quot;:false,&quot;dropping-particle&quot;:&quot;&quot;,&quot;non-dropping-particle&quot;:&quot;&quot;},{&quot;family&quot;:&quot;Tabata&quot;,&quot;given&quot;:&quot;Lynn N.&quot;,&quot;parse-names&quot;:false,&quot;dropping-particle&quot;:&quot;&quot;,&quot;non-dropping-particle&quot;:&quot;&quot;}],&quot;ISBN&quot;:&quot;9780415817110&quot;,&quot;ISSN&quot;:&quot;15318249&quot;,&quot;PMID&quot;:&quot;2837977&quot;,&quot;issued&quot;:{&quot;date-parts&quot;:[[2014]]},&quot;publisher-place&quot;:&quot;New York&quot;,&quot;publisher&quot;:&quot;Routledge&quot;,&quot;container-title-short&quot;:&quot;&quot;},&quot;isTemporary&quot;:false}]},{&quot;citationID&quot;:&quot;MENDELEY_CITATION_70d0ef77-47bf-4ed0-a707-1cfc14dee344&quot;,&quot;properties&quot;:{&quot;noteIndex&quot;:0},&quot;isEdited&quot;:false,&quot;manualOverride&quot;:{&quot;isManuallyOverridden&quot;:false,&quot;citeprocText&quot;:&quot;(Funatogawa &amp;#38; Funatogawa, 2019)&quot;,&quot;manualOverrideText&quot;:&quot;&quot;},&quot;citationTag&quot;:&quot;MENDELEY_CITATION_v3_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&quot;,&quot;citationItems&quot;:[{&quot;id&quot;:&quot;b812c64d-9619-37b2-ab4e-64212e2dd72e&quot;,&quot;itemData&quot;:{&quot;type&quot;:&quot;book&quot;,&quot;id&quot;:&quot;b812c64d-9619-37b2-ab4e-64212e2dd72e&quot;,&quot;title&quot;:&quot;Longitudinal Data Analysis: Autoregressive Linear Mixed Effects Models&quot;,&quot;author&quot;:[{&quot;family&quot;:&quot;Funatogawa&quot;,&quot;given&quot;:&quot;Ikuko&quot;,&quot;parse-names&quot;:false,&quot;dropping-particle&quot;:&quot;&quot;,&quot;non-dropping-particle&quot;:&quot;&quot;},{&quot;family&quot;:&quot;Funatogawa&quot;,&quot;given&quot;:&quot;Takashi&quot;,&quot;parse-names&quot;:false,&quot;dropping-particle&quot;:&quot;&quot;,&quot;non-dropping-particle&quot;:&quot;&quot;}],&quot;container-title&quot;:&quot;SpringerBriefs in Statistics&quot;,&quot;ISBN&quot;:&quot;978-981-10-0077-5&quot;,&quot;issued&quot;:{&quot;date-parts&quot;:[[2019]]},&quot;publisher-place&quot;:&quot;Singapore&quot;,&quot;publisher&quot;:&quot;Springer&quot;,&quot;container-title-short&quot;:&quot;&quot;},&quot;isTemporary&quot;:false}]}]"/>
    <we:property name="MENDELEY_CITATIONS_STYLE" value="{&quot;id&quot;:&quot;https://www.zotero.org/styles/apa&quot;,&quot;title&quot;:&quot;American Psychological Association 7th edition&quot;,&quot;format&quot;:&quot;author-date&quot;,&quot;defaultLocale&quot;:null}"/>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CB8B29C5-C39B-41C8-9567-444369AD2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Frontiers_template</Template>
  <TotalTime>32</TotalTime>
  <Pages>2</Pages>
  <Words>840</Words>
  <Characters>4625</Characters>
  <Application>Microsoft Office Word</Application>
  <DocSecurity>0</DocSecurity>
  <Lines>38</Lines>
  <Paragraphs>10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Senn</dc:creator>
  <cp:keywords/>
  <dc:description/>
  <cp:lastModifiedBy>Mariel Musso</cp:lastModifiedBy>
  <cp:revision>14</cp:revision>
  <cp:lastPrinted>2013-10-03T12:51:00Z</cp:lastPrinted>
  <dcterms:created xsi:type="dcterms:W3CDTF">2023-03-22T13:32:00Z</dcterms:created>
  <dcterms:modified xsi:type="dcterms:W3CDTF">2023-04-18T10:46:00Z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13f2c9b2-850d-3cd6-9cc9-6a2be8eac69f</vt:lpwstr>
  </property>
  <property fmtid="{D5CDD505-2E9C-101B-9397-08002B2CF9AE}" pid="4" name="Mendeley Citation Style_1">
    <vt:lpwstr>http://www.zotero.org/styles/apa</vt:lpwstr>
  </property>
</Properties>
</file>