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hd w:val="clear" w:fill="FFFFFF"/>
        <w:bidi w:val="0"/>
        <w:spacing w:lineRule="auto" w:line="384" w:before="0" w:after="14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bookmarkStart w:id="0" w:name="docs-internal-guid-bdfc4a9f-7fff-2c85-bf"/>
      <w:bookmarkEnd w:id="0"/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Appendix A. Supplementary data</w:t>
      </w:r>
    </w:p>
    <w:p>
      <w:pPr>
        <w:pStyle w:val="TextBody"/>
        <w:bidi w:val="0"/>
        <w:spacing w:lineRule="auto" w:line="276" w:before="0" w:after="14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TextBody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Table S1.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Illustration of the main ImmunoDefender bioactive molecules list, quantities and detailed acceptable daily intake (ADI) compared to 1 ml of bioactive substance in one ampule content product. ADI for each EO ingredient ligands illustrated in milligram per kilogram body weight per day (mg/kg body weight per day).</w:t>
      </w:r>
    </w:p>
    <w:p>
      <w:pPr>
        <w:pStyle w:val="TextBody"/>
        <w:bidi w:val="0"/>
        <w:spacing w:lineRule="auto" w:line="24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tbl>
      <w:tblPr>
        <w:tblW w:w="9329" w:type="dxa"/>
        <w:jc w:val="left"/>
        <w:tblInd w:w="0" w:type="dxa"/>
        <w:tblCellMar>
          <w:top w:w="100" w:type="dxa"/>
          <w:left w:w="0" w:type="dxa"/>
          <w:bottom w:w="100" w:type="dxa"/>
          <w:right w:w="0" w:type="dxa"/>
        </w:tblCellMar>
      </w:tblPr>
      <w:tblGrid>
        <w:gridCol w:w="1946"/>
        <w:gridCol w:w="2666"/>
        <w:gridCol w:w="3236"/>
        <w:gridCol w:w="1480"/>
      </w:tblGrid>
      <w:tr>
        <w:trPr/>
        <w:tc>
          <w:tcPr>
            <w:tcW w:w="19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Ingredient</w:t>
            </w:r>
          </w:p>
        </w:tc>
        <w:tc>
          <w:tcPr>
            <w:tcW w:w="26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 </w:t>
            </w: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Total substance ingredients (mg)</w:t>
            </w:r>
          </w:p>
        </w:tc>
        <w:tc>
          <w:tcPr>
            <w:tcW w:w="32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Acceptable daily intake (ADI)</w:t>
            </w:r>
          </w:p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mg/kg body weight per day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References</w:t>
            </w:r>
          </w:p>
        </w:tc>
      </w:tr>
      <w:tr>
        <w:trPr/>
        <w:tc>
          <w:tcPr>
            <w:tcW w:w="1946" w:type="dxa"/>
            <w:tcBorders>
              <w:top w:val="single" w:sz="6" w:space="0" w:color="000000"/>
            </w:tcBorders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Carvone</w:t>
            </w:r>
          </w:p>
        </w:tc>
        <w:tc>
          <w:tcPr>
            <w:tcW w:w="2666" w:type="dxa"/>
            <w:tcBorders>
              <w:top w:val="single" w:sz="6" w:space="0" w:color="000000"/>
            </w:tcBorders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33</w:t>
            </w:r>
          </w:p>
        </w:tc>
        <w:tc>
          <w:tcPr>
            <w:tcW w:w="3236" w:type="dxa"/>
            <w:tcBorders>
              <w:top w:val="single" w:sz="6" w:space="0" w:color="000000"/>
            </w:tcBorders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1.25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[38]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Limonene 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25.08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1.5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[39]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Menthol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139.41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4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[40]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Pipéritone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64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α-Phellandrène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32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Ocimène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5.67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4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[42]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Pulegone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13.92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0.1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[43]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Menthone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14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1,8 cineole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102.16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Eugenol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49.56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[44]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Beta caryophyllène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12.48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[39]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α-humulene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0.11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[45]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Eugenyl acetate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0.72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Neo-menthol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8.2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Menthylacetate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6.05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α-terpineol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27.85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Α-terpinyl acetate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9.71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α-pinene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1.56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Cinnamaldéhyde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46.08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1.25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[35]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Cinnamyl acetate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1.86</w:t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 safety concern</w:t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[28]</w:t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Cinnamtannin B1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Cinnamtannin B2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Pavetanine C1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4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Tenuifoline </w:t>
            </w:r>
          </w:p>
        </w:tc>
        <w:tc>
          <w:tcPr>
            <w:tcW w:w="266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36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not specified </w:t>
            </w:r>
          </w:p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ableContents"/>
        <w:bidi w:val="0"/>
        <w:spacing w:lineRule="auto" w:line="288" w:before="0" w:after="0"/>
        <w:jc w:val="left"/>
        <w:rPr>
          <w:rFonts w:ascii="Times New Roman" w:hAnsi="Times New Roman" w:eastAsia="Noto Serif CJK SC" w:cs="Lohit Devanaga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lang w:val="en-US" w:eastAsia="zh-CN" w:bidi="hi-IN"/>
        </w:rPr>
        <w:t>Table S2 :</w:t>
      </w:r>
      <w:r>
        <w:rPr>
          <w:rFonts w:eastAsia="Noto Serif CJK SC" w:cs="Lohit Devanaga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lang w:val="en-US" w:eastAsia="zh-CN" w:bidi="hi-IN"/>
        </w:rPr>
        <w:t xml:space="preserve"> </w:t>
      </w:r>
      <w:r>
        <w:rPr>
          <w:rFonts w:eastAsia="Noto Serif CJK SC" w:cs="Lohit Devanaga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lang w:val="en-US" w:eastAsia="zh-CN" w:bidi="hi-IN"/>
        </w:rPr>
        <w:t>Free Binding Energy Scores of ImmunoDender Bioactive Compounds Targeting SARS-CoV-2 Main Protease through Molecular Docking Simulations with SwissDock and AutoDock Vina Softwares.</w:t>
      </w:r>
    </w:p>
    <w:p>
      <w:pPr>
        <w:pStyle w:val="TableContents"/>
        <w:bidi w:val="0"/>
        <w:spacing w:lineRule="auto" w:line="288" w:before="0" w:after="0"/>
        <w:jc w:val="left"/>
        <w:rPr>
          <w:spacing w:val="0"/>
        </w:rPr>
      </w:pPr>
      <w:r>
        <w:rPr>
          <w:spacing w:val="0"/>
        </w:rPr>
      </w:r>
    </w:p>
    <w:tbl>
      <w:tblPr>
        <w:tblW w:w="7560" w:type="dxa"/>
        <w:jc w:val="left"/>
        <w:tblInd w:w="0" w:type="dxa"/>
        <w:tblCellMar>
          <w:top w:w="100" w:type="dxa"/>
          <w:left w:w="0" w:type="dxa"/>
          <w:bottom w:w="100" w:type="dxa"/>
          <w:right w:w="0" w:type="dxa"/>
        </w:tblCellMar>
      </w:tblPr>
      <w:tblGrid>
        <w:gridCol w:w="1530"/>
        <w:gridCol w:w="3149"/>
        <w:gridCol w:w="2881"/>
      </w:tblGrid>
      <w:tr>
        <w:trPr/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Ingredient</w:t>
            </w:r>
          </w:p>
        </w:tc>
        <w:tc>
          <w:tcPr>
            <w:tcW w:w="31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eastAsia="Noto Serif CJK SC" w:cs="Lohit Devanagari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F</w:t>
            </w: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 xml:space="preserve">ree binding energy score of docking  simulated  with Mpro via SwissDock </w:t>
            </w:r>
            <w:r>
              <w:rPr>
                <w:rFonts w:eastAsia="Noto Serif CJK SC" w:cs="Lohit Devanagari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(</w:t>
            </w:r>
            <w:r>
              <w:rPr>
                <w:rFonts w:eastAsia="Noto Serif CJK SC" w:cs="Lohit Devanagari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kcal/mol)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eastAsia="Noto Serif CJK SC" w:cs="Lohit Devanagari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F</w:t>
            </w: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 xml:space="preserve">ree binding energy score of docking  simulated  with Mpro via AutoDock  </w:t>
            </w:r>
            <w:r>
              <w:rPr>
                <w:rFonts w:eastAsia="Noto Serif CJK SC" w:cs="Lohit Devanagari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(</w:t>
            </w:r>
            <w:r>
              <w:rPr>
                <w:rFonts w:eastAsia="Noto Serif CJK SC" w:cs="Lohit Devanagari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kcal/mol)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</w:tcBorders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Carvone</w:t>
            </w:r>
          </w:p>
        </w:tc>
        <w:tc>
          <w:tcPr>
            <w:tcW w:w="3149" w:type="dxa"/>
            <w:tcBorders>
              <w:top w:val="single" w:sz="6" w:space="0" w:color="000000"/>
            </w:tcBorders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- 4.8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- 4.5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Limonene 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- 4.7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- 4.9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Pipéritone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-5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-4.7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α-Phellandrène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-4.6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-4.5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Ocimène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- 4.9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- 4.8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Pulegone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-4.7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-4.2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Menthone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-5.2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-4.8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1,8 cineole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- 4.8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- 5.1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Eugenol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- 6.8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- 6.5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Cinnamtannin B1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-9.5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- 8.6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Cinnamtannin B2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-9.4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- 8.4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Beta caryophyllene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-7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-6.7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α-humulene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-4.3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-4.7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left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Syzyginin B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-10.1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-9.7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Eugenyl acetate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-6.7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-6.1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Pavetanine C1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-10.3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-9.1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menthol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-6.1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-5.7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left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Procyanidin C1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-9.05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-8.1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Menthylacetate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- 4.7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- 4.9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α-terpineol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-5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-4.6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Comphor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-6.8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-6.1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α-pinene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-4.7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-4.9</w:t>
            </w:r>
          </w:p>
        </w:tc>
      </w:tr>
      <w:tr>
        <w:trPr/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Cinnamaldéhyde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-7.4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-6.9</w:t>
            </w:r>
          </w:p>
        </w:tc>
      </w:tr>
      <w:tr>
        <w:trPr>
          <w:trHeight w:val="367" w:hRule="atLeast"/>
        </w:trPr>
        <w:tc>
          <w:tcPr>
            <w:tcW w:w="1530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</w:rPr>
              <w:t>Tenuifoline </w:t>
            </w:r>
          </w:p>
        </w:tc>
        <w:tc>
          <w:tcPr>
            <w:tcW w:w="314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-8.7</w:t>
            </w:r>
          </w:p>
        </w:tc>
        <w:tc>
          <w:tcPr>
            <w:tcW w:w="288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88" w:before="0" w:after="0"/>
              <w:jc w:val="center"/>
              <w:rPr>
                <w:rFonts w:ascii="Times New Roman" w:hAnsi="Times New Roman" w:eastAsia="Noto Serif CJK SC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</w:pPr>
            <w:r>
              <w:rPr>
                <w:rFonts w:eastAsia="Noto Serif CJK SC" w:cs="Lohit Devanagari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8"/>
                <w:szCs w:val="24"/>
                <w:u w:val="none"/>
                <w:effect w:val="none"/>
                <w:lang w:val="en-US" w:eastAsia="zh-CN" w:bidi="hi-IN"/>
              </w:rPr>
              <w:t>-8.1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5946</TotalTime>
  <Application>LibreOffice/6.4.7.2$Linux_X86_64 LibreOffice_project/40$Build-2</Application>
  <Pages>2</Pages>
  <Words>344</Words>
  <Characters>1879</Characters>
  <CharactersWithSpaces>2066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2022-11-28T15:19:08Z</dcterms:created>
  <dc:creator/>
  <dc:description/>
  <dc:language>en-US</dc:language>
  <cp:lastModifiedBy/>
  <dcterms:modified xsi:type="dcterms:W3CDTF">2023-04-12T23:00:46Z</dcterms:modified>
  <cp:revision>15</cp:revision>
  <dc:subject/>
  <dc:title/>
</cp:coreProperties>
</file>