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49A" w:rsidRPr="000A0A37" w:rsidRDefault="000A0A3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A0A37">
        <w:rPr>
          <w:rFonts w:asciiTheme="majorBidi" w:hAnsiTheme="majorBidi" w:cstheme="majorBidi"/>
          <w:b/>
          <w:bCs/>
          <w:sz w:val="24"/>
          <w:szCs w:val="24"/>
        </w:rPr>
        <w:t>Supporting materials</w:t>
      </w:r>
    </w:p>
    <w:p w:rsidR="000A0A37" w:rsidRDefault="000A0A37"/>
    <w:p w:rsidR="000A0A37" w:rsidRPr="00F72BE4" w:rsidRDefault="000A0A37" w:rsidP="000A0A37">
      <w:pPr>
        <w:spacing w:line="360" w:lineRule="auto"/>
        <w:jc w:val="center"/>
        <w:rPr>
          <w:rFonts w:asciiTheme="majorBidi" w:eastAsia="Times New Roman" w:hAnsiTheme="majorBidi" w:cstheme="majorBidi"/>
          <w:b/>
          <w:bCs/>
          <w:kern w:val="36"/>
          <w:sz w:val="28"/>
          <w:szCs w:val="28"/>
        </w:rPr>
      </w:pPr>
      <w:bookmarkStart w:id="0" w:name="_GoBack"/>
      <w:r w:rsidRPr="00F72BE4">
        <w:rPr>
          <w:rFonts w:asciiTheme="majorBidi" w:eastAsia="Times New Roman" w:hAnsiTheme="majorBidi" w:cstheme="majorBidi"/>
          <w:b/>
          <w:bCs/>
          <w:kern w:val="36"/>
          <w:sz w:val="28"/>
          <w:szCs w:val="28"/>
        </w:rPr>
        <w:t>Synergetic photocatalytic peroxymonosulfate oxidation of benzotriazole by cupper ferrite spinel: Factors and mechanism analysis</w:t>
      </w:r>
    </w:p>
    <w:bookmarkEnd w:id="0"/>
    <w:p w:rsidR="000A0A37" w:rsidRPr="000A0A37" w:rsidRDefault="000A0A37" w:rsidP="000A0A37">
      <w:pPr>
        <w:spacing w:after="0" w:line="360" w:lineRule="auto"/>
        <w:jc w:val="center"/>
        <w:rPr>
          <w:rFonts w:asciiTheme="majorBidi" w:eastAsia="Times New Roman" w:hAnsiTheme="majorBidi" w:cstheme="majorBidi"/>
          <w:kern w:val="36"/>
          <w:sz w:val="24"/>
          <w:szCs w:val="24"/>
          <w:vertAlign w:val="superscript"/>
        </w:rPr>
        <w:sectPr w:rsidR="000A0A37" w:rsidRPr="000A0A37" w:rsidSect="000A0A37">
          <w:footnotePr>
            <w:numFmt w:val="chicago"/>
          </w:footnotePr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0A0A37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Masoumeh </w:t>
      </w:r>
      <w:proofErr w:type="spellStart"/>
      <w:r w:rsidRPr="000A0A37">
        <w:rPr>
          <w:rFonts w:asciiTheme="majorBidi" w:eastAsia="Times New Roman" w:hAnsiTheme="majorBidi" w:cstheme="majorBidi"/>
          <w:kern w:val="36"/>
          <w:sz w:val="24"/>
          <w:szCs w:val="24"/>
        </w:rPr>
        <w:t>Golshan</w:t>
      </w:r>
      <w:r w:rsidRPr="000A0A37">
        <w:rPr>
          <w:rFonts w:asciiTheme="majorBidi" w:eastAsia="Times New Roman" w:hAnsiTheme="majorBidi" w:cstheme="majorBidi"/>
          <w:kern w:val="36"/>
          <w:sz w:val="24"/>
          <w:szCs w:val="24"/>
          <w:vertAlign w:val="superscript"/>
        </w:rPr>
        <w:t>a</w:t>
      </w:r>
      <w:proofErr w:type="spellEnd"/>
      <w:r w:rsidRPr="000A0A37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, </w:t>
      </w:r>
      <w:proofErr w:type="spellStart"/>
      <w:r w:rsidRPr="000A0A37">
        <w:rPr>
          <w:rFonts w:asciiTheme="majorBidi" w:eastAsia="Times New Roman" w:hAnsiTheme="majorBidi" w:cstheme="majorBidi"/>
          <w:kern w:val="36"/>
          <w:sz w:val="24"/>
          <w:szCs w:val="24"/>
        </w:rPr>
        <w:t>Rasool</w:t>
      </w:r>
      <w:proofErr w:type="spellEnd"/>
      <w:r w:rsidRPr="000A0A37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proofErr w:type="spellStart"/>
      <w:r w:rsidRPr="000A0A37">
        <w:rPr>
          <w:rFonts w:asciiTheme="majorBidi" w:eastAsia="Times New Roman" w:hAnsiTheme="majorBidi" w:cstheme="majorBidi"/>
          <w:kern w:val="36"/>
          <w:sz w:val="24"/>
          <w:szCs w:val="24"/>
        </w:rPr>
        <w:t>Pelalak</w:t>
      </w:r>
      <w:r w:rsidRPr="000A0A37">
        <w:rPr>
          <w:rFonts w:asciiTheme="majorBidi" w:eastAsia="Times New Roman" w:hAnsiTheme="majorBidi" w:cstheme="majorBidi"/>
          <w:kern w:val="36"/>
          <w:sz w:val="24"/>
          <w:szCs w:val="24"/>
          <w:vertAlign w:val="superscript"/>
        </w:rPr>
        <w:t>b</w:t>
      </w:r>
      <w:proofErr w:type="spellEnd"/>
      <w:r w:rsidRPr="000A0A37">
        <w:rPr>
          <w:rFonts w:asciiTheme="majorBidi" w:eastAsia="Times New Roman" w:hAnsiTheme="majorBidi" w:cstheme="majorBidi"/>
          <w:kern w:val="36"/>
          <w:sz w:val="24"/>
          <w:szCs w:val="24"/>
          <w:vertAlign w:val="superscript"/>
        </w:rPr>
        <w:t>, c</w:t>
      </w:r>
      <w:r w:rsidRPr="000A0A37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, </w:t>
      </w:r>
      <w:proofErr w:type="spellStart"/>
      <w:r w:rsidRPr="000A0A37">
        <w:rPr>
          <w:rFonts w:asciiTheme="majorBidi" w:eastAsia="Times New Roman" w:hAnsiTheme="majorBidi" w:cstheme="majorBidi"/>
          <w:kern w:val="36"/>
          <w:sz w:val="24"/>
          <w:szCs w:val="24"/>
        </w:rPr>
        <w:t>Babak</w:t>
      </w:r>
      <w:proofErr w:type="spellEnd"/>
      <w:r w:rsidRPr="000A0A37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proofErr w:type="spellStart"/>
      <w:r w:rsidRPr="000A0A37">
        <w:rPr>
          <w:rFonts w:asciiTheme="majorBidi" w:eastAsia="Times New Roman" w:hAnsiTheme="majorBidi" w:cstheme="majorBidi"/>
          <w:kern w:val="36"/>
          <w:sz w:val="24"/>
          <w:szCs w:val="24"/>
        </w:rPr>
        <w:t>Kakavandi</w:t>
      </w:r>
      <w:r w:rsidRPr="000A0A37">
        <w:rPr>
          <w:rFonts w:asciiTheme="majorBidi" w:eastAsia="Times New Roman" w:hAnsiTheme="majorBidi" w:cstheme="majorBidi"/>
          <w:kern w:val="36"/>
          <w:sz w:val="24"/>
          <w:szCs w:val="24"/>
          <w:vertAlign w:val="superscript"/>
        </w:rPr>
        <w:t>d</w:t>
      </w:r>
      <w:proofErr w:type="gramStart"/>
      <w:r w:rsidRPr="000A0A37">
        <w:rPr>
          <w:rFonts w:asciiTheme="majorBidi" w:eastAsia="Times New Roman" w:hAnsiTheme="majorBidi" w:cstheme="majorBidi"/>
          <w:kern w:val="36"/>
          <w:sz w:val="24"/>
          <w:szCs w:val="24"/>
          <w:vertAlign w:val="superscript"/>
        </w:rPr>
        <w:t>,e</w:t>
      </w:r>
      <w:proofErr w:type="spellEnd"/>
      <w:proofErr w:type="gramEnd"/>
      <w:r w:rsidRPr="000A0A37">
        <w:rPr>
          <w:rFonts w:asciiTheme="majorBidi" w:eastAsia="Times New Roman" w:hAnsiTheme="majorBidi" w:cstheme="majorBidi"/>
          <w:kern w:val="36"/>
          <w:sz w:val="24"/>
          <w:szCs w:val="24"/>
          <w:vertAlign w:val="superscript"/>
        </w:rPr>
        <w:t>,</w:t>
      </w:r>
      <w:r w:rsidRPr="000A0A37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</w:p>
    <w:p w:rsidR="000A0A37" w:rsidRPr="000A0A37" w:rsidRDefault="000A0A37" w:rsidP="000A0A37">
      <w:pPr>
        <w:spacing w:after="0" w:line="360" w:lineRule="auto"/>
        <w:jc w:val="center"/>
        <w:rPr>
          <w:rFonts w:asciiTheme="majorBidi" w:eastAsia="Times New Roman" w:hAnsiTheme="majorBidi" w:cstheme="majorBidi"/>
          <w:kern w:val="36"/>
          <w:sz w:val="24"/>
          <w:szCs w:val="24"/>
          <w:vertAlign w:val="superscript"/>
        </w:rPr>
      </w:pPr>
    </w:p>
    <w:p w:rsidR="000A0A37" w:rsidRPr="000A0A37" w:rsidRDefault="000A0A37" w:rsidP="000A0A37">
      <w:pPr>
        <w:spacing w:after="0" w:line="360" w:lineRule="auto"/>
        <w:jc w:val="center"/>
        <w:rPr>
          <w:rFonts w:asciiTheme="majorBidi" w:eastAsia="Times New Roman" w:hAnsiTheme="majorBidi" w:cstheme="majorBidi"/>
          <w:kern w:val="36"/>
          <w:sz w:val="24"/>
          <w:szCs w:val="24"/>
          <w:vertAlign w:val="superscript"/>
        </w:rPr>
      </w:pPr>
    </w:p>
    <w:p w:rsidR="000A0A37" w:rsidRPr="000A0A37" w:rsidRDefault="000A0A37" w:rsidP="000A0A37">
      <w:pPr>
        <w:spacing w:after="0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proofErr w:type="gramStart"/>
      <w:r w:rsidRPr="000A0A37">
        <w:rPr>
          <w:rFonts w:asciiTheme="majorBidi" w:hAnsiTheme="majorBidi" w:cstheme="majorBidi"/>
          <w:i/>
          <w:iCs/>
          <w:color w:val="000000" w:themeColor="text1"/>
          <w:sz w:val="24"/>
          <w:szCs w:val="24"/>
          <w:vertAlign w:val="superscript"/>
        </w:rPr>
        <w:t>a</w:t>
      </w:r>
      <w:proofErr w:type="gramEnd"/>
      <w:r w:rsidRPr="000A0A3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Department of Environmental Health Engineering, </w:t>
      </w:r>
      <w:proofErr w:type="spellStart"/>
      <w:r w:rsidRPr="000A0A3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Zabol</w:t>
      </w:r>
      <w:proofErr w:type="spellEnd"/>
      <w:r w:rsidRPr="000A0A3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University of Medical Sciences, </w:t>
      </w:r>
      <w:proofErr w:type="spellStart"/>
      <w:r w:rsidRPr="000A0A3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Zahedam</w:t>
      </w:r>
      <w:proofErr w:type="spellEnd"/>
      <w:r w:rsidRPr="000A0A3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, Iran</w:t>
      </w:r>
    </w:p>
    <w:p w:rsidR="000A0A37" w:rsidRPr="000A0A37" w:rsidRDefault="000A0A37" w:rsidP="000A0A37">
      <w:pPr>
        <w:shd w:val="clear" w:color="auto" w:fill="FFFFFF"/>
        <w:spacing w:after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0A0A37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 xml:space="preserve">b  </w:t>
      </w:r>
      <w:r w:rsidRPr="000A0A37">
        <w:rPr>
          <w:rFonts w:asciiTheme="majorBidi" w:hAnsiTheme="majorBidi" w:cstheme="majorBidi"/>
          <w:i/>
          <w:iCs/>
          <w:sz w:val="24"/>
          <w:szCs w:val="24"/>
        </w:rPr>
        <w:t>Institute</w:t>
      </w:r>
      <w:proofErr w:type="gramEnd"/>
      <w:r w:rsidRPr="000A0A37">
        <w:rPr>
          <w:rFonts w:asciiTheme="majorBidi" w:hAnsiTheme="majorBidi" w:cstheme="majorBidi"/>
          <w:i/>
          <w:iCs/>
          <w:sz w:val="24"/>
          <w:szCs w:val="24"/>
        </w:rPr>
        <w:t xml:space="preserve"> of Research and Development, </w:t>
      </w:r>
      <w:proofErr w:type="spellStart"/>
      <w:r w:rsidRPr="000A0A37">
        <w:rPr>
          <w:rFonts w:asciiTheme="majorBidi" w:hAnsiTheme="majorBidi" w:cstheme="majorBidi"/>
          <w:i/>
          <w:iCs/>
          <w:sz w:val="24"/>
          <w:szCs w:val="24"/>
        </w:rPr>
        <w:t>Duy</w:t>
      </w:r>
      <w:proofErr w:type="spellEnd"/>
      <w:r w:rsidRPr="000A0A37">
        <w:rPr>
          <w:rFonts w:asciiTheme="majorBidi" w:hAnsiTheme="majorBidi" w:cstheme="majorBidi"/>
          <w:i/>
          <w:iCs/>
          <w:sz w:val="24"/>
          <w:szCs w:val="24"/>
        </w:rPr>
        <w:t xml:space="preserve"> Tan University, Da Nang 550000, Vietnam</w:t>
      </w:r>
    </w:p>
    <w:p w:rsidR="000A0A37" w:rsidRPr="000A0A37" w:rsidRDefault="000A0A37" w:rsidP="000A0A37">
      <w:pPr>
        <w:shd w:val="clear" w:color="auto" w:fill="FFFFFF"/>
        <w:spacing w:after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0A0A37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c</w:t>
      </w:r>
      <w:proofErr w:type="gramEnd"/>
      <w:r w:rsidRPr="000A0A37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 xml:space="preserve"> </w:t>
      </w:r>
      <w:r w:rsidRPr="000A0A37">
        <w:rPr>
          <w:rFonts w:asciiTheme="majorBidi" w:hAnsiTheme="majorBidi" w:cstheme="majorBidi"/>
          <w:i/>
          <w:iCs/>
          <w:sz w:val="24"/>
          <w:szCs w:val="24"/>
        </w:rPr>
        <w:t xml:space="preserve">Faculty of Environmental and Chemical Engineering, </w:t>
      </w:r>
      <w:proofErr w:type="spellStart"/>
      <w:r w:rsidRPr="000A0A37">
        <w:rPr>
          <w:rFonts w:asciiTheme="majorBidi" w:hAnsiTheme="majorBidi" w:cstheme="majorBidi"/>
          <w:i/>
          <w:iCs/>
          <w:sz w:val="24"/>
          <w:szCs w:val="24"/>
        </w:rPr>
        <w:t>Duy</w:t>
      </w:r>
      <w:proofErr w:type="spellEnd"/>
      <w:r w:rsidRPr="000A0A37">
        <w:rPr>
          <w:rFonts w:asciiTheme="majorBidi" w:hAnsiTheme="majorBidi" w:cstheme="majorBidi"/>
          <w:i/>
          <w:iCs/>
          <w:sz w:val="24"/>
          <w:szCs w:val="24"/>
        </w:rPr>
        <w:t xml:space="preserve"> Tan University, Da Nang 550000, Vietnam</w:t>
      </w:r>
    </w:p>
    <w:p w:rsidR="000A0A37" w:rsidRPr="000A0A37" w:rsidRDefault="000A0A37" w:rsidP="000A0A37">
      <w:pPr>
        <w:spacing w:after="0"/>
        <w:jc w:val="both"/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</w:pPr>
      <w:proofErr w:type="gramStart"/>
      <w:r w:rsidRPr="000A0A37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vertAlign w:val="superscript"/>
        </w:rPr>
        <w:t>d</w:t>
      </w:r>
      <w:proofErr w:type="gramEnd"/>
      <w:r w:rsidRPr="000A0A37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 xml:space="preserve"> Research Center for Health, Safety and Environment, Alborz University of Medical Sciences, Karaj, Iran</w:t>
      </w:r>
    </w:p>
    <w:p w:rsidR="000A0A37" w:rsidRPr="000A0A37" w:rsidRDefault="000A0A37" w:rsidP="000A0A37">
      <w:pPr>
        <w:spacing w:after="0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proofErr w:type="gramStart"/>
      <w:r w:rsidRPr="000A0A37">
        <w:rPr>
          <w:rFonts w:asciiTheme="majorBidi" w:hAnsiTheme="majorBidi" w:cstheme="majorBidi"/>
          <w:i/>
          <w:iCs/>
          <w:color w:val="000000" w:themeColor="text1"/>
          <w:sz w:val="24"/>
          <w:szCs w:val="24"/>
          <w:vertAlign w:val="superscript"/>
        </w:rPr>
        <w:t>e</w:t>
      </w:r>
      <w:proofErr w:type="gramEnd"/>
      <w:r w:rsidRPr="000A0A3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Department of Environmental Health Engineering, Alborz University of Medical Sciences, Karaj, Iran</w:t>
      </w:r>
    </w:p>
    <w:p w:rsidR="000A0A37" w:rsidRPr="00E51CDF" w:rsidRDefault="000A0A37" w:rsidP="000A0A37">
      <w:pPr>
        <w:spacing w:after="0"/>
        <w:jc w:val="both"/>
        <w:rPr>
          <w:rFonts w:asciiTheme="majorBidi" w:hAnsiTheme="majorBidi" w:cstheme="majorBidi"/>
          <w:i/>
          <w:iCs/>
          <w:color w:val="000000" w:themeColor="text1"/>
        </w:rPr>
      </w:pPr>
    </w:p>
    <w:p w:rsidR="000A0A37" w:rsidRPr="00E51CDF" w:rsidRDefault="000A0A37" w:rsidP="000A0A37">
      <w:pPr>
        <w:spacing w:after="0" w:line="480" w:lineRule="auto"/>
        <w:jc w:val="both"/>
        <w:rPr>
          <w:rFonts w:asciiTheme="majorBidi" w:hAnsiTheme="majorBidi" w:cstheme="majorBidi"/>
          <w:i/>
          <w:iCs/>
          <w:color w:val="000000" w:themeColor="text1"/>
        </w:rPr>
      </w:pPr>
    </w:p>
    <w:p w:rsidR="000A0A37" w:rsidRDefault="000A0A37"/>
    <w:p w:rsidR="000A0A37" w:rsidRDefault="000A0A37"/>
    <w:p w:rsidR="000A0A37" w:rsidRDefault="000A0A37"/>
    <w:p w:rsidR="000A0A37" w:rsidRDefault="000A0A37"/>
    <w:p w:rsidR="000A0A37" w:rsidRDefault="000A0A37"/>
    <w:p w:rsidR="000A0A37" w:rsidRDefault="000A0A37"/>
    <w:p w:rsidR="000A0A37" w:rsidRDefault="000A0A37"/>
    <w:p w:rsidR="000A0A37" w:rsidRDefault="000A0A37"/>
    <w:p w:rsidR="000A0A37" w:rsidRDefault="000A0A37"/>
    <w:p w:rsidR="000A0A37" w:rsidRPr="00EE282C" w:rsidRDefault="000A0A37" w:rsidP="000A0A3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E282C">
        <w:rPr>
          <w:b/>
          <w:bCs/>
          <w:color w:val="0000FF"/>
        </w:rPr>
        <w:t>Table S1</w:t>
      </w:r>
    </w:p>
    <w:p w:rsidR="000A0A37" w:rsidRDefault="000A0A37" w:rsidP="000A0A37">
      <w:pPr>
        <w:spacing w:line="240" w:lineRule="auto"/>
        <w:jc w:val="both"/>
        <w:rPr>
          <w:rFonts w:asciiTheme="majorBidi" w:hAnsiTheme="majorBidi" w:cstheme="majorBidi"/>
        </w:rPr>
      </w:pPr>
      <w:r w:rsidRPr="00276052">
        <w:rPr>
          <w:rFonts w:asciiTheme="majorBidi" w:hAnsiTheme="majorBidi" w:cstheme="majorBidi"/>
        </w:rPr>
        <w:t xml:space="preserve">CCD </w:t>
      </w:r>
      <w:proofErr w:type="gramStart"/>
      <w:r>
        <w:rPr>
          <w:rFonts w:asciiTheme="majorBidi" w:hAnsiTheme="majorBidi" w:cstheme="majorBidi"/>
        </w:rPr>
        <w:t>experiments</w:t>
      </w:r>
      <w:r w:rsidRPr="0027605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and</w:t>
      </w:r>
      <w:r w:rsidRPr="00276052">
        <w:rPr>
          <w:rFonts w:asciiTheme="majorBidi" w:hAnsiTheme="majorBidi" w:cstheme="majorBidi"/>
        </w:rPr>
        <w:t xml:space="preserve"> observe</w:t>
      </w:r>
      <w:r>
        <w:rPr>
          <w:rFonts w:asciiTheme="majorBidi" w:hAnsiTheme="majorBidi" w:cstheme="majorBidi"/>
        </w:rPr>
        <w:t>d</w:t>
      </w:r>
      <w:proofErr w:type="gramEnd"/>
      <w:r>
        <w:rPr>
          <w:rFonts w:asciiTheme="majorBidi" w:hAnsiTheme="majorBidi" w:cstheme="majorBidi"/>
        </w:rPr>
        <w:t xml:space="preserve"> and predicted </w:t>
      </w:r>
      <w:r w:rsidRPr="00276052">
        <w:rPr>
          <w:rFonts w:asciiTheme="majorBidi" w:hAnsiTheme="majorBidi" w:cstheme="majorBidi"/>
        </w:rPr>
        <w:t>removal</w:t>
      </w:r>
      <w:r>
        <w:rPr>
          <w:rFonts w:asciiTheme="majorBidi" w:hAnsiTheme="majorBidi" w:cstheme="majorBidi"/>
        </w:rPr>
        <w:t xml:space="preserve"> efficiencies</w:t>
      </w:r>
      <w:r w:rsidRPr="00276052">
        <w:rPr>
          <w:rFonts w:asciiTheme="majorBidi" w:hAnsiTheme="majorBidi" w:cstheme="majorBidi"/>
        </w:rPr>
        <w:t xml:space="preserve"> using</w:t>
      </w:r>
      <w:r>
        <w:rPr>
          <w:rFonts w:asciiTheme="majorBidi" w:hAnsiTheme="majorBidi" w:cstheme="majorBidi"/>
        </w:rPr>
        <w:t xml:space="preserve"> CuFe</w:t>
      </w:r>
      <w:r w:rsidRPr="00CC2509">
        <w:rPr>
          <w:rFonts w:asciiTheme="majorBidi" w:hAnsiTheme="majorBidi" w:cstheme="majorBidi"/>
          <w:vertAlign w:val="subscript"/>
        </w:rPr>
        <w:t>2</w:t>
      </w:r>
      <w:r>
        <w:rPr>
          <w:rFonts w:asciiTheme="majorBidi" w:hAnsiTheme="majorBidi" w:cstheme="majorBidi"/>
        </w:rPr>
        <w:t>O</w:t>
      </w:r>
      <w:r w:rsidRPr="00CC2509">
        <w:rPr>
          <w:rFonts w:asciiTheme="majorBidi" w:hAnsiTheme="majorBidi" w:cstheme="majorBidi"/>
          <w:vertAlign w:val="subscript"/>
        </w:rPr>
        <w:t>4</w:t>
      </w:r>
      <w:r>
        <w:rPr>
          <w:rFonts w:asciiTheme="majorBidi" w:hAnsiTheme="majorBidi" w:cstheme="majorBidi"/>
        </w:rPr>
        <w:t>/UV/PMS</w:t>
      </w:r>
      <w:r w:rsidRPr="00276052">
        <w:rPr>
          <w:rFonts w:asciiTheme="majorBidi" w:hAnsiTheme="majorBidi" w:cstheme="majorBidi"/>
        </w:rPr>
        <w:t xml:space="preserve"> system.</w:t>
      </w:r>
    </w:p>
    <w:tbl>
      <w:tblPr>
        <w:tblW w:w="890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251"/>
        <w:gridCol w:w="990"/>
        <w:gridCol w:w="1080"/>
        <w:gridCol w:w="1070"/>
        <w:gridCol w:w="1260"/>
        <w:gridCol w:w="1224"/>
        <w:gridCol w:w="1224"/>
      </w:tblGrid>
      <w:tr w:rsidR="000A0A37" w:rsidRPr="00696EEC" w:rsidTr="004E431D">
        <w:trPr>
          <w:trHeight w:val="395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lastRenderedPageBreak/>
              <w:t>Run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A37" w:rsidRDefault="000A0A37" w:rsidP="004E431D">
            <w:pPr>
              <w:spacing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Independent variables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:rsidR="000A0A37" w:rsidRDefault="000A0A37" w:rsidP="004E431D">
            <w:pPr>
              <w:spacing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Actual (</w:t>
            </w:r>
            <w:proofErr w:type="gramStart"/>
            <w:r>
              <w:rPr>
                <w:rFonts w:asciiTheme="majorBidi" w:hAnsiTheme="majorBidi" w:cstheme="majorBidi"/>
              </w:rPr>
              <w:t>Re%</w:t>
            </w:r>
            <w:proofErr w:type="gramEnd"/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A0A37" w:rsidRDefault="000A0A37" w:rsidP="004E431D">
            <w:pPr>
              <w:spacing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Predicted (</w:t>
            </w:r>
            <w:proofErr w:type="gramStart"/>
            <w:r>
              <w:rPr>
                <w:rFonts w:asciiTheme="majorBidi" w:hAnsiTheme="majorBidi" w:cstheme="majorBidi"/>
              </w:rPr>
              <w:t>Re%</w:t>
            </w:r>
            <w:proofErr w:type="gramEnd"/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A0A37" w:rsidRDefault="000A0A37" w:rsidP="004E431D">
            <w:pPr>
              <w:spacing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Residual</w:t>
            </w:r>
          </w:p>
        </w:tc>
      </w:tr>
      <w:tr w:rsidR="000A0A37" w:rsidRPr="00696EEC" w:rsidTr="004E431D">
        <w:trPr>
          <w:trHeight w:val="357"/>
          <w:jc w:val="center"/>
        </w:trPr>
        <w:tc>
          <w:tcPr>
            <w:tcW w:w="80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0A37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0A0A37" w:rsidRDefault="000A0A37" w:rsidP="004E431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D4F01">
              <w:rPr>
                <w:rFonts w:asciiTheme="majorBidi" w:hAnsiTheme="majorBidi" w:cstheme="majorBidi"/>
                <w:i/>
                <w:iCs/>
              </w:rPr>
              <w:t>x</w:t>
            </w:r>
            <w:r w:rsidRPr="00FD4F01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A0A37" w:rsidRDefault="000A0A37" w:rsidP="004E431D">
            <w:pPr>
              <w:jc w:val="center"/>
              <w:rPr>
                <w:rFonts w:asciiTheme="majorBidi" w:hAnsiTheme="majorBidi" w:cstheme="majorBidi"/>
              </w:rPr>
            </w:pPr>
            <w:r w:rsidRPr="00FD4F01">
              <w:rPr>
                <w:rFonts w:asciiTheme="majorBidi" w:hAnsiTheme="majorBidi" w:cstheme="majorBidi"/>
                <w:i/>
                <w:iCs/>
              </w:rPr>
              <w:t>x</w:t>
            </w:r>
            <w:r w:rsidRPr="00FD4F01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A0A37" w:rsidRDefault="000A0A37" w:rsidP="004E431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D4F01">
              <w:rPr>
                <w:rFonts w:asciiTheme="majorBidi" w:hAnsiTheme="majorBidi" w:cstheme="majorBidi"/>
                <w:i/>
                <w:iCs/>
              </w:rPr>
              <w:t>x</w:t>
            </w:r>
            <w:r w:rsidRPr="00FD4F01">
              <w:rPr>
                <w:rFonts w:asciiTheme="majorBidi" w:hAnsiTheme="majorBidi" w:cstheme="majorBidi"/>
                <w:vertAlign w:val="subscript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A0A37" w:rsidRDefault="000A0A37" w:rsidP="004E431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D4F01">
              <w:rPr>
                <w:rFonts w:asciiTheme="majorBidi" w:hAnsiTheme="majorBidi" w:cstheme="majorBidi"/>
                <w:i/>
                <w:iCs/>
              </w:rPr>
              <w:t>x</w:t>
            </w:r>
            <w:r w:rsidRPr="00FD4F01">
              <w:rPr>
                <w:rFonts w:asciiTheme="majorBidi" w:hAnsiTheme="majorBidi" w:cstheme="majorBidi"/>
                <w:vertAlign w:val="subscript"/>
              </w:rPr>
              <w:t>4</w:t>
            </w:r>
          </w:p>
        </w:tc>
        <w:tc>
          <w:tcPr>
            <w:tcW w:w="1260" w:type="dxa"/>
            <w:vMerge/>
            <w:tcBorders>
              <w:top w:val="nil"/>
              <w:bottom w:val="single" w:sz="4" w:space="0" w:color="auto"/>
            </w:tcBorders>
            <w:noWrap/>
            <w:vAlign w:val="center"/>
          </w:tcPr>
          <w:p w:rsidR="000A0A37" w:rsidRDefault="000A0A37" w:rsidP="004E431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24" w:type="dxa"/>
            <w:vMerge/>
            <w:tcBorders>
              <w:top w:val="nil"/>
              <w:bottom w:val="single" w:sz="4" w:space="0" w:color="auto"/>
            </w:tcBorders>
          </w:tcPr>
          <w:p w:rsidR="000A0A37" w:rsidRDefault="000A0A37" w:rsidP="004E431D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24" w:type="dxa"/>
            <w:vMerge/>
            <w:tcBorders>
              <w:top w:val="nil"/>
              <w:bottom w:val="single" w:sz="4" w:space="0" w:color="auto"/>
            </w:tcBorders>
          </w:tcPr>
          <w:p w:rsidR="000A0A37" w:rsidRDefault="000A0A37" w:rsidP="004E431D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0.2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55.97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57.56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="Calibri" w:eastAsia="Times New Roman" w:hAnsi="Calibri" w:cstheme="majorBidi"/>
              </w:rPr>
              <w:t>‐</w:t>
            </w:r>
            <w:r>
              <w:rPr>
                <w:rFonts w:asciiTheme="majorBidi" w:eastAsia="Times New Roman" w:hAnsiTheme="majorBidi" w:cstheme="majorBidi"/>
              </w:rPr>
              <w:t>1.59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57.31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58.04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="Calibri" w:eastAsia="Times New Roman" w:hAnsi="Calibri" w:cstheme="majorBidi"/>
              </w:rPr>
              <w:t>‐</w:t>
            </w:r>
            <w:r>
              <w:rPr>
                <w:rFonts w:asciiTheme="majorBidi" w:eastAsia="Times New Roman" w:hAnsiTheme="majorBidi" w:cstheme="majorBidi"/>
              </w:rPr>
              <w:t>0.73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40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55.24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52.56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2.68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40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44.11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43.54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0.56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58.06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58.04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0.022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40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72.39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70.38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2.01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7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52.35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55.83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="Calibri" w:eastAsia="Times New Roman" w:hAnsi="Calibri" w:cstheme="majorBidi"/>
              </w:rPr>
              <w:t>‐</w:t>
            </w:r>
            <w:r>
              <w:rPr>
                <w:rFonts w:asciiTheme="majorBidi" w:eastAsia="Times New Roman" w:hAnsiTheme="majorBidi" w:cstheme="majorBidi"/>
              </w:rPr>
              <w:t>3.48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8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40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59.42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58.63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0.79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9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40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46.42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42.87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3.54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10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67.67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67.15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0.52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11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81.96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83.50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="Calibri" w:eastAsia="Times New Roman" w:hAnsi="Calibri" w:cstheme="majorBidi"/>
              </w:rPr>
              <w:t>‐</w:t>
            </w:r>
            <w:r>
              <w:rPr>
                <w:rFonts w:asciiTheme="majorBidi" w:eastAsia="Times New Roman" w:hAnsiTheme="majorBidi" w:cstheme="majorBidi"/>
              </w:rPr>
              <w:t>1.54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12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40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52.74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54.89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="Calibri" w:eastAsia="Times New Roman" w:hAnsi="Calibri" w:cstheme="majorBidi"/>
              </w:rPr>
              <w:t>‐</w:t>
            </w:r>
            <w:r>
              <w:rPr>
                <w:rFonts w:asciiTheme="majorBidi" w:eastAsia="Times New Roman" w:hAnsiTheme="majorBidi" w:cstheme="majorBidi"/>
              </w:rPr>
              <w:t>2.15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13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63.27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64.94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="Calibri" w:eastAsia="Times New Roman" w:hAnsi="Calibri" w:cstheme="majorBidi"/>
              </w:rPr>
              <w:t>‐</w:t>
            </w:r>
            <w:r>
              <w:rPr>
                <w:rFonts w:asciiTheme="majorBidi" w:eastAsia="Times New Roman" w:hAnsiTheme="majorBidi" w:cstheme="majorBidi"/>
              </w:rPr>
              <w:t>1.68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14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40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68.54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66.62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1.93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15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50.99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56.67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="Calibri" w:eastAsia="Times New Roman" w:hAnsi="Calibri" w:cstheme="majorBidi"/>
              </w:rPr>
              <w:t>‐</w:t>
            </w:r>
            <w:r>
              <w:rPr>
                <w:rFonts w:asciiTheme="majorBidi" w:eastAsia="Times New Roman" w:hAnsiTheme="majorBidi" w:cstheme="majorBidi"/>
              </w:rPr>
              <w:t>5.68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16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50.22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51.51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="Calibri" w:eastAsia="Times New Roman" w:hAnsi="Calibri" w:cstheme="majorBidi"/>
              </w:rPr>
              <w:t>‐</w:t>
            </w:r>
            <w:r>
              <w:rPr>
                <w:rFonts w:asciiTheme="majorBidi" w:eastAsia="Times New Roman" w:hAnsiTheme="majorBidi" w:cstheme="majorBidi"/>
              </w:rPr>
              <w:t>1.29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17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0.3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2.5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68.51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67.87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0.64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18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0.3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1.5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50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46.30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49.65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="Calibri" w:eastAsia="Times New Roman" w:hAnsi="Calibri" w:cstheme="majorBidi"/>
              </w:rPr>
              <w:t>‐</w:t>
            </w:r>
            <w:r>
              <w:rPr>
                <w:rFonts w:asciiTheme="majorBidi" w:eastAsia="Times New Roman" w:hAnsiTheme="majorBidi" w:cstheme="majorBidi"/>
              </w:rPr>
              <w:t>3.35</w:t>
            </w:r>
          </w:p>
        </w:tc>
      </w:tr>
      <w:tr w:rsidR="000A0A37" w:rsidRPr="00696EEC" w:rsidTr="004E431D">
        <w:trPr>
          <w:trHeight w:val="251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19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0.2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20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96EEC">
              <w:rPr>
                <w:rFonts w:asciiTheme="majorBidi" w:eastAsia="Times New Roman" w:hAnsiTheme="majorBidi" w:cstheme="majorBidi"/>
              </w:rPr>
              <w:t>66.9</w:t>
            </w:r>
            <w:r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65.24</w:t>
            </w:r>
          </w:p>
        </w:tc>
        <w:tc>
          <w:tcPr>
            <w:tcW w:w="1224" w:type="dxa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1.7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20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68.41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66.48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1.93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21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57.66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58.04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="Calibri" w:eastAsia="Times New Roman" w:hAnsi="Calibri" w:cstheme="majorBidi"/>
              </w:rPr>
              <w:t>‐</w:t>
            </w:r>
            <w:r w:rsidRPr="00A25AD0">
              <w:rPr>
                <w:rFonts w:asciiTheme="majorBidi" w:eastAsia="Times New Roman" w:hAnsiTheme="majorBidi" w:cstheme="majorBidi"/>
              </w:rPr>
              <w:t>0.38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22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90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75.17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72.33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2.84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23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78.27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81.47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="Calibri" w:eastAsia="Times New Roman" w:hAnsi="Calibri" w:cstheme="majorBidi"/>
              </w:rPr>
              <w:t>‐</w:t>
            </w:r>
            <w:r w:rsidRPr="00A25AD0">
              <w:rPr>
                <w:rFonts w:asciiTheme="majorBidi" w:eastAsia="Times New Roman" w:hAnsiTheme="majorBidi" w:cstheme="majorBidi"/>
              </w:rPr>
              <w:t>3.21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24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68.27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65.78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2.48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25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78.93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79.11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="Calibri" w:eastAsia="Times New Roman" w:hAnsi="Calibri" w:cstheme="majorBidi"/>
              </w:rPr>
              <w:t>‐</w:t>
            </w:r>
            <w:r w:rsidRPr="00A25AD0">
              <w:rPr>
                <w:rFonts w:asciiTheme="majorBidi" w:eastAsia="Times New Roman" w:hAnsiTheme="majorBidi" w:cstheme="majorBidi"/>
              </w:rPr>
              <w:t>0.18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26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58.65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58.04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0.61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27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58.25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58.04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0.21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28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1.5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58.31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58.04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0.27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29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40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80.18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80.02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0.16</w:t>
            </w:r>
          </w:p>
        </w:tc>
      </w:tr>
      <w:tr w:rsidR="000A0A37" w:rsidRPr="00696EEC" w:rsidTr="004E431D">
        <w:trPr>
          <w:trHeight w:val="300"/>
          <w:jc w:val="center"/>
        </w:trPr>
        <w:tc>
          <w:tcPr>
            <w:tcW w:w="806" w:type="dxa"/>
            <w:shd w:val="clear" w:color="auto" w:fill="auto"/>
            <w:noWrap/>
            <w:vAlign w:val="bottom"/>
          </w:tcPr>
          <w:p w:rsidR="000A0A37" w:rsidRPr="00696EEC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0.2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61.26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58.92</w:t>
            </w:r>
          </w:p>
        </w:tc>
        <w:tc>
          <w:tcPr>
            <w:tcW w:w="1224" w:type="dxa"/>
          </w:tcPr>
          <w:p w:rsidR="000A0A37" w:rsidRPr="00A25AD0" w:rsidRDefault="000A0A37" w:rsidP="004E43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25AD0">
              <w:rPr>
                <w:rFonts w:asciiTheme="majorBidi" w:eastAsia="Times New Roman" w:hAnsiTheme="majorBidi" w:cstheme="majorBidi"/>
              </w:rPr>
              <w:t>2.34</w:t>
            </w:r>
          </w:p>
        </w:tc>
      </w:tr>
    </w:tbl>
    <w:p w:rsidR="000A0A37" w:rsidRDefault="000A0A37"/>
    <w:p w:rsidR="000A0A37" w:rsidRDefault="000A0A37"/>
    <w:p w:rsidR="000A0A37" w:rsidRDefault="000A0A37"/>
    <w:p w:rsidR="000A0A37" w:rsidRDefault="000A0A37"/>
    <w:p w:rsidR="000A0A37" w:rsidRDefault="000A0A37"/>
    <w:p w:rsidR="000A0A37" w:rsidRPr="002B181B" w:rsidRDefault="000A0A37" w:rsidP="000A0A3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</w:rPr>
      </w:pPr>
      <w:r w:rsidRPr="002B181B">
        <w:rPr>
          <w:rFonts w:asciiTheme="majorBidi" w:hAnsiTheme="majorBidi" w:cstheme="majorBidi"/>
          <w:b/>
          <w:bCs/>
          <w:color w:val="0000FF"/>
        </w:rPr>
        <w:t>Table S2</w:t>
      </w:r>
    </w:p>
    <w:p w:rsidR="000A0A37" w:rsidRPr="00885E3B" w:rsidRDefault="000A0A37" w:rsidP="000A0A37">
      <w:pPr>
        <w:autoSpaceDE w:val="0"/>
        <w:autoSpaceDN w:val="0"/>
        <w:adjustRightInd w:val="0"/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Results of </w:t>
      </w:r>
      <w:r w:rsidRPr="00885E3B">
        <w:rPr>
          <w:rFonts w:asciiTheme="majorBidi" w:hAnsiTheme="majorBidi" w:cstheme="majorBidi"/>
        </w:rPr>
        <w:t>ANOVA for response surface quadratic model</w:t>
      </w:r>
      <w:r>
        <w:rPr>
          <w:rFonts w:asciiTheme="majorBidi" w:hAnsiTheme="majorBidi" w:cstheme="majorBidi"/>
        </w:rPr>
        <w:t>.</w:t>
      </w:r>
    </w:p>
    <w:tbl>
      <w:tblPr>
        <w:tblStyle w:val="TableGrid"/>
        <w:tblW w:w="89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1416"/>
        <w:gridCol w:w="708"/>
        <w:gridCol w:w="2123"/>
        <w:gridCol w:w="876"/>
        <w:gridCol w:w="1439"/>
      </w:tblGrid>
      <w:tr w:rsidR="000A0A37" w:rsidRPr="007B2F99" w:rsidTr="004E431D">
        <w:trPr>
          <w:jc w:val="center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7B2F99">
              <w:rPr>
                <w:szCs w:val="22"/>
                <w:lang w:bidi="ar-SA"/>
              </w:rPr>
              <w:lastRenderedPageBreak/>
              <w:t>Source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7B2F99">
              <w:rPr>
                <w:szCs w:val="22"/>
                <w:lang w:bidi="ar-SA"/>
              </w:rPr>
              <w:t>Sum of squares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proofErr w:type="spellStart"/>
            <w:r w:rsidRPr="007B2F99">
              <w:rPr>
                <w:szCs w:val="22"/>
                <w:lang w:bidi="ar-SA"/>
              </w:rPr>
              <w:t>df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7B2F99">
              <w:rPr>
                <w:szCs w:val="22"/>
                <w:lang w:bidi="ar-SA"/>
              </w:rPr>
              <w:t>Mean Square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7B2F99">
              <w:rPr>
                <w:szCs w:val="22"/>
                <w:lang w:bidi="ar-SA"/>
              </w:rPr>
              <w:t>F Value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7B2F99">
              <w:rPr>
                <w:szCs w:val="22"/>
                <w:lang w:bidi="ar-SA"/>
              </w:rPr>
              <w:t>p-value</w:t>
            </w:r>
          </w:p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proofErr w:type="spellStart"/>
            <w:r w:rsidRPr="007B2F99">
              <w:rPr>
                <w:szCs w:val="22"/>
                <w:lang w:bidi="ar-SA"/>
              </w:rPr>
              <w:t>Prob</w:t>
            </w:r>
            <w:proofErr w:type="spellEnd"/>
            <w:r w:rsidRPr="007B2F99">
              <w:rPr>
                <w:szCs w:val="22"/>
                <w:lang w:bidi="ar-SA"/>
              </w:rPr>
              <w:t xml:space="preserve"> &gt; F</w:t>
            </w: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  <w:tcBorders>
              <w:top w:val="single" w:sz="4" w:space="0" w:color="auto"/>
            </w:tcBorders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Model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3081.86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14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220.13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24.18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&lt; 0.0001</w:t>
            </w: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AdvGulliv-R" w:hAnsiTheme="majorBidi" w:cstheme="majorBidi"/>
                <w:i/>
                <w:iCs/>
                <w:szCs w:val="22"/>
              </w:rPr>
            </w:pPr>
            <w:r w:rsidRPr="009F246D">
              <w:rPr>
                <w:rFonts w:asciiTheme="majorBidi" w:eastAsia="AdvGulliv-R" w:hAnsiTheme="majorBidi" w:cstheme="majorBidi"/>
                <w:i/>
                <w:iCs/>
                <w:szCs w:val="22"/>
              </w:rPr>
              <w:t>x</w:t>
            </w:r>
            <w:r w:rsidRPr="009F246D">
              <w:rPr>
                <w:rFonts w:asciiTheme="majorBidi" w:eastAsia="AdvGulliv-R" w:hAnsiTheme="majorBidi" w:cstheme="majorBidi"/>
                <w:i/>
                <w:iCs/>
                <w:szCs w:val="22"/>
                <w:vertAlign w:val="subscript"/>
              </w:rPr>
              <w:t xml:space="preserve">1 </w:t>
            </w:r>
            <w:r w:rsidRPr="009F246D">
              <w:rPr>
                <w:rFonts w:ascii="Cambria Math" w:eastAsia="AdvGulliv-R" w:hAnsi="Cambria Math" w:cs="Cambria Math"/>
                <w:i/>
                <w:iCs/>
                <w:szCs w:val="22"/>
              </w:rPr>
              <w:t xml:space="preserve">‒ </w:t>
            </w:r>
            <w:r w:rsidRPr="009F246D">
              <w:rPr>
                <w:rFonts w:asciiTheme="majorBidi" w:eastAsia="AdvGulliv-R" w:hAnsiTheme="majorBidi" w:cstheme="majorBidi"/>
                <w:szCs w:val="22"/>
              </w:rPr>
              <w:t>Catalyst dosage</w:t>
            </w:r>
          </w:p>
        </w:tc>
        <w:tc>
          <w:tcPr>
            <w:tcW w:w="1416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1535.24</w:t>
            </w:r>
          </w:p>
        </w:tc>
        <w:tc>
          <w:tcPr>
            <w:tcW w:w="708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1</w:t>
            </w:r>
          </w:p>
        </w:tc>
        <w:tc>
          <w:tcPr>
            <w:tcW w:w="2123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1535.24</w:t>
            </w:r>
          </w:p>
        </w:tc>
        <w:tc>
          <w:tcPr>
            <w:tcW w:w="876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168.65</w:t>
            </w:r>
          </w:p>
        </w:tc>
        <w:tc>
          <w:tcPr>
            <w:tcW w:w="1439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&lt; 0.0001</w:t>
            </w: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9F246D">
              <w:rPr>
                <w:i/>
                <w:iCs/>
                <w:szCs w:val="22"/>
                <w:lang w:bidi="ar-SA"/>
              </w:rPr>
              <w:t>x</w:t>
            </w:r>
            <w:r w:rsidRPr="009F246D">
              <w:rPr>
                <w:szCs w:val="22"/>
                <w:vertAlign w:val="subscript"/>
                <w:lang w:bidi="ar-SA"/>
              </w:rPr>
              <w:t xml:space="preserve">2 </w:t>
            </w:r>
            <w:r w:rsidRPr="009F246D">
              <w:rPr>
                <w:rFonts w:ascii="Calibri" w:hAnsi="Calibri"/>
                <w:szCs w:val="22"/>
                <w:lang w:bidi="ar-SA"/>
              </w:rPr>
              <w:t xml:space="preserve">‒ </w:t>
            </w:r>
            <w:r w:rsidRPr="009F246D">
              <w:rPr>
                <w:szCs w:val="22"/>
                <w:lang w:bidi="ar-SA"/>
              </w:rPr>
              <w:t>PMS Conc.</w:t>
            </w:r>
          </w:p>
        </w:tc>
        <w:tc>
          <w:tcPr>
            <w:tcW w:w="1416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217.56</w:t>
            </w:r>
          </w:p>
        </w:tc>
        <w:tc>
          <w:tcPr>
            <w:tcW w:w="708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1</w:t>
            </w:r>
          </w:p>
        </w:tc>
        <w:tc>
          <w:tcPr>
            <w:tcW w:w="2123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217.56</w:t>
            </w:r>
          </w:p>
        </w:tc>
        <w:tc>
          <w:tcPr>
            <w:tcW w:w="876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23.9</w:t>
            </w:r>
          </w:p>
        </w:tc>
        <w:tc>
          <w:tcPr>
            <w:tcW w:w="1439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0.0002</w:t>
            </w: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9F246D">
              <w:rPr>
                <w:i/>
                <w:iCs/>
                <w:szCs w:val="22"/>
                <w:lang w:bidi="ar-SA"/>
              </w:rPr>
              <w:t>x</w:t>
            </w:r>
            <w:r w:rsidRPr="009F246D">
              <w:rPr>
                <w:szCs w:val="22"/>
                <w:vertAlign w:val="subscript"/>
                <w:lang w:bidi="ar-SA"/>
              </w:rPr>
              <w:t xml:space="preserve">3 </w:t>
            </w:r>
            <w:r w:rsidRPr="009F246D">
              <w:rPr>
                <w:rFonts w:ascii="Calibri" w:hAnsi="Calibri"/>
                <w:szCs w:val="22"/>
                <w:lang w:bidi="ar-SA"/>
              </w:rPr>
              <w:t xml:space="preserve">‒ </w:t>
            </w:r>
            <w:r w:rsidRPr="009F246D">
              <w:rPr>
                <w:szCs w:val="22"/>
                <w:lang w:bidi="ar-SA"/>
              </w:rPr>
              <w:t>BTA Conc.</w:t>
            </w:r>
          </w:p>
        </w:tc>
        <w:tc>
          <w:tcPr>
            <w:tcW w:w="1416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459.54</w:t>
            </w:r>
          </w:p>
        </w:tc>
        <w:tc>
          <w:tcPr>
            <w:tcW w:w="708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1</w:t>
            </w:r>
          </w:p>
        </w:tc>
        <w:tc>
          <w:tcPr>
            <w:tcW w:w="2123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459.54</w:t>
            </w:r>
          </w:p>
        </w:tc>
        <w:tc>
          <w:tcPr>
            <w:tcW w:w="876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50.48</w:t>
            </w:r>
          </w:p>
        </w:tc>
        <w:tc>
          <w:tcPr>
            <w:tcW w:w="1439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&lt;0.0001</w:t>
            </w: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9F246D">
              <w:rPr>
                <w:i/>
                <w:iCs/>
                <w:szCs w:val="22"/>
                <w:lang w:bidi="ar-SA"/>
              </w:rPr>
              <w:t>x</w:t>
            </w:r>
            <w:r w:rsidRPr="009F246D">
              <w:rPr>
                <w:szCs w:val="22"/>
                <w:vertAlign w:val="subscript"/>
                <w:lang w:bidi="ar-SA"/>
              </w:rPr>
              <w:t xml:space="preserve">4 </w:t>
            </w:r>
            <w:r w:rsidRPr="009F246D">
              <w:rPr>
                <w:rFonts w:ascii="Calibri" w:hAnsi="Calibri"/>
                <w:szCs w:val="22"/>
                <w:lang w:bidi="ar-SA"/>
              </w:rPr>
              <w:t xml:space="preserve">‒ </w:t>
            </w:r>
            <w:r w:rsidRPr="009F246D">
              <w:rPr>
                <w:szCs w:val="22"/>
                <w:lang w:bidi="ar-SA"/>
              </w:rPr>
              <w:t>Reaction time</w:t>
            </w:r>
          </w:p>
        </w:tc>
        <w:tc>
          <w:tcPr>
            <w:tcW w:w="1416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368.06</w:t>
            </w:r>
          </w:p>
        </w:tc>
        <w:tc>
          <w:tcPr>
            <w:tcW w:w="708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1</w:t>
            </w:r>
          </w:p>
        </w:tc>
        <w:tc>
          <w:tcPr>
            <w:tcW w:w="2123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368.06</w:t>
            </w:r>
          </w:p>
        </w:tc>
        <w:tc>
          <w:tcPr>
            <w:tcW w:w="876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40.43</w:t>
            </w:r>
          </w:p>
        </w:tc>
        <w:tc>
          <w:tcPr>
            <w:tcW w:w="1439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&lt;0.0001</w:t>
            </w:r>
          </w:p>
        </w:tc>
      </w:tr>
      <w:tr w:rsidR="000A0A37" w:rsidRPr="007B2F99" w:rsidTr="004E431D">
        <w:trPr>
          <w:trHeight w:val="278"/>
          <w:jc w:val="center"/>
        </w:trPr>
        <w:tc>
          <w:tcPr>
            <w:tcW w:w="2414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rPr>
                <w:i/>
                <w:iCs/>
                <w:szCs w:val="22"/>
                <w:lang w:bidi="ar-SA"/>
              </w:rPr>
            </w:pPr>
            <w:r w:rsidRPr="009F246D">
              <w:rPr>
                <w:rFonts w:asciiTheme="majorBidi" w:eastAsia="AdvGulliv-R" w:hAnsiTheme="majorBidi" w:cstheme="majorBidi"/>
                <w:i/>
                <w:iCs/>
                <w:szCs w:val="22"/>
              </w:rPr>
              <w:t>x</w:t>
            </w:r>
            <w:r w:rsidRPr="009F246D">
              <w:rPr>
                <w:rFonts w:asciiTheme="majorBidi" w:eastAsia="AdvGulliv-R" w:hAnsiTheme="majorBidi" w:cstheme="majorBidi"/>
                <w:i/>
                <w:iCs/>
                <w:szCs w:val="22"/>
                <w:vertAlign w:val="subscript"/>
              </w:rPr>
              <w:t xml:space="preserve">1 </w:t>
            </w:r>
            <w:r w:rsidRPr="009F246D">
              <w:rPr>
                <w:i/>
                <w:iCs/>
                <w:szCs w:val="22"/>
                <w:lang w:bidi="ar-SA"/>
              </w:rPr>
              <w:t>x</w:t>
            </w:r>
            <w:r w:rsidRPr="009F246D">
              <w:rPr>
                <w:szCs w:val="22"/>
                <w:vertAlign w:val="subscript"/>
                <w:lang w:bidi="ar-SA"/>
              </w:rPr>
              <w:t>2</w:t>
            </w:r>
          </w:p>
        </w:tc>
        <w:tc>
          <w:tcPr>
            <w:tcW w:w="1416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4.24</w:t>
            </w:r>
          </w:p>
        </w:tc>
        <w:tc>
          <w:tcPr>
            <w:tcW w:w="708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1</w:t>
            </w:r>
          </w:p>
        </w:tc>
        <w:tc>
          <w:tcPr>
            <w:tcW w:w="2123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4.24</w:t>
            </w:r>
          </w:p>
        </w:tc>
        <w:tc>
          <w:tcPr>
            <w:tcW w:w="876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0.47</w:t>
            </w:r>
          </w:p>
        </w:tc>
        <w:tc>
          <w:tcPr>
            <w:tcW w:w="1439" w:type="dxa"/>
          </w:tcPr>
          <w:p w:rsidR="000A0A37" w:rsidRPr="009F246D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 w:rsidRPr="009F246D">
              <w:rPr>
                <w:szCs w:val="22"/>
                <w:lang w:bidi="ar-SA"/>
              </w:rPr>
              <w:t>0.5053</w:t>
            </w: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7B2F99">
              <w:rPr>
                <w:rFonts w:asciiTheme="majorBidi" w:eastAsia="AdvGulliv-R" w:hAnsiTheme="majorBidi" w:cstheme="majorBidi"/>
                <w:i/>
                <w:iCs/>
                <w:szCs w:val="22"/>
              </w:rPr>
              <w:t>x</w:t>
            </w:r>
            <w:r w:rsidRPr="007B2F99">
              <w:rPr>
                <w:rFonts w:asciiTheme="majorBidi" w:eastAsia="AdvGulliv-R" w:hAnsiTheme="majorBidi" w:cstheme="majorBidi"/>
                <w:i/>
                <w:iCs/>
                <w:szCs w:val="22"/>
                <w:vertAlign w:val="subscript"/>
              </w:rPr>
              <w:t>1</w:t>
            </w:r>
            <w:r>
              <w:rPr>
                <w:rFonts w:asciiTheme="majorBidi" w:eastAsia="AdvGulliv-R" w:hAnsiTheme="majorBidi" w:cstheme="majorBidi"/>
                <w:i/>
                <w:iCs/>
                <w:szCs w:val="22"/>
                <w:vertAlign w:val="subscript"/>
              </w:rPr>
              <w:t xml:space="preserve"> </w:t>
            </w:r>
            <w:r w:rsidRPr="007B2F99">
              <w:rPr>
                <w:i/>
                <w:iCs/>
                <w:szCs w:val="22"/>
                <w:lang w:bidi="ar-SA"/>
              </w:rPr>
              <w:t>x</w:t>
            </w:r>
            <w:r>
              <w:rPr>
                <w:szCs w:val="22"/>
                <w:vertAlign w:val="subscript"/>
                <w:lang w:bidi="ar-SA"/>
              </w:rPr>
              <w:t>3</w:t>
            </w:r>
          </w:p>
        </w:tc>
        <w:tc>
          <w:tcPr>
            <w:tcW w:w="141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79.22</w:t>
            </w:r>
          </w:p>
        </w:tc>
        <w:tc>
          <w:tcPr>
            <w:tcW w:w="708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1</w:t>
            </w:r>
          </w:p>
        </w:tc>
        <w:tc>
          <w:tcPr>
            <w:tcW w:w="2123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79.22</w:t>
            </w:r>
          </w:p>
        </w:tc>
        <w:tc>
          <w:tcPr>
            <w:tcW w:w="87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8.7</w:t>
            </w:r>
          </w:p>
        </w:tc>
        <w:tc>
          <w:tcPr>
            <w:tcW w:w="1439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0.0099</w:t>
            </w: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7B2F99">
              <w:rPr>
                <w:i/>
                <w:iCs/>
                <w:szCs w:val="22"/>
                <w:lang w:bidi="ar-SA"/>
              </w:rPr>
              <w:t>x</w:t>
            </w:r>
            <w:r>
              <w:rPr>
                <w:szCs w:val="22"/>
                <w:vertAlign w:val="subscript"/>
                <w:lang w:bidi="ar-SA"/>
              </w:rPr>
              <w:t>1</w:t>
            </w:r>
            <w:r w:rsidRPr="007B2F99">
              <w:rPr>
                <w:i/>
                <w:iCs/>
                <w:szCs w:val="22"/>
                <w:lang w:bidi="ar-SA"/>
              </w:rPr>
              <w:t xml:space="preserve"> x</w:t>
            </w:r>
            <w:r>
              <w:rPr>
                <w:szCs w:val="22"/>
                <w:vertAlign w:val="subscript"/>
                <w:lang w:bidi="ar-SA"/>
              </w:rPr>
              <w:t>4</w:t>
            </w:r>
          </w:p>
        </w:tc>
        <w:tc>
          <w:tcPr>
            <w:tcW w:w="141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53.47</w:t>
            </w:r>
          </w:p>
        </w:tc>
        <w:tc>
          <w:tcPr>
            <w:tcW w:w="708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1</w:t>
            </w:r>
          </w:p>
        </w:tc>
        <w:tc>
          <w:tcPr>
            <w:tcW w:w="2123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53.47</w:t>
            </w:r>
          </w:p>
        </w:tc>
        <w:tc>
          <w:tcPr>
            <w:tcW w:w="87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5.87</w:t>
            </w:r>
          </w:p>
        </w:tc>
        <w:tc>
          <w:tcPr>
            <w:tcW w:w="1439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0.0285</w:t>
            </w: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7B2F99">
              <w:rPr>
                <w:i/>
                <w:iCs/>
                <w:szCs w:val="22"/>
                <w:lang w:bidi="ar-SA"/>
              </w:rPr>
              <w:t>x</w:t>
            </w:r>
            <w:r>
              <w:rPr>
                <w:szCs w:val="22"/>
                <w:vertAlign w:val="subscript"/>
                <w:lang w:bidi="ar-SA"/>
              </w:rPr>
              <w:t>2</w:t>
            </w:r>
            <w:r w:rsidRPr="007B2F99">
              <w:rPr>
                <w:i/>
                <w:iCs/>
                <w:szCs w:val="22"/>
                <w:lang w:bidi="ar-SA"/>
              </w:rPr>
              <w:t xml:space="preserve"> x</w:t>
            </w:r>
            <w:r>
              <w:rPr>
                <w:szCs w:val="22"/>
                <w:vertAlign w:val="subscript"/>
                <w:lang w:bidi="ar-SA"/>
              </w:rPr>
              <w:t>3</w:t>
            </w:r>
          </w:p>
        </w:tc>
        <w:tc>
          <w:tcPr>
            <w:tcW w:w="141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122.03</w:t>
            </w:r>
          </w:p>
        </w:tc>
        <w:tc>
          <w:tcPr>
            <w:tcW w:w="708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1</w:t>
            </w:r>
          </w:p>
        </w:tc>
        <w:tc>
          <w:tcPr>
            <w:tcW w:w="2123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122.03</w:t>
            </w:r>
          </w:p>
        </w:tc>
        <w:tc>
          <w:tcPr>
            <w:tcW w:w="87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13.41</w:t>
            </w:r>
          </w:p>
        </w:tc>
        <w:tc>
          <w:tcPr>
            <w:tcW w:w="1439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0.0023</w:t>
            </w: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7B2F99">
              <w:rPr>
                <w:i/>
                <w:iCs/>
                <w:szCs w:val="22"/>
                <w:lang w:bidi="ar-SA"/>
              </w:rPr>
              <w:t>x</w:t>
            </w:r>
            <w:r>
              <w:rPr>
                <w:szCs w:val="22"/>
                <w:vertAlign w:val="subscript"/>
                <w:lang w:bidi="ar-SA"/>
              </w:rPr>
              <w:t>2</w:t>
            </w:r>
            <w:r w:rsidRPr="007B2F99">
              <w:rPr>
                <w:i/>
                <w:iCs/>
                <w:szCs w:val="22"/>
                <w:lang w:bidi="ar-SA"/>
              </w:rPr>
              <w:t xml:space="preserve"> x</w:t>
            </w:r>
            <w:r>
              <w:rPr>
                <w:szCs w:val="22"/>
                <w:vertAlign w:val="subscript"/>
                <w:lang w:bidi="ar-SA"/>
              </w:rPr>
              <w:t>4</w:t>
            </w:r>
          </w:p>
        </w:tc>
        <w:tc>
          <w:tcPr>
            <w:tcW w:w="141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2.76</w:t>
            </w:r>
          </w:p>
        </w:tc>
        <w:tc>
          <w:tcPr>
            <w:tcW w:w="708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1</w:t>
            </w:r>
          </w:p>
        </w:tc>
        <w:tc>
          <w:tcPr>
            <w:tcW w:w="2123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2.76</w:t>
            </w:r>
          </w:p>
        </w:tc>
        <w:tc>
          <w:tcPr>
            <w:tcW w:w="87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0.3</w:t>
            </w:r>
          </w:p>
        </w:tc>
        <w:tc>
          <w:tcPr>
            <w:tcW w:w="1439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0.59</w:t>
            </w: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7B2F99">
              <w:rPr>
                <w:i/>
                <w:iCs/>
                <w:szCs w:val="22"/>
                <w:lang w:bidi="ar-SA"/>
              </w:rPr>
              <w:t>x</w:t>
            </w:r>
            <w:r>
              <w:rPr>
                <w:szCs w:val="22"/>
                <w:vertAlign w:val="subscript"/>
                <w:lang w:bidi="ar-SA"/>
              </w:rPr>
              <w:t>3</w:t>
            </w:r>
            <w:r w:rsidRPr="007B2F99">
              <w:rPr>
                <w:i/>
                <w:iCs/>
                <w:szCs w:val="22"/>
                <w:lang w:bidi="ar-SA"/>
              </w:rPr>
              <w:t xml:space="preserve"> x</w:t>
            </w:r>
            <w:r>
              <w:rPr>
                <w:szCs w:val="22"/>
                <w:vertAlign w:val="subscript"/>
                <w:lang w:bidi="ar-SA"/>
              </w:rPr>
              <w:t>4</w:t>
            </w:r>
          </w:p>
        </w:tc>
        <w:tc>
          <w:tcPr>
            <w:tcW w:w="141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28.6</w:t>
            </w:r>
          </w:p>
        </w:tc>
        <w:tc>
          <w:tcPr>
            <w:tcW w:w="708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1</w:t>
            </w:r>
          </w:p>
        </w:tc>
        <w:tc>
          <w:tcPr>
            <w:tcW w:w="2123" w:type="dxa"/>
          </w:tcPr>
          <w:p w:rsidR="000A0A37" w:rsidRPr="007B2F99" w:rsidRDefault="000A0A37" w:rsidP="004E431D">
            <w:pPr>
              <w:tabs>
                <w:tab w:val="left" w:pos="301"/>
                <w:tab w:val="center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28.6</w:t>
            </w:r>
          </w:p>
        </w:tc>
        <w:tc>
          <w:tcPr>
            <w:tcW w:w="87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3.14</w:t>
            </w:r>
          </w:p>
        </w:tc>
        <w:tc>
          <w:tcPr>
            <w:tcW w:w="1439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0.0966</w:t>
            </w: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7B2F99">
              <w:rPr>
                <w:i/>
                <w:iCs/>
                <w:szCs w:val="22"/>
                <w:lang w:bidi="ar-SA"/>
              </w:rPr>
              <w:t>x</w:t>
            </w:r>
            <w:r>
              <w:rPr>
                <w:szCs w:val="22"/>
                <w:vertAlign w:val="subscript"/>
                <w:lang w:bidi="ar-SA"/>
              </w:rPr>
              <w:t>1</w:t>
            </w:r>
            <w:r w:rsidRPr="009779B6">
              <w:rPr>
                <w:szCs w:val="22"/>
                <w:vertAlign w:val="superscript"/>
                <w:lang w:bidi="ar-SA"/>
              </w:rPr>
              <w:t>2</w:t>
            </w:r>
          </w:p>
        </w:tc>
        <w:tc>
          <w:tcPr>
            <w:tcW w:w="141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153.6</w:t>
            </w:r>
          </w:p>
        </w:tc>
        <w:tc>
          <w:tcPr>
            <w:tcW w:w="708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1</w:t>
            </w:r>
          </w:p>
        </w:tc>
        <w:tc>
          <w:tcPr>
            <w:tcW w:w="2123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153.6</w:t>
            </w:r>
          </w:p>
        </w:tc>
        <w:tc>
          <w:tcPr>
            <w:tcW w:w="87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16.87</w:t>
            </w:r>
          </w:p>
        </w:tc>
        <w:tc>
          <w:tcPr>
            <w:tcW w:w="1439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0.0009</w:t>
            </w: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7B2F99">
              <w:rPr>
                <w:i/>
                <w:iCs/>
                <w:szCs w:val="22"/>
                <w:lang w:bidi="ar-SA"/>
              </w:rPr>
              <w:t>x</w:t>
            </w:r>
            <w:r>
              <w:rPr>
                <w:szCs w:val="22"/>
                <w:vertAlign w:val="subscript"/>
                <w:lang w:bidi="ar-SA"/>
              </w:rPr>
              <w:t>2</w:t>
            </w:r>
            <w:r w:rsidRPr="009779B6">
              <w:rPr>
                <w:szCs w:val="22"/>
                <w:vertAlign w:val="superscript"/>
                <w:lang w:bidi="ar-SA"/>
              </w:rPr>
              <w:t>2</w:t>
            </w:r>
          </w:p>
        </w:tc>
        <w:tc>
          <w:tcPr>
            <w:tcW w:w="141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24.88</w:t>
            </w:r>
          </w:p>
        </w:tc>
        <w:tc>
          <w:tcPr>
            <w:tcW w:w="708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1</w:t>
            </w:r>
          </w:p>
        </w:tc>
        <w:tc>
          <w:tcPr>
            <w:tcW w:w="2123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24.88</w:t>
            </w:r>
          </w:p>
        </w:tc>
        <w:tc>
          <w:tcPr>
            <w:tcW w:w="87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2.73</w:t>
            </w:r>
          </w:p>
        </w:tc>
        <w:tc>
          <w:tcPr>
            <w:tcW w:w="1439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0.1191</w:t>
            </w: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7B2F99">
              <w:rPr>
                <w:i/>
                <w:iCs/>
                <w:szCs w:val="22"/>
                <w:lang w:bidi="ar-SA"/>
              </w:rPr>
              <w:t>x</w:t>
            </w:r>
            <w:r>
              <w:rPr>
                <w:szCs w:val="22"/>
                <w:vertAlign w:val="subscript"/>
                <w:lang w:bidi="ar-SA"/>
              </w:rPr>
              <w:t>3</w:t>
            </w:r>
            <w:r w:rsidRPr="009779B6">
              <w:rPr>
                <w:szCs w:val="22"/>
                <w:vertAlign w:val="superscript"/>
                <w:lang w:bidi="ar-SA"/>
              </w:rPr>
              <w:t>2</w:t>
            </w:r>
          </w:p>
        </w:tc>
        <w:tc>
          <w:tcPr>
            <w:tcW w:w="141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0.22</w:t>
            </w:r>
          </w:p>
        </w:tc>
        <w:tc>
          <w:tcPr>
            <w:tcW w:w="708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1</w:t>
            </w:r>
          </w:p>
        </w:tc>
        <w:tc>
          <w:tcPr>
            <w:tcW w:w="2123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0.22</w:t>
            </w:r>
          </w:p>
        </w:tc>
        <w:tc>
          <w:tcPr>
            <w:tcW w:w="87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0.024</w:t>
            </w:r>
          </w:p>
        </w:tc>
        <w:tc>
          <w:tcPr>
            <w:tcW w:w="1439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0.8778</w:t>
            </w: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7B2F99">
              <w:rPr>
                <w:i/>
                <w:iCs/>
                <w:szCs w:val="22"/>
                <w:lang w:bidi="ar-SA"/>
              </w:rPr>
              <w:t>x</w:t>
            </w:r>
            <w:r>
              <w:rPr>
                <w:szCs w:val="22"/>
                <w:vertAlign w:val="subscript"/>
                <w:lang w:bidi="ar-SA"/>
              </w:rPr>
              <w:t>4</w:t>
            </w:r>
            <w:r w:rsidRPr="009779B6">
              <w:rPr>
                <w:szCs w:val="22"/>
                <w:vertAlign w:val="superscript"/>
                <w:lang w:bidi="ar-SA"/>
              </w:rPr>
              <w:t>2</w:t>
            </w:r>
          </w:p>
        </w:tc>
        <w:tc>
          <w:tcPr>
            <w:tcW w:w="141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71.48</w:t>
            </w:r>
          </w:p>
        </w:tc>
        <w:tc>
          <w:tcPr>
            <w:tcW w:w="708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1</w:t>
            </w:r>
          </w:p>
        </w:tc>
        <w:tc>
          <w:tcPr>
            <w:tcW w:w="2123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71.48</w:t>
            </w:r>
          </w:p>
        </w:tc>
        <w:tc>
          <w:tcPr>
            <w:tcW w:w="87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7.85</w:t>
            </w:r>
          </w:p>
        </w:tc>
        <w:tc>
          <w:tcPr>
            <w:tcW w:w="1439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0.0134</w:t>
            </w: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Pr="00207BC7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207BC7">
              <w:rPr>
                <w:szCs w:val="22"/>
                <w:lang w:bidi="ar-SA"/>
              </w:rPr>
              <w:t>Residual</w:t>
            </w:r>
          </w:p>
          <w:p w:rsidR="000A0A37" w:rsidRPr="00207BC7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Cs w:val="22"/>
                <w:lang w:bidi="ar-SA"/>
              </w:rPr>
            </w:pPr>
            <w:r w:rsidRPr="00207BC7">
              <w:rPr>
                <w:color w:val="000000" w:themeColor="text1"/>
                <w:szCs w:val="22"/>
                <w:lang w:bidi="ar-SA"/>
              </w:rPr>
              <w:t>Lack of Fit</w:t>
            </w:r>
          </w:p>
          <w:p w:rsidR="000A0A37" w:rsidRPr="00207BC7" w:rsidRDefault="000A0A37" w:rsidP="004E431D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207BC7">
              <w:rPr>
                <w:szCs w:val="22"/>
                <w:lang w:bidi="ar-SA"/>
              </w:rPr>
              <w:t>Pure Error</w:t>
            </w:r>
          </w:p>
        </w:tc>
        <w:tc>
          <w:tcPr>
            <w:tcW w:w="1416" w:type="dxa"/>
          </w:tcPr>
          <w:p w:rsidR="000A0A37" w:rsidRPr="00207BC7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207BC7">
              <w:rPr>
                <w:szCs w:val="22"/>
                <w:lang w:bidi="ar-SA"/>
              </w:rPr>
              <w:t>136.54</w:t>
            </w:r>
          </w:p>
          <w:p w:rsidR="000A0A37" w:rsidRPr="00207BC7" w:rsidRDefault="000A0A37" w:rsidP="004E431D">
            <w:pPr>
              <w:tabs>
                <w:tab w:val="left" w:pos="254"/>
                <w:tab w:val="center" w:pos="600"/>
              </w:tabs>
              <w:autoSpaceDE w:val="0"/>
              <w:autoSpaceDN w:val="0"/>
              <w:adjustRightInd w:val="0"/>
              <w:spacing w:line="276" w:lineRule="auto"/>
              <w:rPr>
                <w:szCs w:val="22"/>
                <w:lang w:bidi="ar-SA"/>
              </w:rPr>
            </w:pPr>
            <w:r w:rsidRPr="00207BC7">
              <w:rPr>
                <w:szCs w:val="22"/>
                <w:lang w:bidi="ar-SA"/>
              </w:rPr>
              <w:tab/>
            </w:r>
            <w:r w:rsidRPr="00207BC7">
              <w:rPr>
                <w:szCs w:val="22"/>
                <w:lang w:bidi="ar-SA"/>
              </w:rPr>
              <w:tab/>
              <w:t>135.37</w:t>
            </w:r>
          </w:p>
          <w:p w:rsidR="000A0A37" w:rsidRPr="00207BC7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207BC7">
              <w:rPr>
                <w:szCs w:val="22"/>
                <w:lang w:bidi="ar-SA"/>
              </w:rPr>
              <w:t>1.17</w:t>
            </w:r>
          </w:p>
        </w:tc>
        <w:tc>
          <w:tcPr>
            <w:tcW w:w="708" w:type="dxa"/>
          </w:tcPr>
          <w:p w:rsidR="000A0A37" w:rsidRPr="00207BC7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207BC7">
              <w:rPr>
                <w:szCs w:val="22"/>
                <w:lang w:bidi="ar-SA"/>
              </w:rPr>
              <w:t>15</w:t>
            </w:r>
          </w:p>
          <w:p w:rsidR="000A0A37" w:rsidRPr="00207BC7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207BC7">
              <w:rPr>
                <w:szCs w:val="22"/>
                <w:lang w:bidi="ar-SA"/>
              </w:rPr>
              <w:t>10</w:t>
            </w:r>
          </w:p>
          <w:p w:rsidR="000A0A37" w:rsidRPr="00207BC7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207BC7">
              <w:rPr>
                <w:szCs w:val="22"/>
                <w:lang w:bidi="ar-SA"/>
              </w:rPr>
              <w:t>5</w:t>
            </w:r>
          </w:p>
        </w:tc>
        <w:tc>
          <w:tcPr>
            <w:tcW w:w="2123" w:type="dxa"/>
          </w:tcPr>
          <w:p w:rsidR="000A0A37" w:rsidRPr="00207BC7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207BC7">
              <w:rPr>
                <w:szCs w:val="22"/>
                <w:lang w:bidi="ar-SA"/>
              </w:rPr>
              <w:t>9.1</w:t>
            </w:r>
          </w:p>
          <w:p w:rsidR="000A0A37" w:rsidRPr="00207BC7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207BC7">
              <w:rPr>
                <w:szCs w:val="22"/>
                <w:lang w:bidi="ar-SA"/>
              </w:rPr>
              <w:t>13.54</w:t>
            </w:r>
          </w:p>
          <w:p w:rsidR="000A0A37" w:rsidRPr="00207BC7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207BC7">
              <w:rPr>
                <w:szCs w:val="22"/>
                <w:lang w:bidi="ar-SA"/>
              </w:rPr>
              <w:t>0.23</w:t>
            </w:r>
          </w:p>
        </w:tc>
        <w:tc>
          <w:tcPr>
            <w:tcW w:w="876" w:type="dxa"/>
          </w:tcPr>
          <w:p w:rsidR="000A0A37" w:rsidRPr="00207BC7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</w:p>
          <w:p w:rsidR="000A0A37" w:rsidRPr="00207BC7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207BC7">
              <w:rPr>
                <w:szCs w:val="22"/>
                <w:lang w:bidi="ar-SA"/>
              </w:rPr>
              <w:t>57.94</w:t>
            </w:r>
          </w:p>
        </w:tc>
        <w:tc>
          <w:tcPr>
            <w:tcW w:w="1439" w:type="dxa"/>
          </w:tcPr>
          <w:p w:rsidR="000A0A37" w:rsidRPr="00207BC7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</w:p>
          <w:p w:rsidR="000A0A37" w:rsidRPr="00207BC7" w:rsidRDefault="000A0A37" w:rsidP="004E43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lang w:bidi="ar-SA"/>
              </w:rPr>
            </w:pPr>
            <w:r w:rsidRPr="00207BC7">
              <w:rPr>
                <w:szCs w:val="22"/>
                <w:lang w:bidi="ar-SA"/>
              </w:rPr>
              <w:t>0.0002</w:t>
            </w:r>
          </w:p>
        </w:tc>
      </w:tr>
      <w:tr w:rsidR="000A0A37" w:rsidRPr="007B2F99" w:rsidTr="004E431D">
        <w:trPr>
          <w:trHeight w:val="349"/>
          <w:jc w:val="center"/>
        </w:trPr>
        <w:tc>
          <w:tcPr>
            <w:tcW w:w="2414" w:type="dxa"/>
          </w:tcPr>
          <w:p w:rsidR="000A0A37" w:rsidRDefault="000A0A37" w:rsidP="004E431D">
            <w:pPr>
              <w:autoSpaceDE w:val="0"/>
              <w:autoSpaceDN w:val="0"/>
              <w:adjustRightInd w:val="0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Correction Total</w:t>
            </w:r>
          </w:p>
        </w:tc>
        <w:tc>
          <w:tcPr>
            <w:tcW w:w="1416" w:type="dxa"/>
          </w:tcPr>
          <w:p w:rsidR="000A0A37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3218.41</w:t>
            </w:r>
          </w:p>
        </w:tc>
        <w:tc>
          <w:tcPr>
            <w:tcW w:w="708" w:type="dxa"/>
          </w:tcPr>
          <w:p w:rsidR="000A0A37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29</w:t>
            </w:r>
          </w:p>
        </w:tc>
        <w:tc>
          <w:tcPr>
            <w:tcW w:w="2123" w:type="dxa"/>
          </w:tcPr>
          <w:p w:rsidR="000A0A37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</w:p>
        </w:tc>
        <w:tc>
          <w:tcPr>
            <w:tcW w:w="87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</w:p>
        </w:tc>
        <w:tc>
          <w:tcPr>
            <w:tcW w:w="1439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Default="000A0A37" w:rsidP="004E431D">
            <w:pPr>
              <w:autoSpaceDE w:val="0"/>
              <w:autoSpaceDN w:val="0"/>
              <w:adjustRightInd w:val="0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Std. Dev.</w:t>
            </w:r>
          </w:p>
        </w:tc>
        <w:tc>
          <w:tcPr>
            <w:tcW w:w="1416" w:type="dxa"/>
          </w:tcPr>
          <w:p w:rsidR="000A0A37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3.02</w:t>
            </w:r>
          </w:p>
        </w:tc>
        <w:tc>
          <w:tcPr>
            <w:tcW w:w="708" w:type="dxa"/>
          </w:tcPr>
          <w:p w:rsidR="000A0A37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</w:p>
        </w:tc>
        <w:tc>
          <w:tcPr>
            <w:tcW w:w="2123" w:type="dxa"/>
          </w:tcPr>
          <w:p w:rsidR="000A0A37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R-squared</w:t>
            </w:r>
          </w:p>
        </w:tc>
        <w:tc>
          <w:tcPr>
            <w:tcW w:w="87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0.9576</w:t>
            </w:r>
          </w:p>
        </w:tc>
        <w:tc>
          <w:tcPr>
            <w:tcW w:w="1439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Default="000A0A37" w:rsidP="004E431D">
            <w:pPr>
              <w:autoSpaceDE w:val="0"/>
              <w:autoSpaceDN w:val="0"/>
              <w:adjustRightInd w:val="0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Mean</w:t>
            </w:r>
          </w:p>
        </w:tc>
        <w:tc>
          <w:tcPr>
            <w:tcW w:w="1416" w:type="dxa"/>
          </w:tcPr>
          <w:p w:rsidR="000A0A37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62.06</w:t>
            </w:r>
          </w:p>
        </w:tc>
        <w:tc>
          <w:tcPr>
            <w:tcW w:w="708" w:type="dxa"/>
          </w:tcPr>
          <w:p w:rsidR="000A0A37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</w:p>
        </w:tc>
        <w:tc>
          <w:tcPr>
            <w:tcW w:w="2123" w:type="dxa"/>
          </w:tcPr>
          <w:p w:rsidR="000A0A37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Adj. R-squared</w:t>
            </w:r>
          </w:p>
        </w:tc>
        <w:tc>
          <w:tcPr>
            <w:tcW w:w="87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0.918</w:t>
            </w:r>
          </w:p>
        </w:tc>
        <w:tc>
          <w:tcPr>
            <w:tcW w:w="1439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</w:tcPr>
          <w:p w:rsidR="000A0A37" w:rsidRDefault="000A0A37" w:rsidP="004E431D">
            <w:pPr>
              <w:autoSpaceDE w:val="0"/>
              <w:autoSpaceDN w:val="0"/>
              <w:adjustRightInd w:val="0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C.V.</w:t>
            </w:r>
          </w:p>
        </w:tc>
        <w:tc>
          <w:tcPr>
            <w:tcW w:w="1416" w:type="dxa"/>
          </w:tcPr>
          <w:p w:rsidR="000A0A37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4.86</w:t>
            </w:r>
          </w:p>
        </w:tc>
        <w:tc>
          <w:tcPr>
            <w:tcW w:w="708" w:type="dxa"/>
          </w:tcPr>
          <w:p w:rsidR="000A0A37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</w:p>
        </w:tc>
        <w:tc>
          <w:tcPr>
            <w:tcW w:w="2123" w:type="dxa"/>
          </w:tcPr>
          <w:p w:rsidR="000A0A37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Pred. R-squared</w:t>
            </w:r>
          </w:p>
        </w:tc>
        <w:tc>
          <w:tcPr>
            <w:tcW w:w="876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0.7572</w:t>
            </w:r>
          </w:p>
        </w:tc>
        <w:tc>
          <w:tcPr>
            <w:tcW w:w="1439" w:type="dxa"/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</w:p>
        </w:tc>
      </w:tr>
      <w:tr w:rsidR="000A0A37" w:rsidRPr="007B2F99" w:rsidTr="004E431D">
        <w:trPr>
          <w:jc w:val="center"/>
        </w:trPr>
        <w:tc>
          <w:tcPr>
            <w:tcW w:w="2414" w:type="dxa"/>
            <w:tcBorders>
              <w:bottom w:val="single" w:sz="4" w:space="0" w:color="auto"/>
            </w:tcBorders>
          </w:tcPr>
          <w:p w:rsidR="000A0A37" w:rsidRDefault="000A0A37" w:rsidP="004E431D">
            <w:pPr>
              <w:autoSpaceDE w:val="0"/>
              <w:autoSpaceDN w:val="0"/>
              <w:adjustRightInd w:val="0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Press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A0A37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781.44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A0A37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0A0A37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proofErr w:type="spellStart"/>
            <w:r>
              <w:rPr>
                <w:szCs w:val="22"/>
                <w:lang w:bidi="ar-SA"/>
              </w:rPr>
              <w:t>Adeq</w:t>
            </w:r>
            <w:proofErr w:type="spellEnd"/>
            <w:r>
              <w:rPr>
                <w:szCs w:val="22"/>
                <w:lang w:bidi="ar-SA"/>
              </w:rPr>
              <w:t>. Precision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19.045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0A0A37" w:rsidRPr="007B2F99" w:rsidRDefault="000A0A37" w:rsidP="004E431D">
            <w:pPr>
              <w:autoSpaceDE w:val="0"/>
              <w:autoSpaceDN w:val="0"/>
              <w:adjustRightInd w:val="0"/>
              <w:jc w:val="center"/>
              <w:rPr>
                <w:szCs w:val="22"/>
                <w:lang w:bidi="ar-SA"/>
              </w:rPr>
            </w:pPr>
          </w:p>
        </w:tc>
      </w:tr>
    </w:tbl>
    <w:p w:rsidR="000A0A37" w:rsidRDefault="000A0A37" w:rsidP="000A0A37">
      <w:pPr>
        <w:autoSpaceDE w:val="0"/>
        <w:autoSpaceDN w:val="0"/>
        <w:adjustRightInd w:val="0"/>
        <w:spacing w:after="360"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Pr="00520F19">
        <w:rPr>
          <w:rFonts w:asciiTheme="majorBidi" w:hAnsiTheme="majorBidi" w:cstheme="majorBidi"/>
        </w:rPr>
        <w:t>R</w:t>
      </w:r>
      <w:r w:rsidRPr="00520F19">
        <w:rPr>
          <w:rFonts w:asciiTheme="majorBidi" w:hAnsiTheme="majorBidi" w:cstheme="majorBidi"/>
          <w:vertAlign w:val="superscript"/>
        </w:rPr>
        <w:t>2</w:t>
      </w:r>
      <w:r w:rsidRPr="00520F19">
        <w:rPr>
          <w:rFonts w:asciiTheme="majorBidi" w:hAnsiTheme="majorBidi" w:cstheme="majorBidi"/>
        </w:rPr>
        <w:t xml:space="preserve"> = 0.9576; R</w:t>
      </w:r>
      <w:r w:rsidRPr="00520F19">
        <w:rPr>
          <w:rFonts w:asciiTheme="majorBidi" w:hAnsiTheme="majorBidi" w:cstheme="majorBidi"/>
          <w:vertAlign w:val="superscript"/>
        </w:rPr>
        <w:t>2</w:t>
      </w:r>
      <w:r w:rsidRPr="00520F19">
        <w:rPr>
          <w:rFonts w:asciiTheme="majorBidi" w:hAnsiTheme="majorBidi" w:cstheme="majorBidi"/>
          <w:vertAlign w:val="subscript"/>
        </w:rPr>
        <w:t>adj</w:t>
      </w:r>
      <w:r w:rsidRPr="00520F19">
        <w:rPr>
          <w:rFonts w:asciiTheme="majorBidi" w:hAnsiTheme="majorBidi" w:cstheme="majorBidi"/>
        </w:rPr>
        <w:t xml:space="preserve"> = 0.918; R</w:t>
      </w:r>
      <w:r w:rsidRPr="00520F19">
        <w:rPr>
          <w:rFonts w:asciiTheme="majorBidi" w:hAnsiTheme="majorBidi" w:cstheme="majorBidi"/>
          <w:vertAlign w:val="superscript"/>
        </w:rPr>
        <w:t>2</w:t>
      </w:r>
      <w:r w:rsidRPr="00520F19">
        <w:rPr>
          <w:rFonts w:asciiTheme="majorBidi" w:hAnsiTheme="majorBidi" w:cstheme="majorBidi"/>
          <w:vertAlign w:val="subscript"/>
        </w:rPr>
        <w:t xml:space="preserve">pred </w:t>
      </w:r>
      <w:r w:rsidRPr="00520F19">
        <w:rPr>
          <w:rFonts w:asciiTheme="majorBidi" w:hAnsiTheme="majorBidi" w:cstheme="majorBidi"/>
        </w:rPr>
        <w:t>= 0.7572; adequacy precision = 19.045; C.V</w:t>
      </w:r>
      <w:proofErr w:type="gramStart"/>
      <w:r w:rsidRPr="00520F19">
        <w:rPr>
          <w:rFonts w:asciiTheme="majorBidi" w:hAnsiTheme="majorBidi" w:cstheme="majorBidi"/>
        </w:rPr>
        <w:t>.%</w:t>
      </w:r>
      <w:proofErr w:type="gramEnd"/>
      <w:r w:rsidRPr="00520F19">
        <w:rPr>
          <w:rFonts w:asciiTheme="majorBidi" w:hAnsiTheme="majorBidi" w:cstheme="majorBidi"/>
        </w:rPr>
        <w:t xml:space="preserve"> = 4.86.</w:t>
      </w:r>
    </w:p>
    <w:p w:rsidR="000A0A37" w:rsidRDefault="000A0A37"/>
    <w:p w:rsidR="000A0A37" w:rsidRDefault="000A0A37"/>
    <w:p w:rsidR="000A0A37" w:rsidRDefault="000A0A37"/>
    <w:p w:rsidR="000A0A37" w:rsidRDefault="000A0A37"/>
    <w:p w:rsidR="000A0A37" w:rsidRDefault="000A0A37"/>
    <w:p w:rsidR="000A0A37" w:rsidRDefault="000A0A37" w:rsidP="000A0A37">
      <w:pPr>
        <w:autoSpaceDE w:val="0"/>
        <w:autoSpaceDN w:val="0"/>
        <w:adjustRightInd w:val="0"/>
        <w:spacing w:after="360" w:line="480" w:lineRule="auto"/>
        <w:jc w:val="center"/>
        <w:rPr>
          <w:rFonts w:asciiTheme="majorBidi" w:hAnsiTheme="majorBidi" w:cstheme="majorBidi"/>
          <w:b/>
          <w:bCs/>
          <w:color w:val="0000FF"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jc w:val="center"/>
        <w:rPr>
          <w:rFonts w:asciiTheme="majorBidi" w:hAnsiTheme="majorBidi" w:cstheme="majorBidi"/>
          <w:b/>
          <w:bCs/>
          <w:color w:val="0000FF"/>
        </w:rPr>
      </w:pPr>
    </w:p>
    <w:p w:rsidR="000A0A37" w:rsidRPr="000A0A37" w:rsidRDefault="000A0A37" w:rsidP="000A0A37">
      <w:pPr>
        <w:autoSpaceDE w:val="0"/>
        <w:autoSpaceDN w:val="0"/>
        <w:adjustRightInd w:val="0"/>
        <w:spacing w:after="360" w:line="48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A0A37">
        <w:rPr>
          <w:rFonts w:asciiTheme="majorBidi" w:hAnsiTheme="majorBidi" w:cstheme="majorBidi"/>
          <w:b/>
          <w:bCs/>
          <w:color w:val="0000FF"/>
          <w:sz w:val="24"/>
          <w:szCs w:val="24"/>
        </w:rPr>
        <w:lastRenderedPageBreak/>
        <w:t>Fig. S1.</w:t>
      </w:r>
      <w:r w:rsidRPr="000A0A37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Pr="000A0A37">
        <w:rPr>
          <w:rFonts w:asciiTheme="majorBidi" w:hAnsiTheme="majorBidi" w:cstheme="majorBidi"/>
          <w:sz w:val="24"/>
          <w:szCs w:val="24"/>
          <w:shd w:val="clear" w:color="auto" w:fill="FFFFFF"/>
        </w:rPr>
        <w:t>Correlation between predicted and experimental values of BTA degradation variability.</w:t>
      </w:r>
    </w:p>
    <w:p w:rsidR="000A0A37" w:rsidRDefault="000A0A37" w:rsidP="000A0A37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i/>
          <w:iCs/>
        </w:rPr>
      </w:pPr>
      <w:r w:rsidRPr="00991274">
        <w:rPr>
          <w:noProof/>
        </w:rPr>
        <w:drawing>
          <wp:inline distT="0" distB="0" distL="0" distR="0" wp14:anchorId="2B9EC169" wp14:editId="046E9325">
            <wp:extent cx="3393528" cy="350921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06" t="4331" r="5195" b="3017"/>
                    <a:stretch/>
                  </pic:blipFill>
                  <pic:spPr bwMode="auto">
                    <a:xfrm>
                      <a:off x="0" y="0"/>
                      <a:ext cx="3398005" cy="351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rPr>
          <w:rFonts w:asciiTheme="majorBidi" w:hAnsiTheme="majorBidi" w:cstheme="majorBidi"/>
          <w:b/>
          <w:bCs/>
          <w:color w:val="0000FF"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rPr>
          <w:rFonts w:asciiTheme="majorBidi" w:hAnsiTheme="majorBidi" w:cstheme="majorBidi"/>
          <w:b/>
          <w:bCs/>
          <w:color w:val="0000FF"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rPr>
          <w:rFonts w:asciiTheme="majorBidi" w:hAnsiTheme="majorBidi" w:cstheme="majorBidi"/>
          <w:b/>
          <w:bCs/>
          <w:color w:val="0000FF"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rPr>
          <w:rFonts w:asciiTheme="majorBidi" w:hAnsiTheme="majorBidi" w:cstheme="majorBidi"/>
          <w:b/>
          <w:bCs/>
          <w:color w:val="0000FF"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rPr>
          <w:rFonts w:asciiTheme="majorBidi" w:hAnsiTheme="majorBidi" w:cstheme="majorBidi"/>
          <w:b/>
          <w:bCs/>
          <w:color w:val="0000FF"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rPr>
          <w:rFonts w:asciiTheme="majorBidi" w:hAnsiTheme="majorBidi" w:cstheme="majorBidi"/>
          <w:b/>
          <w:bCs/>
          <w:color w:val="0000FF"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rPr>
          <w:rFonts w:asciiTheme="majorBidi" w:hAnsiTheme="majorBidi" w:cstheme="majorBidi"/>
          <w:b/>
          <w:bCs/>
          <w:color w:val="0000FF"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rPr>
          <w:rFonts w:asciiTheme="majorBidi" w:hAnsiTheme="majorBidi" w:cstheme="majorBidi"/>
          <w:i/>
          <w:iCs/>
        </w:rPr>
      </w:pPr>
      <w:r w:rsidRPr="006D4211">
        <w:rPr>
          <w:rFonts w:asciiTheme="majorBidi" w:hAnsiTheme="majorBidi" w:cstheme="majorBidi"/>
          <w:b/>
          <w:bCs/>
          <w:color w:val="0000FF"/>
        </w:rPr>
        <w:lastRenderedPageBreak/>
        <w:t>Fig. S</w:t>
      </w:r>
      <w:r>
        <w:rPr>
          <w:rFonts w:asciiTheme="majorBidi" w:hAnsiTheme="majorBidi" w:cstheme="majorBidi"/>
          <w:b/>
          <w:bCs/>
          <w:color w:val="0000FF"/>
        </w:rPr>
        <w:t>2</w:t>
      </w:r>
      <w:r w:rsidRPr="006D4211">
        <w:rPr>
          <w:rFonts w:asciiTheme="majorBidi" w:hAnsiTheme="majorBidi" w:cstheme="majorBidi"/>
          <w:b/>
          <w:bCs/>
          <w:color w:val="0000FF"/>
        </w:rPr>
        <w:t xml:space="preserve">. </w:t>
      </w:r>
      <w:r w:rsidRPr="00D45D0F">
        <w:rPr>
          <w:rFonts w:asciiTheme="majorBidi" w:hAnsiTheme="majorBidi" w:cstheme="majorBidi"/>
        </w:rPr>
        <w:t>The normal probability plot of the internally studentized residuals.</w:t>
      </w:r>
    </w:p>
    <w:p w:rsidR="000A0A37" w:rsidRDefault="000A0A37" w:rsidP="000A0A37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i/>
          <w:iCs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jc w:val="center"/>
        <w:rPr>
          <w:rFonts w:asciiTheme="majorBidi" w:hAnsiTheme="majorBidi" w:cstheme="majorBidi"/>
          <w:i/>
          <w:iCs/>
        </w:rPr>
      </w:pPr>
      <w:r w:rsidRPr="00E84741">
        <w:rPr>
          <w:i/>
          <w:iCs/>
          <w:noProof/>
        </w:rPr>
        <w:drawing>
          <wp:inline distT="0" distB="0" distL="0" distR="0" wp14:anchorId="210F962F" wp14:editId="6E015533">
            <wp:extent cx="3362533" cy="347373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49" t="4988" r="5897" b="4165"/>
                    <a:stretch/>
                  </pic:blipFill>
                  <pic:spPr bwMode="auto">
                    <a:xfrm>
                      <a:off x="0" y="0"/>
                      <a:ext cx="3362533" cy="34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jc w:val="center"/>
        <w:rPr>
          <w:rFonts w:asciiTheme="majorBidi" w:hAnsiTheme="majorBidi" w:cstheme="majorBidi"/>
          <w:i/>
          <w:iCs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jc w:val="center"/>
        <w:rPr>
          <w:rFonts w:asciiTheme="majorBidi" w:hAnsiTheme="majorBidi" w:cstheme="majorBidi"/>
          <w:i/>
          <w:iCs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jc w:val="center"/>
        <w:rPr>
          <w:rFonts w:asciiTheme="majorBidi" w:hAnsiTheme="majorBidi" w:cstheme="majorBidi"/>
          <w:i/>
          <w:iCs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jc w:val="center"/>
        <w:rPr>
          <w:rFonts w:asciiTheme="majorBidi" w:hAnsiTheme="majorBidi" w:cstheme="majorBidi"/>
          <w:i/>
          <w:iCs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jc w:val="center"/>
        <w:rPr>
          <w:rFonts w:asciiTheme="majorBidi" w:hAnsiTheme="majorBidi" w:cstheme="majorBidi"/>
          <w:i/>
          <w:iCs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jc w:val="center"/>
        <w:rPr>
          <w:rFonts w:asciiTheme="majorBidi" w:hAnsiTheme="majorBidi" w:cstheme="majorBidi"/>
          <w:i/>
          <w:iCs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480" w:lineRule="auto"/>
        <w:jc w:val="center"/>
        <w:rPr>
          <w:rFonts w:asciiTheme="majorBidi" w:hAnsiTheme="majorBidi" w:cstheme="majorBidi"/>
          <w:i/>
          <w:iCs/>
        </w:rPr>
      </w:pPr>
    </w:p>
    <w:p w:rsidR="000A0A37" w:rsidRPr="000A0A37" w:rsidRDefault="000A0A37" w:rsidP="000A0A37">
      <w:pPr>
        <w:spacing w:after="360" w:line="48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0A0A37">
        <w:rPr>
          <w:rFonts w:asciiTheme="majorBidi" w:hAnsiTheme="majorBidi" w:cstheme="majorBidi"/>
          <w:b/>
          <w:bCs/>
          <w:color w:val="0000FF"/>
          <w:sz w:val="24"/>
          <w:szCs w:val="24"/>
        </w:rPr>
        <w:lastRenderedPageBreak/>
        <w:t xml:space="preserve">Fig. S3. </w:t>
      </w:r>
      <w:r w:rsidRPr="000A0A37">
        <w:rPr>
          <w:rFonts w:asciiTheme="majorBidi" w:hAnsiTheme="majorBidi" w:cstheme="majorBidi"/>
          <w:sz w:val="24"/>
          <w:szCs w:val="24"/>
          <w:shd w:val="clear" w:color="auto" w:fill="FFFFFF"/>
        </w:rPr>
        <w:t>The experimental run number versus studentized residual data.</w:t>
      </w:r>
    </w:p>
    <w:p w:rsidR="000A0A37" w:rsidRDefault="000A0A37" w:rsidP="000A0A37">
      <w:pPr>
        <w:autoSpaceDE w:val="0"/>
        <w:autoSpaceDN w:val="0"/>
        <w:adjustRightInd w:val="0"/>
        <w:spacing w:after="360" w:line="240" w:lineRule="auto"/>
        <w:jc w:val="center"/>
        <w:rPr>
          <w:rFonts w:asciiTheme="majorBidi" w:hAnsiTheme="majorBidi" w:cstheme="majorBidi"/>
          <w:i/>
          <w:iCs/>
        </w:rPr>
      </w:pPr>
      <w:r w:rsidRPr="00D45D0F">
        <w:rPr>
          <w:noProof/>
        </w:rPr>
        <w:drawing>
          <wp:inline distT="0" distB="0" distL="0" distR="0" wp14:anchorId="442E7459" wp14:editId="453246AF">
            <wp:extent cx="3551274" cy="3676531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88" t="4264" r="5220" b="4229"/>
                    <a:stretch/>
                  </pic:blipFill>
                  <pic:spPr bwMode="auto">
                    <a:xfrm>
                      <a:off x="0" y="0"/>
                      <a:ext cx="3575127" cy="370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0A37" w:rsidRDefault="000A0A37" w:rsidP="000A0A37">
      <w:pPr>
        <w:autoSpaceDE w:val="0"/>
        <w:autoSpaceDN w:val="0"/>
        <w:adjustRightInd w:val="0"/>
        <w:spacing w:after="360" w:line="240" w:lineRule="auto"/>
        <w:jc w:val="center"/>
        <w:rPr>
          <w:rFonts w:asciiTheme="majorBidi" w:hAnsiTheme="majorBidi" w:cstheme="majorBidi"/>
          <w:i/>
          <w:iCs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240" w:lineRule="auto"/>
        <w:jc w:val="center"/>
        <w:rPr>
          <w:rFonts w:asciiTheme="majorBidi" w:hAnsiTheme="majorBidi" w:cstheme="majorBidi"/>
          <w:i/>
          <w:iCs/>
        </w:rPr>
      </w:pPr>
    </w:p>
    <w:p w:rsidR="000E347B" w:rsidRPr="00D40818" w:rsidRDefault="000A0A37" w:rsidP="00AD1C09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E347B">
        <w:rPr>
          <w:rFonts w:asciiTheme="majorBidi" w:hAnsiTheme="majorBidi" w:cstheme="majorBidi"/>
          <w:b/>
          <w:bCs/>
          <w:sz w:val="24"/>
        </w:rPr>
        <w:t>Fig. S4:</w:t>
      </w:r>
      <w:r w:rsidRPr="000E347B">
        <w:rPr>
          <w:rFonts w:asciiTheme="majorBidi" w:hAnsiTheme="majorBidi" w:cstheme="majorBidi"/>
          <w:sz w:val="24"/>
        </w:rPr>
        <w:t xml:space="preserve"> </w:t>
      </w:r>
      <w:r w:rsidR="000E347B" w:rsidRPr="000E347B">
        <w:rPr>
          <w:rFonts w:asciiTheme="majorBidi" w:eastAsia="GulliverRM" w:hAnsiTheme="majorBidi" w:cstheme="majorBidi"/>
          <w:sz w:val="24"/>
          <w:szCs w:val="24"/>
        </w:rPr>
        <w:t>HPLC</w:t>
      </w:r>
      <w:r w:rsidR="000E347B" w:rsidRPr="009C236F">
        <w:rPr>
          <w:rFonts w:asciiTheme="majorBidi" w:eastAsia="GulliverRM" w:hAnsiTheme="majorBidi" w:cstheme="majorBidi"/>
          <w:sz w:val="24"/>
          <w:szCs w:val="24"/>
        </w:rPr>
        <w:t xml:space="preserve"> chromatograms of the standard aniline</w:t>
      </w:r>
      <w:r w:rsidR="000E347B">
        <w:rPr>
          <w:rFonts w:asciiTheme="majorBidi" w:eastAsia="GulliverRM" w:hAnsiTheme="majorBidi" w:cstheme="majorBidi"/>
          <w:sz w:val="24"/>
          <w:szCs w:val="24"/>
        </w:rPr>
        <w:t xml:space="preserve"> as well as raw and treated solution of the BTA solution </w:t>
      </w:r>
      <w:r w:rsidR="000E347B" w:rsidRPr="009C236F">
        <w:rPr>
          <w:rFonts w:asciiTheme="majorBidi" w:eastAsia="GulliverRM" w:hAnsiTheme="majorBidi" w:cstheme="majorBidi"/>
          <w:sz w:val="24"/>
          <w:szCs w:val="24"/>
        </w:rPr>
        <w:t>at different reaction times</w:t>
      </w:r>
      <w:r w:rsidR="000E347B">
        <w:rPr>
          <w:rFonts w:asciiTheme="majorBidi" w:eastAsia="GulliverRM" w:hAnsiTheme="majorBidi" w:cstheme="majorBidi"/>
          <w:sz w:val="24"/>
          <w:szCs w:val="24"/>
        </w:rPr>
        <w:t>.</w:t>
      </w:r>
    </w:p>
    <w:p w:rsidR="000A0A37" w:rsidRDefault="000A0A37" w:rsidP="000A0A37">
      <w:pPr>
        <w:pStyle w:val="EndNoteBibliography"/>
        <w:bidi w:val="0"/>
        <w:spacing w:after="360"/>
        <w:jc w:val="center"/>
        <w:rPr>
          <w:sz w:val="24"/>
        </w:rPr>
      </w:pPr>
    </w:p>
    <w:p w:rsidR="000A0A37" w:rsidRDefault="000A0A37" w:rsidP="000A0A37">
      <w:pPr>
        <w:autoSpaceDE w:val="0"/>
        <w:autoSpaceDN w:val="0"/>
        <w:adjustRightInd w:val="0"/>
        <w:spacing w:after="360" w:line="240" w:lineRule="auto"/>
        <w:jc w:val="center"/>
        <w:rPr>
          <w:rFonts w:asciiTheme="majorBidi" w:hAnsiTheme="majorBidi" w:cstheme="majorBidi"/>
          <w:i/>
          <w:iCs/>
        </w:rPr>
      </w:pPr>
      <w:r>
        <w:rPr>
          <w:noProof/>
        </w:rPr>
        <w:lastRenderedPageBreak/>
        <w:drawing>
          <wp:inline distT="0" distB="0" distL="0" distR="0" wp14:anchorId="481BD671" wp14:editId="6EFE7607">
            <wp:extent cx="4584699" cy="2656032"/>
            <wp:effectExtent l="0" t="0" r="6985" b="0"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A0A37" w:rsidRDefault="000A0A37"/>
    <w:sectPr w:rsidR="000A0A37" w:rsidSect="000A0A3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35B" w:rsidRDefault="0065135B" w:rsidP="000A0A37">
      <w:pPr>
        <w:spacing w:after="0" w:line="240" w:lineRule="auto"/>
      </w:pPr>
      <w:r>
        <w:separator/>
      </w:r>
    </w:p>
  </w:endnote>
  <w:endnote w:type="continuationSeparator" w:id="0">
    <w:p w:rsidR="0065135B" w:rsidRDefault="0065135B" w:rsidP="000A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Gulliv-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liverRM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35B" w:rsidRDefault="0065135B" w:rsidP="000A0A37">
      <w:pPr>
        <w:spacing w:after="0" w:line="240" w:lineRule="auto"/>
      </w:pPr>
      <w:r>
        <w:separator/>
      </w:r>
    </w:p>
  </w:footnote>
  <w:footnote w:type="continuationSeparator" w:id="0">
    <w:p w:rsidR="0065135B" w:rsidRDefault="0065135B" w:rsidP="000A0A37">
      <w:pPr>
        <w:spacing w:after="0" w:line="240" w:lineRule="auto"/>
      </w:pPr>
      <w:r>
        <w:continuationSeparator/>
      </w:r>
    </w:p>
  </w:footnote>
  <w:footnote w:id="1">
    <w:p w:rsidR="000A0A37" w:rsidRPr="00CA625E" w:rsidRDefault="000A0A37" w:rsidP="000A0A37">
      <w:pPr>
        <w:jc w:val="both"/>
        <w:rPr>
          <w:rFonts w:asciiTheme="majorBidi" w:hAnsiTheme="majorBidi" w:cstheme="majorBidi"/>
          <w:sz w:val="20"/>
          <w:szCs w:val="20"/>
        </w:rPr>
      </w:pPr>
      <w:r w:rsidRPr="00CA625E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CA625E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CA625E">
        <w:rPr>
          <w:rFonts w:asciiTheme="majorBidi" w:hAnsiTheme="majorBidi" w:cstheme="majorBidi"/>
          <w:sz w:val="20"/>
          <w:szCs w:val="20"/>
        </w:rPr>
        <w:t xml:space="preserve">Corresponding authors: </w:t>
      </w:r>
      <w:r w:rsidRPr="00CA625E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Department of Environmental Health Engineering, </w:t>
      </w:r>
      <w:proofErr w:type="spellStart"/>
      <w:r w:rsidRPr="00CA625E">
        <w:rPr>
          <w:rFonts w:asciiTheme="majorBidi" w:hAnsiTheme="majorBidi" w:cstheme="majorBidi"/>
          <w:color w:val="000000" w:themeColor="text1"/>
          <w:sz w:val="20"/>
          <w:szCs w:val="20"/>
        </w:rPr>
        <w:t>Zabol</w:t>
      </w:r>
      <w:proofErr w:type="spellEnd"/>
      <w:r w:rsidRPr="00CA625E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University of Medical Sciences, </w:t>
      </w:r>
      <w:proofErr w:type="spellStart"/>
      <w:r w:rsidRPr="00CA625E">
        <w:rPr>
          <w:rFonts w:asciiTheme="majorBidi" w:hAnsiTheme="majorBidi" w:cstheme="majorBidi"/>
          <w:color w:val="000000" w:themeColor="text1"/>
          <w:sz w:val="20"/>
          <w:szCs w:val="20"/>
        </w:rPr>
        <w:t>Zahedam</w:t>
      </w:r>
      <w:proofErr w:type="spellEnd"/>
      <w:r w:rsidRPr="00CA625E">
        <w:rPr>
          <w:rFonts w:asciiTheme="majorBidi" w:hAnsiTheme="majorBidi" w:cstheme="majorBidi"/>
          <w:color w:val="000000" w:themeColor="text1"/>
          <w:sz w:val="20"/>
          <w:szCs w:val="20"/>
        </w:rPr>
        <w:t>, Iran</w:t>
      </w:r>
      <w:r w:rsidRPr="00CA625E">
        <w:rPr>
          <w:rFonts w:asciiTheme="majorBidi" w:hAnsiTheme="majorBidi" w:cstheme="majorBidi"/>
          <w:sz w:val="20"/>
          <w:szCs w:val="20"/>
        </w:rPr>
        <w:t xml:space="preserve">. E-mail address: mgolshan.env@gmail.com (M. </w:t>
      </w:r>
      <w:proofErr w:type="spellStart"/>
      <w:r w:rsidRPr="00CA625E">
        <w:rPr>
          <w:rFonts w:asciiTheme="majorBidi" w:hAnsiTheme="majorBidi" w:cstheme="majorBidi"/>
          <w:sz w:val="20"/>
          <w:szCs w:val="20"/>
        </w:rPr>
        <w:t>Golshan</w:t>
      </w:r>
      <w:proofErr w:type="spellEnd"/>
      <w:r w:rsidRPr="00CA625E">
        <w:rPr>
          <w:rFonts w:asciiTheme="majorBidi" w:hAnsiTheme="majorBidi" w:cstheme="majorBidi"/>
          <w:sz w:val="20"/>
          <w:szCs w:val="20"/>
        </w:rPr>
        <w:t>).</w:t>
      </w:r>
    </w:p>
    <w:p w:rsidR="000A0A37" w:rsidRDefault="000A0A37" w:rsidP="000A0A37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37"/>
    <w:rsid w:val="000A0A37"/>
    <w:rsid w:val="000E347B"/>
    <w:rsid w:val="0065135B"/>
    <w:rsid w:val="00747317"/>
    <w:rsid w:val="00AD1C09"/>
    <w:rsid w:val="00BE349A"/>
    <w:rsid w:val="00F7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5A0D4-CA82-40B9-8837-D7DD7D1D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A0A37"/>
    <w:pPr>
      <w:bidi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0A37"/>
    <w:rPr>
      <w:rFonts w:ascii="Times New Roman" w:hAnsi="Times New Roman" w:cs="Times New Roman"/>
      <w:color w:val="000000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0A0A37"/>
    <w:rPr>
      <w:vertAlign w:val="superscript"/>
    </w:rPr>
  </w:style>
  <w:style w:type="table" w:styleId="TableGrid">
    <w:name w:val="Table Grid"/>
    <w:basedOn w:val="TableNormal"/>
    <w:uiPriority w:val="59"/>
    <w:rsid w:val="000A0A3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0A0A37"/>
    <w:pPr>
      <w:bidi/>
      <w:spacing w:after="200" w:line="240" w:lineRule="auto"/>
      <w:jc w:val="right"/>
    </w:pPr>
    <w:rPr>
      <w:rFonts w:ascii="Times New Roman" w:hAnsi="Times New Roman" w:cs="Times New Roman"/>
      <w:noProof/>
      <w:color w:val="000000"/>
      <w:szCs w:val="24"/>
      <w:lang w:bidi="fa-IR"/>
    </w:rPr>
  </w:style>
  <w:style w:type="character" w:customStyle="1" w:styleId="EndNoteBibliographyChar">
    <w:name w:val="EndNote Bibliography Char"/>
    <w:basedOn w:val="DefaultParagraphFont"/>
    <w:link w:val="EndNoteBibliography"/>
    <w:rsid w:val="000A0A37"/>
    <w:rPr>
      <w:rFonts w:ascii="Times New Roman" w:hAnsi="Times New Roman" w:cs="Times New Roman"/>
      <w:noProof/>
      <w:color w:val="000000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h.D\BTA-Jorfi\Data\Mas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360833045426238"/>
          <c:y val="5.0925925925925923E-2"/>
          <c:w val="0.82167621344588482"/>
          <c:h val="0.76970654709827935"/>
        </c:manualLayout>
      </c:layout>
      <c:scatterChart>
        <c:scatterStyle val="smoothMarker"/>
        <c:varyColors val="0"/>
        <c:ser>
          <c:idx val="0"/>
          <c:order val="0"/>
          <c:tx>
            <c:v>BTA (Before treatment)</c:v>
          </c:tx>
          <c:spPr>
            <a:ln w="12700" cap="rnd">
              <a:solidFill>
                <a:srgbClr val="00CC00"/>
              </a:solidFill>
              <a:round/>
            </a:ln>
            <a:effectLst/>
          </c:spPr>
          <c:marker>
            <c:symbol val="none"/>
          </c:marker>
          <c:xVal>
            <c:numRef>
              <c:f>Sheet1!$B$5:$B$103</c:f>
              <c:numCache>
                <c:formatCode>General</c:formatCode>
                <c:ptCount val="99"/>
                <c:pt idx="0">
                  <c:v>3.5550100000000001E-2</c:v>
                </c:pt>
                <c:pt idx="1">
                  <c:v>1.0196799999999999</c:v>
                </c:pt>
                <c:pt idx="2">
                  <c:v>2.1307999999999998</c:v>
                </c:pt>
                <c:pt idx="3">
                  <c:v>2.3847</c:v>
                </c:pt>
                <c:pt idx="4">
                  <c:v>2.6386599999999998</c:v>
                </c:pt>
                <c:pt idx="5">
                  <c:v>2.89256</c:v>
                </c:pt>
                <c:pt idx="6">
                  <c:v>2.98794</c:v>
                </c:pt>
                <c:pt idx="7">
                  <c:v>3.0508799999999998</c:v>
                </c:pt>
                <c:pt idx="8">
                  <c:v>3.0815199999999998</c:v>
                </c:pt>
                <c:pt idx="9">
                  <c:v>3.1143000000000001</c:v>
                </c:pt>
                <c:pt idx="10">
                  <c:v>3.1467399999999999</c:v>
                </c:pt>
                <c:pt idx="11">
                  <c:v>3.1480600000000001</c:v>
                </c:pt>
                <c:pt idx="12">
                  <c:v>3.2118199999999999</c:v>
                </c:pt>
                <c:pt idx="13">
                  <c:v>3.21252</c:v>
                </c:pt>
                <c:pt idx="14">
                  <c:v>3.3065799999999999</c:v>
                </c:pt>
                <c:pt idx="15">
                  <c:v>3.4011300000000002</c:v>
                </c:pt>
                <c:pt idx="16">
                  <c:v>3.4014700000000002</c:v>
                </c:pt>
                <c:pt idx="17">
                  <c:v>3.4323899999999998</c:v>
                </c:pt>
                <c:pt idx="18">
                  <c:v>3.4635799999999999</c:v>
                </c:pt>
                <c:pt idx="19">
                  <c:v>3.5591599999999999</c:v>
                </c:pt>
                <c:pt idx="20">
                  <c:v>3.6546799999999999</c:v>
                </c:pt>
                <c:pt idx="21">
                  <c:v>3.8452299999999999</c:v>
                </c:pt>
                <c:pt idx="22">
                  <c:v>4.1626899999999996</c:v>
                </c:pt>
                <c:pt idx="23">
                  <c:v>4.4801500000000001</c:v>
                </c:pt>
                <c:pt idx="24">
                  <c:v>4.95634</c:v>
                </c:pt>
                <c:pt idx="25">
                  <c:v>5.36897</c:v>
                </c:pt>
                <c:pt idx="26">
                  <c:v>5.7817400000000001</c:v>
                </c:pt>
                <c:pt idx="27">
                  <c:v>6.25793</c:v>
                </c:pt>
                <c:pt idx="28">
                  <c:v>6.7022399999999998</c:v>
                </c:pt>
                <c:pt idx="29">
                  <c:v>6.8292900000000003</c:v>
                </c:pt>
                <c:pt idx="30">
                  <c:v>6.9563499999999996</c:v>
                </c:pt>
                <c:pt idx="31">
                  <c:v>7.1151499999999999</c:v>
                </c:pt>
                <c:pt idx="32">
                  <c:v>7.2421300000000004</c:v>
                </c:pt>
                <c:pt idx="33">
                  <c:v>7.3689799999999996</c:v>
                </c:pt>
                <c:pt idx="34">
                  <c:v>7.55945</c:v>
                </c:pt>
                <c:pt idx="35">
                  <c:v>8.0038999999999998</c:v>
                </c:pt>
                <c:pt idx="36">
                  <c:v>8.3213600000000003</c:v>
                </c:pt>
                <c:pt idx="37">
                  <c:v>8.7340599999999995</c:v>
                </c:pt>
                <c:pt idx="38">
                  <c:v>8.8611799999999992</c:v>
                </c:pt>
                <c:pt idx="39">
                  <c:v>9.0200499999999995</c:v>
                </c:pt>
                <c:pt idx="40">
                  <c:v>9.1471099999999996</c:v>
                </c:pt>
                <c:pt idx="41">
                  <c:v>9.2739499999999992</c:v>
                </c:pt>
                <c:pt idx="42">
                  <c:v>9.3690499999999997</c:v>
                </c:pt>
                <c:pt idx="43">
                  <c:v>9.4959699999999998</c:v>
                </c:pt>
                <c:pt idx="44">
                  <c:v>9.7181200000000008</c:v>
                </c:pt>
                <c:pt idx="45">
                  <c:v>10.1943</c:v>
                </c:pt>
                <c:pt idx="46">
                  <c:v>10.511799999999999</c:v>
                </c:pt>
                <c:pt idx="47">
                  <c:v>10.892799999999999</c:v>
                </c:pt>
                <c:pt idx="48">
                  <c:v>11.2104</c:v>
                </c:pt>
                <c:pt idx="49">
                  <c:v>11.5914</c:v>
                </c:pt>
                <c:pt idx="50">
                  <c:v>11.813599999999999</c:v>
                </c:pt>
                <c:pt idx="51">
                  <c:v>11.9407</c:v>
                </c:pt>
                <c:pt idx="52">
                  <c:v>12.0045</c:v>
                </c:pt>
                <c:pt idx="53">
                  <c:v>12.0685</c:v>
                </c:pt>
                <c:pt idx="54">
                  <c:v>12.101000000000001</c:v>
                </c:pt>
                <c:pt idx="55">
                  <c:v>12.164899999999999</c:v>
                </c:pt>
                <c:pt idx="56">
                  <c:v>12.260199999999999</c:v>
                </c:pt>
                <c:pt idx="57">
                  <c:v>12.354699999999999</c:v>
                </c:pt>
                <c:pt idx="58">
                  <c:v>12.449299999999999</c:v>
                </c:pt>
                <c:pt idx="59">
                  <c:v>12.543900000000001</c:v>
                </c:pt>
                <c:pt idx="60">
                  <c:v>12.702500000000001</c:v>
                </c:pt>
                <c:pt idx="61">
                  <c:v>12.9245</c:v>
                </c:pt>
                <c:pt idx="62">
                  <c:v>13.241899999999999</c:v>
                </c:pt>
                <c:pt idx="63">
                  <c:v>13.5595</c:v>
                </c:pt>
                <c:pt idx="64">
                  <c:v>13.7182</c:v>
                </c:pt>
                <c:pt idx="65">
                  <c:v>13.8453</c:v>
                </c:pt>
                <c:pt idx="66">
                  <c:v>13.8775</c:v>
                </c:pt>
                <c:pt idx="67">
                  <c:v>13.9107</c:v>
                </c:pt>
                <c:pt idx="68">
                  <c:v>13.941599999999999</c:v>
                </c:pt>
                <c:pt idx="69">
                  <c:v>13.9437</c:v>
                </c:pt>
                <c:pt idx="70">
                  <c:v>13.978300000000001</c:v>
                </c:pt>
                <c:pt idx="71">
                  <c:v>14.011900000000001</c:v>
                </c:pt>
                <c:pt idx="72">
                  <c:v>14.014799999999999</c:v>
                </c:pt>
                <c:pt idx="73">
                  <c:v>14.049799999999999</c:v>
                </c:pt>
                <c:pt idx="74">
                  <c:v>14.0862</c:v>
                </c:pt>
                <c:pt idx="75">
                  <c:v>14.120100000000001</c:v>
                </c:pt>
                <c:pt idx="76">
                  <c:v>14.1532</c:v>
                </c:pt>
                <c:pt idx="77">
                  <c:v>14.1859</c:v>
                </c:pt>
                <c:pt idx="78">
                  <c:v>14.214499999999999</c:v>
                </c:pt>
                <c:pt idx="79">
                  <c:v>14.2437</c:v>
                </c:pt>
                <c:pt idx="80">
                  <c:v>14.2712</c:v>
                </c:pt>
                <c:pt idx="81">
                  <c:v>14.2736</c:v>
                </c:pt>
                <c:pt idx="82">
                  <c:v>14.2995</c:v>
                </c:pt>
                <c:pt idx="83">
                  <c:v>14.3271</c:v>
                </c:pt>
                <c:pt idx="84">
                  <c:v>14.328799999999999</c:v>
                </c:pt>
                <c:pt idx="85">
                  <c:v>14.388500000000001</c:v>
                </c:pt>
                <c:pt idx="86">
                  <c:v>14.418799999999999</c:v>
                </c:pt>
                <c:pt idx="87">
                  <c:v>14.481400000000001</c:v>
                </c:pt>
                <c:pt idx="88">
                  <c:v>14.5442</c:v>
                </c:pt>
                <c:pt idx="89">
                  <c:v>14.7979</c:v>
                </c:pt>
                <c:pt idx="90">
                  <c:v>15.178599999999999</c:v>
                </c:pt>
                <c:pt idx="91">
                  <c:v>15.7818</c:v>
                </c:pt>
                <c:pt idx="92">
                  <c:v>16.257899999999999</c:v>
                </c:pt>
                <c:pt idx="93">
                  <c:v>16.797599999999999</c:v>
                </c:pt>
                <c:pt idx="94">
                  <c:v>17.7182</c:v>
                </c:pt>
                <c:pt idx="95">
                  <c:v>18.511900000000001</c:v>
                </c:pt>
                <c:pt idx="96">
                  <c:v>18.892800000000001</c:v>
                </c:pt>
                <c:pt idx="97">
                  <c:v>19.654699999999998</c:v>
                </c:pt>
                <c:pt idx="98">
                  <c:v>19.845099999999999</c:v>
                </c:pt>
              </c:numCache>
            </c:numRef>
          </c:xVal>
          <c:yVal>
            <c:numRef>
              <c:f>Sheet1!$C$5:$C$103</c:f>
              <c:numCache>
                <c:formatCode>General</c:formatCode>
                <c:ptCount val="99"/>
                <c:pt idx="0">
                  <c:v>11.9826</c:v>
                </c:pt>
                <c:pt idx="1">
                  <c:v>11.9933</c:v>
                </c:pt>
                <c:pt idx="2">
                  <c:v>12.0054</c:v>
                </c:pt>
                <c:pt idx="3">
                  <c:v>11.7903</c:v>
                </c:pt>
                <c:pt idx="4">
                  <c:v>11.793100000000001</c:v>
                </c:pt>
                <c:pt idx="5">
                  <c:v>11.577999999999999</c:v>
                </c:pt>
                <c:pt idx="6">
                  <c:v>12.014799999999999</c:v>
                </c:pt>
                <c:pt idx="7">
                  <c:v>10.272500000000001</c:v>
                </c:pt>
                <c:pt idx="8">
                  <c:v>6.7870299999999997</c:v>
                </c:pt>
                <c:pt idx="9">
                  <c:v>10.055400000000001</c:v>
                </c:pt>
                <c:pt idx="10">
                  <c:v>12.234400000000001</c:v>
                </c:pt>
                <c:pt idx="11">
                  <c:v>16.373799999999999</c:v>
                </c:pt>
                <c:pt idx="12">
                  <c:v>17.245999999999999</c:v>
                </c:pt>
                <c:pt idx="13">
                  <c:v>19.424600000000002</c:v>
                </c:pt>
                <c:pt idx="14">
                  <c:v>15.7219</c:v>
                </c:pt>
                <c:pt idx="15">
                  <c:v>13.5443</c:v>
                </c:pt>
                <c:pt idx="16">
                  <c:v>14.633699999999999</c:v>
                </c:pt>
                <c:pt idx="17">
                  <c:v>12.019600000000001</c:v>
                </c:pt>
                <c:pt idx="18">
                  <c:v>10.276999999999999</c:v>
                </c:pt>
                <c:pt idx="19">
                  <c:v>11.3674</c:v>
                </c:pt>
                <c:pt idx="20">
                  <c:v>12.2399</c:v>
                </c:pt>
                <c:pt idx="21">
                  <c:v>12.4598</c:v>
                </c:pt>
                <c:pt idx="22">
                  <c:v>12.4633</c:v>
                </c:pt>
                <c:pt idx="23">
                  <c:v>12.466799999999999</c:v>
                </c:pt>
                <c:pt idx="24">
                  <c:v>12.4719</c:v>
                </c:pt>
                <c:pt idx="25">
                  <c:v>12.258599999999999</c:v>
                </c:pt>
                <c:pt idx="26">
                  <c:v>12.4809</c:v>
                </c:pt>
                <c:pt idx="27">
                  <c:v>12.4861</c:v>
                </c:pt>
                <c:pt idx="28">
                  <c:v>12.055199999999999</c:v>
                </c:pt>
                <c:pt idx="29">
                  <c:v>12.2745</c:v>
                </c:pt>
                <c:pt idx="30">
                  <c:v>12.4937</c:v>
                </c:pt>
                <c:pt idx="31">
                  <c:v>12.7133</c:v>
                </c:pt>
                <c:pt idx="32">
                  <c:v>12.714700000000001</c:v>
                </c:pt>
                <c:pt idx="33">
                  <c:v>12.2804</c:v>
                </c:pt>
                <c:pt idx="34">
                  <c:v>12.282400000000001</c:v>
                </c:pt>
                <c:pt idx="35">
                  <c:v>12.2873</c:v>
                </c:pt>
                <c:pt idx="36">
                  <c:v>12.290699999999999</c:v>
                </c:pt>
                <c:pt idx="37">
                  <c:v>12.295199999999999</c:v>
                </c:pt>
                <c:pt idx="38">
                  <c:v>12.7323</c:v>
                </c:pt>
                <c:pt idx="39">
                  <c:v>13.1698</c:v>
                </c:pt>
                <c:pt idx="40">
                  <c:v>13.389099999999999</c:v>
                </c:pt>
                <c:pt idx="41">
                  <c:v>12.954700000000001</c:v>
                </c:pt>
                <c:pt idx="42">
                  <c:v>12.52</c:v>
                </c:pt>
                <c:pt idx="43">
                  <c:v>12.3035</c:v>
                </c:pt>
                <c:pt idx="44">
                  <c:v>12.088100000000001</c:v>
                </c:pt>
                <c:pt idx="45">
                  <c:v>12.093299999999999</c:v>
                </c:pt>
                <c:pt idx="46">
                  <c:v>12.0967</c:v>
                </c:pt>
                <c:pt idx="47">
                  <c:v>12.3187</c:v>
                </c:pt>
                <c:pt idx="48">
                  <c:v>12.757899999999999</c:v>
                </c:pt>
                <c:pt idx="49">
                  <c:v>12.98</c:v>
                </c:pt>
                <c:pt idx="50">
                  <c:v>12.9824</c:v>
                </c:pt>
                <c:pt idx="51">
                  <c:v>13.201599999999999</c:v>
                </c:pt>
                <c:pt idx="52">
                  <c:v>14.0738</c:v>
                </c:pt>
                <c:pt idx="53">
                  <c:v>15.817399999999999</c:v>
                </c:pt>
                <c:pt idx="54">
                  <c:v>17.996400000000001</c:v>
                </c:pt>
                <c:pt idx="55">
                  <c:v>19.304300000000001</c:v>
                </c:pt>
                <c:pt idx="56">
                  <c:v>19.741099999999999</c:v>
                </c:pt>
                <c:pt idx="57">
                  <c:v>17.345600000000001</c:v>
                </c:pt>
                <c:pt idx="58">
                  <c:v>15.167899999999999</c:v>
                </c:pt>
                <c:pt idx="59">
                  <c:v>13.4261</c:v>
                </c:pt>
                <c:pt idx="60">
                  <c:v>12.7742</c:v>
                </c:pt>
                <c:pt idx="61">
                  <c:v>12.122999999999999</c:v>
                </c:pt>
                <c:pt idx="62">
                  <c:v>12.1265</c:v>
                </c:pt>
                <c:pt idx="63">
                  <c:v>12.347799999999999</c:v>
                </c:pt>
                <c:pt idx="64">
                  <c:v>12.349500000000001</c:v>
                </c:pt>
                <c:pt idx="65">
                  <c:v>12.7866</c:v>
                </c:pt>
                <c:pt idx="66">
                  <c:v>14.094200000000001</c:v>
                </c:pt>
                <c:pt idx="67">
                  <c:v>18.669699999999999</c:v>
                </c:pt>
                <c:pt idx="68">
                  <c:v>16.055700000000002</c:v>
                </c:pt>
                <c:pt idx="69">
                  <c:v>22.5916</c:v>
                </c:pt>
                <c:pt idx="70">
                  <c:v>31.7423</c:v>
                </c:pt>
                <c:pt idx="71">
                  <c:v>37.407200000000003</c:v>
                </c:pt>
                <c:pt idx="72">
                  <c:v>46.775399999999998</c:v>
                </c:pt>
                <c:pt idx="73">
                  <c:v>57.0154</c:v>
                </c:pt>
                <c:pt idx="74">
                  <c:v>71.394900000000007</c:v>
                </c:pt>
                <c:pt idx="75">
                  <c:v>78.367000000000004</c:v>
                </c:pt>
                <c:pt idx="76">
                  <c:v>82.724599999999995</c:v>
                </c:pt>
                <c:pt idx="77">
                  <c:v>85.557199999999995</c:v>
                </c:pt>
                <c:pt idx="78">
                  <c:v>75.753600000000006</c:v>
                </c:pt>
                <c:pt idx="79">
                  <c:v>67.692899999999995</c:v>
                </c:pt>
                <c:pt idx="80">
                  <c:v>54.403500000000001</c:v>
                </c:pt>
                <c:pt idx="81">
                  <c:v>61.810899999999997</c:v>
                </c:pt>
                <c:pt idx="82">
                  <c:v>43.292700000000004</c:v>
                </c:pt>
                <c:pt idx="83">
                  <c:v>39.2211</c:v>
                </c:pt>
                <c:pt idx="84">
                  <c:v>35.667700000000004</c:v>
                </c:pt>
                <c:pt idx="85">
                  <c:v>23.6858</c:v>
                </c:pt>
                <c:pt idx="86">
                  <c:v>19.328800000000001</c:v>
                </c:pt>
                <c:pt idx="87">
                  <c:v>16.497299999999999</c:v>
                </c:pt>
                <c:pt idx="88">
                  <c:v>14.1014</c:v>
                </c:pt>
                <c:pt idx="89">
                  <c:v>13.232699999999999</c:v>
                </c:pt>
                <c:pt idx="90">
                  <c:v>12.583299999999999</c:v>
                </c:pt>
                <c:pt idx="91">
                  <c:v>12.5899</c:v>
                </c:pt>
                <c:pt idx="92">
                  <c:v>12.3772</c:v>
                </c:pt>
                <c:pt idx="93">
                  <c:v>12.383100000000001</c:v>
                </c:pt>
                <c:pt idx="94">
                  <c:v>12.1752</c:v>
                </c:pt>
                <c:pt idx="95">
                  <c:v>12.6196</c:v>
                </c:pt>
                <c:pt idx="96">
                  <c:v>12.405900000000001</c:v>
                </c:pt>
                <c:pt idx="97">
                  <c:v>12.196300000000001</c:v>
                </c:pt>
                <c:pt idx="98">
                  <c:v>12.198399999999999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154-4B19-BAD5-6C1A6BAA0286}"/>
            </c:ext>
          </c:extLst>
        </c:ser>
        <c:ser>
          <c:idx val="1"/>
          <c:order val="1"/>
          <c:tx>
            <c:v>BTA (After treatment)</c:v>
          </c:tx>
          <c:spPr>
            <a:ln w="12700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xVal>
            <c:numRef>
              <c:f>Sheet1!$D$5:$D$108</c:f>
              <c:numCache>
                <c:formatCode>General</c:formatCode>
                <c:ptCount val="104"/>
                <c:pt idx="0">
                  <c:v>3.5550100000000001E-2</c:v>
                </c:pt>
                <c:pt idx="1">
                  <c:v>0.47999599999999998</c:v>
                </c:pt>
                <c:pt idx="2">
                  <c:v>1.17841</c:v>
                </c:pt>
                <c:pt idx="3">
                  <c:v>1.4958</c:v>
                </c:pt>
                <c:pt idx="4">
                  <c:v>1.8133999999999999</c:v>
                </c:pt>
                <c:pt idx="5">
                  <c:v>2.1307299999999998</c:v>
                </c:pt>
                <c:pt idx="6">
                  <c:v>2.4481199999999999</c:v>
                </c:pt>
                <c:pt idx="7">
                  <c:v>2.7020200000000001</c:v>
                </c:pt>
                <c:pt idx="8">
                  <c:v>2.89256</c:v>
                </c:pt>
                <c:pt idx="9">
                  <c:v>2.98794</c:v>
                </c:pt>
                <c:pt idx="10">
                  <c:v>3.0193400000000001</c:v>
                </c:pt>
                <c:pt idx="11">
                  <c:v>3.0504699999999998</c:v>
                </c:pt>
                <c:pt idx="12">
                  <c:v>3.0817999999999999</c:v>
                </c:pt>
                <c:pt idx="13">
                  <c:v>3.08256</c:v>
                </c:pt>
                <c:pt idx="14">
                  <c:v>3.11389</c:v>
                </c:pt>
                <c:pt idx="15">
                  <c:v>3.1147900000000002</c:v>
                </c:pt>
                <c:pt idx="16">
                  <c:v>3.1157599999999999</c:v>
                </c:pt>
                <c:pt idx="17">
                  <c:v>3.1489500000000001</c:v>
                </c:pt>
                <c:pt idx="18">
                  <c:v>3.18188</c:v>
                </c:pt>
                <c:pt idx="19">
                  <c:v>3.2139700000000002</c:v>
                </c:pt>
                <c:pt idx="20">
                  <c:v>3.2452999999999999</c:v>
                </c:pt>
                <c:pt idx="21">
                  <c:v>3.3402599999999998</c:v>
                </c:pt>
                <c:pt idx="22">
                  <c:v>3.40334</c:v>
                </c:pt>
                <c:pt idx="23">
                  <c:v>3.4355699999999998</c:v>
                </c:pt>
                <c:pt idx="24">
                  <c:v>3.4667599999999998</c:v>
                </c:pt>
                <c:pt idx="25">
                  <c:v>3.4973999999999998</c:v>
                </c:pt>
                <c:pt idx="26">
                  <c:v>3.4978899999999999</c:v>
                </c:pt>
                <c:pt idx="27">
                  <c:v>3.6559200000000001</c:v>
                </c:pt>
                <c:pt idx="28">
                  <c:v>3.7831199999999998</c:v>
                </c:pt>
                <c:pt idx="29">
                  <c:v>3.8784900000000002</c:v>
                </c:pt>
                <c:pt idx="30">
                  <c:v>4.0053400000000003</c:v>
                </c:pt>
                <c:pt idx="31">
                  <c:v>4.1319800000000004</c:v>
                </c:pt>
                <c:pt idx="32">
                  <c:v>4.2270799999999999</c:v>
                </c:pt>
                <c:pt idx="33">
                  <c:v>4.3539899999999996</c:v>
                </c:pt>
                <c:pt idx="34">
                  <c:v>4.5762200000000002</c:v>
                </c:pt>
                <c:pt idx="35">
                  <c:v>4.7348800000000004</c:v>
                </c:pt>
                <c:pt idx="36">
                  <c:v>4.8933999999999997</c:v>
                </c:pt>
                <c:pt idx="37">
                  <c:v>5.2107900000000003</c:v>
                </c:pt>
                <c:pt idx="38">
                  <c:v>5.46469</c:v>
                </c:pt>
                <c:pt idx="39">
                  <c:v>5.5918200000000002</c:v>
                </c:pt>
                <c:pt idx="40">
                  <c:v>5.7506199999999996</c:v>
                </c:pt>
                <c:pt idx="41">
                  <c:v>5.9408899999999996</c:v>
                </c:pt>
                <c:pt idx="42">
                  <c:v>6.1628999999999996</c:v>
                </c:pt>
                <c:pt idx="43">
                  <c:v>6.8295700000000004</c:v>
                </c:pt>
                <c:pt idx="44">
                  <c:v>7.1787799999999997</c:v>
                </c:pt>
                <c:pt idx="45">
                  <c:v>7.4011399999999998</c:v>
                </c:pt>
                <c:pt idx="46">
                  <c:v>7.5917500000000002</c:v>
                </c:pt>
                <c:pt idx="47">
                  <c:v>7.7504200000000001</c:v>
                </c:pt>
                <c:pt idx="48">
                  <c:v>7.9089400000000003</c:v>
                </c:pt>
                <c:pt idx="49">
                  <c:v>8.3849900000000002</c:v>
                </c:pt>
                <c:pt idx="50">
                  <c:v>8.8929299999999998</c:v>
                </c:pt>
                <c:pt idx="51">
                  <c:v>9.4961099999999998</c:v>
                </c:pt>
                <c:pt idx="52">
                  <c:v>10.099299999999999</c:v>
                </c:pt>
                <c:pt idx="53">
                  <c:v>10.6707</c:v>
                </c:pt>
                <c:pt idx="54">
                  <c:v>11.0199</c:v>
                </c:pt>
                <c:pt idx="55">
                  <c:v>11.4009</c:v>
                </c:pt>
                <c:pt idx="56">
                  <c:v>11.5595</c:v>
                </c:pt>
                <c:pt idx="57">
                  <c:v>11.718299999999999</c:v>
                </c:pt>
                <c:pt idx="58">
                  <c:v>11.7821</c:v>
                </c:pt>
                <c:pt idx="59">
                  <c:v>11.814500000000001</c:v>
                </c:pt>
                <c:pt idx="60">
                  <c:v>11.8788</c:v>
                </c:pt>
                <c:pt idx="61">
                  <c:v>11.88</c:v>
                </c:pt>
                <c:pt idx="62">
                  <c:v>11.9133</c:v>
                </c:pt>
                <c:pt idx="63">
                  <c:v>11.9466</c:v>
                </c:pt>
                <c:pt idx="64">
                  <c:v>11.9473</c:v>
                </c:pt>
                <c:pt idx="65">
                  <c:v>12.0436</c:v>
                </c:pt>
                <c:pt idx="66">
                  <c:v>12.1374</c:v>
                </c:pt>
                <c:pt idx="67">
                  <c:v>12.1677</c:v>
                </c:pt>
                <c:pt idx="68">
                  <c:v>12.197900000000001</c:v>
                </c:pt>
                <c:pt idx="69">
                  <c:v>12.26</c:v>
                </c:pt>
                <c:pt idx="70">
                  <c:v>12.290900000000001</c:v>
                </c:pt>
                <c:pt idx="71">
                  <c:v>12.353899999999999</c:v>
                </c:pt>
                <c:pt idx="72">
                  <c:v>12.480499999999999</c:v>
                </c:pt>
                <c:pt idx="73">
                  <c:v>12.797800000000001</c:v>
                </c:pt>
                <c:pt idx="74">
                  <c:v>13.147</c:v>
                </c:pt>
                <c:pt idx="75">
                  <c:v>13.4961</c:v>
                </c:pt>
                <c:pt idx="76">
                  <c:v>13.7502</c:v>
                </c:pt>
                <c:pt idx="77">
                  <c:v>13.9093</c:v>
                </c:pt>
                <c:pt idx="78">
                  <c:v>13.9733</c:v>
                </c:pt>
                <c:pt idx="79">
                  <c:v>14.005800000000001</c:v>
                </c:pt>
                <c:pt idx="80">
                  <c:v>14.07</c:v>
                </c:pt>
                <c:pt idx="81">
                  <c:v>14.102499999999999</c:v>
                </c:pt>
                <c:pt idx="82">
                  <c:v>14.1348</c:v>
                </c:pt>
                <c:pt idx="83">
                  <c:v>14.198499999999999</c:v>
                </c:pt>
                <c:pt idx="84">
                  <c:v>14.261699999999999</c:v>
                </c:pt>
                <c:pt idx="85">
                  <c:v>14.3246</c:v>
                </c:pt>
                <c:pt idx="86">
                  <c:v>14.387600000000001</c:v>
                </c:pt>
                <c:pt idx="87">
                  <c:v>14.418799999999999</c:v>
                </c:pt>
                <c:pt idx="88">
                  <c:v>14.450100000000001</c:v>
                </c:pt>
                <c:pt idx="89">
                  <c:v>14.513199999999999</c:v>
                </c:pt>
                <c:pt idx="90">
                  <c:v>14.544499999999999</c:v>
                </c:pt>
                <c:pt idx="91">
                  <c:v>14.607699999999999</c:v>
                </c:pt>
                <c:pt idx="92">
                  <c:v>14.7662</c:v>
                </c:pt>
                <c:pt idx="93">
                  <c:v>14.924799999999999</c:v>
                </c:pt>
                <c:pt idx="94">
                  <c:v>15.1151</c:v>
                </c:pt>
                <c:pt idx="95">
                  <c:v>15.464399999999999</c:v>
                </c:pt>
                <c:pt idx="96">
                  <c:v>16.004000000000001</c:v>
                </c:pt>
                <c:pt idx="97">
                  <c:v>16.543600000000001</c:v>
                </c:pt>
                <c:pt idx="98">
                  <c:v>17.242100000000001</c:v>
                </c:pt>
                <c:pt idx="99">
                  <c:v>17.908799999999999</c:v>
                </c:pt>
                <c:pt idx="100">
                  <c:v>18.4801</c:v>
                </c:pt>
                <c:pt idx="101">
                  <c:v>19.115200000000002</c:v>
                </c:pt>
                <c:pt idx="102">
                  <c:v>19.654900000000001</c:v>
                </c:pt>
              </c:numCache>
            </c:numRef>
          </c:xVal>
          <c:yVal>
            <c:numRef>
              <c:f>Sheet1!$E$5:$E$107</c:f>
              <c:numCache>
                <c:formatCode>General</c:formatCode>
                <c:ptCount val="103"/>
                <c:pt idx="0">
                  <c:v>11.9826</c:v>
                </c:pt>
                <c:pt idx="1">
                  <c:v>11.987500000000001</c:v>
                </c:pt>
                <c:pt idx="2">
                  <c:v>11.995100000000001</c:v>
                </c:pt>
                <c:pt idx="3">
                  <c:v>11.7807</c:v>
                </c:pt>
                <c:pt idx="4">
                  <c:v>12.219799999999999</c:v>
                </c:pt>
                <c:pt idx="5">
                  <c:v>11.787599999999999</c:v>
                </c:pt>
                <c:pt idx="6">
                  <c:v>11.5732</c:v>
                </c:pt>
                <c:pt idx="7">
                  <c:v>11.3581</c:v>
                </c:pt>
                <c:pt idx="8">
                  <c:v>11.577999999999999</c:v>
                </c:pt>
                <c:pt idx="9">
                  <c:v>12.014799999999999</c:v>
                </c:pt>
                <c:pt idx="10">
                  <c:v>10.925800000000001</c:v>
                </c:pt>
                <c:pt idx="11">
                  <c:v>8.9653500000000008</c:v>
                </c:pt>
                <c:pt idx="12">
                  <c:v>7.6585000000000001</c:v>
                </c:pt>
                <c:pt idx="13">
                  <c:v>10.055</c:v>
                </c:pt>
                <c:pt idx="14">
                  <c:v>8.74817</c:v>
                </c:pt>
                <c:pt idx="15">
                  <c:v>11.580399999999999</c:v>
                </c:pt>
                <c:pt idx="16">
                  <c:v>14.6305</c:v>
                </c:pt>
                <c:pt idx="17">
                  <c:v>19.206099999999999</c:v>
                </c:pt>
                <c:pt idx="18">
                  <c:v>22.9101</c:v>
                </c:pt>
                <c:pt idx="19">
                  <c:v>23.9998</c:v>
                </c:pt>
                <c:pt idx="20">
                  <c:v>22.693000000000001</c:v>
                </c:pt>
                <c:pt idx="21">
                  <c:v>21.822500000000002</c:v>
                </c:pt>
                <c:pt idx="22">
                  <c:v>20.515999999999998</c:v>
                </c:pt>
                <c:pt idx="23">
                  <c:v>22.041399999999999</c:v>
                </c:pt>
                <c:pt idx="24">
                  <c:v>20.2989</c:v>
                </c:pt>
                <c:pt idx="25">
                  <c:v>16.813400000000001</c:v>
                </c:pt>
                <c:pt idx="26">
                  <c:v>18.3384</c:v>
                </c:pt>
                <c:pt idx="27">
                  <c:v>16.1615</c:v>
                </c:pt>
                <c:pt idx="28">
                  <c:v>16.816500000000001</c:v>
                </c:pt>
                <c:pt idx="29">
                  <c:v>17.2532</c:v>
                </c:pt>
                <c:pt idx="30">
                  <c:v>16.818899999999999</c:v>
                </c:pt>
                <c:pt idx="31">
                  <c:v>15.7309</c:v>
                </c:pt>
                <c:pt idx="32">
                  <c:v>15.296200000000001</c:v>
                </c:pt>
                <c:pt idx="33">
                  <c:v>15.079800000000001</c:v>
                </c:pt>
                <c:pt idx="34">
                  <c:v>15.0822</c:v>
                </c:pt>
                <c:pt idx="35">
                  <c:v>14.866</c:v>
                </c:pt>
                <c:pt idx="36">
                  <c:v>14.2142</c:v>
                </c:pt>
                <c:pt idx="37">
                  <c:v>13.9998</c:v>
                </c:pt>
                <c:pt idx="38">
                  <c:v>13.784700000000001</c:v>
                </c:pt>
                <c:pt idx="39">
                  <c:v>14.2218</c:v>
                </c:pt>
                <c:pt idx="40">
                  <c:v>14.4414</c:v>
                </c:pt>
                <c:pt idx="41">
                  <c:v>13.789899999999999</c:v>
                </c:pt>
                <c:pt idx="42">
                  <c:v>13.1387</c:v>
                </c:pt>
                <c:pt idx="43">
                  <c:v>13.145899999999999</c:v>
                </c:pt>
                <c:pt idx="44">
                  <c:v>13.149699999999999</c:v>
                </c:pt>
                <c:pt idx="45">
                  <c:v>13.587899999999999</c:v>
                </c:pt>
                <c:pt idx="46">
                  <c:v>14.025700000000001</c:v>
                </c:pt>
                <c:pt idx="47">
                  <c:v>13.8096</c:v>
                </c:pt>
                <c:pt idx="48">
                  <c:v>13.1577</c:v>
                </c:pt>
                <c:pt idx="49">
                  <c:v>12.7272</c:v>
                </c:pt>
                <c:pt idx="50">
                  <c:v>12.732699999999999</c:v>
                </c:pt>
                <c:pt idx="51">
                  <c:v>12.7393</c:v>
                </c:pt>
                <c:pt idx="52">
                  <c:v>12.745799999999999</c:v>
                </c:pt>
                <c:pt idx="53">
                  <c:v>12.7521</c:v>
                </c:pt>
                <c:pt idx="54">
                  <c:v>12.7559</c:v>
                </c:pt>
                <c:pt idx="55">
                  <c:v>12.76</c:v>
                </c:pt>
                <c:pt idx="56">
                  <c:v>12.543900000000001</c:v>
                </c:pt>
                <c:pt idx="57">
                  <c:v>12.763500000000001</c:v>
                </c:pt>
                <c:pt idx="58">
                  <c:v>13.6356</c:v>
                </c:pt>
                <c:pt idx="59">
                  <c:v>15.5968</c:v>
                </c:pt>
                <c:pt idx="60">
                  <c:v>18.2118</c:v>
                </c:pt>
                <c:pt idx="61">
                  <c:v>22.133400000000002</c:v>
                </c:pt>
                <c:pt idx="62">
                  <c:v>26.9268</c:v>
                </c:pt>
                <c:pt idx="63">
                  <c:v>31.720199999999998</c:v>
                </c:pt>
                <c:pt idx="64">
                  <c:v>33.898899999999998</c:v>
                </c:pt>
                <c:pt idx="65">
                  <c:v>37.385800000000003</c:v>
                </c:pt>
                <c:pt idx="66">
                  <c:v>32.811599999999999</c:v>
                </c:pt>
                <c:pt idx="67">
                  <c:v>28.236799999999999</c:v>
                </c:pt>
                <c:pt idx="68">
                  <c:v>23.444099999999999</c:v>
                </c:pt>
                <c:pt idx="69">
                  <c:v>19.087499999999999</c:v>
                </c:pt>
                <c:pt idx="70">
                  <c:v>16.255500000000001</c:v>
                </c:pt>
                <c:pt idx="71">
                  <c:v>14.731199999999999</c:v>
                </c:pt>
                <c:pt idx="72">
                  <c:v>13.6432</c:v>
                </c:pt>
                <c:pt idx="73">
                  <c:v>13.211</c:v>
                </c:pt>
                <c:pt idx="74">
                  <c:v>12.9969</c:v>
                </c:pt>
                <c:pt idx="75">
                  <c:v>12.7828</c:v>
                </c:pt>
                <c:pt idx="76">
                  <c:v>13.221299999999999</c:v>
                </c:pt>
                <c:pt idx="77">
                  <c:v>14.3124</c:v>
                </c:pt>
                <c:pt idx="78">
                  <c:v>15.838100000000001</c:v>
                </c:pt>
                <c:pt idx="79">
                  <c:v>18.234999999999999</c:v>
                </c:pt>
                <c:pt idx="80">
                  <c:v>20.414400000000001</c:v>
                </c:pt>
                <c:pt idx="81">
                  <c:v>22.811199999999999</c:v>
                </c:pt>
                <c:pt idx="82">
                  <c:v>24.554500000000001</c:v>
                </c:pt>
                <c:pt idx="83">
                  <c:v>25.2088</c:v>
                </c:pt>
                <c:pt idx="84">
                  <c:v>24.338000000000001</c:v>
                </c:pt>
                <c:pt idx="85">
                  <c:v>22.595800000000001</c:v>
                </c:pt>
                <c:pt idx="86">
                  <c:v>21.071400000000001</c:v>
                </c:pt>
                <c:pt idx="87">
                  <c:v>19.328800000000001</c:v>
                </c:pt>
                <c:pt idx="88">
                  <c:v>17.804099999999998</c:v>
                </c:pt>
                <c:pt idx="89">
                  <c:v>16.497599999999998</c:v>
                </c:pt>
                <c:pt idx="90">
                  <c:v>15.190799999999999</c:v>
                </c:pt>
                <c:pt idx="91">
                  <c:v>14.32</c:v>
                </c:pt>
                <c:pt idx="92">
                  <c:v>13.4503</c:v>
                </c:pt>
                <c:pt idx="93">
                  <c:v>13.016299999999999</c:v>
                </c:pt>
                <c:pt idx="94">
                  <c:v>12.582599999999999</c:v>
                </c:pt>
                <c:pt idx="95">
                  <c:v>12.8043</c:v>
                </c:pt>
                <c:pt idx="96">
                  <c:v>12.5923</c:v>
                </c:pt>
                <c:pt idx="97">
                  <c:v>12.3803</c:v>
                </c:pt>
                <c:pt idx="98">
                  <c:v>12.6058</c:v>
                </c:pt>
                <c:pt idx="99">
                  <c:v>12.613</c:v>
                </c:pt>
                <c:pt idx="100">
                  <c:v>12.401400000000001</c:v>
                </c:pt>
                <c:pt idx="101">
                  <c:v>12.843999999999999</c:v>
                </c:pt>
                <c:pt idx="102">
                  <c:v>12.8499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2154-4B19-BAD5-6C1A6BAA0286}"/>
            </c:ext>
          </c:extLst>
        </c:ser>
        <c:ser>
          <c:idx val="2"/>
          <c:order val="2"/>
          <c:tx>
            <c:v>Standard aniline</c:v>
          </c:tx>
          <c:spPr>
            <a:ln w="12700" cap="rnd">
              <a:solidFill>
                <a:srgbClr val="FF0066"/>
              </a:solidFill>
              <a:round/>
            </a:ln>
            <a:effectLst/>
          </c:spPr>
          <c:marker>
            <c:symbol val="none"/>
          </c:marker>
          <c:xVal>
            <c:numRef>
              <c:f>Sheet1!$F$5:$F$63</c:f>
              <c:numCache>
                <c:formatCode>General</c:formatCode>
                <c:ptCount val="59"/>
                <c:pt idx="0">
                  <c:v>3.8040000000000001E-3</c:v>
                </c:pt>
                <c:pt idx="1">
                  <c:v>0.70228800000000002</c:v>
                </c:pt>
                <c:pt idx="2">
                  <c:v>1.27372</c:v>
                </c:pt>
                <c:pt idx="3">
                  <c:v>1.8135399999999999</c:v>
                </c:pt>
                <c:pt idx="4">
                  <c:v>2.16275</c:v>
                </c:pt>
                <c:pt idx="5">
                  <c:v>2.3530199999999999</c:v>
                </c:pt>
                <c:pt idx="6">
                  <c:v>2.6073300000000001</c:v>
                </c:pt>
                <c:pt idx="7">
                  <c:v>2.67062</c:v>
                </c:pt>
                <c:pt idx="8">
                  <c:v>2.8928400000000001</c:v>
                </c:pt>
                <c:pt idx="9">
                  <c:v>2.9880800000000001</c:v>
                </c:pt>
                <c:pt idx="10">
                  <c:v>3.1785600000000001</c:v>
                </c:pt>
                <c:pt idx="11">
                  <c:v>3.36917</c:v>
                </c:pt>
                <c:pt idx="12">
                  <c:v>3.36972</c:v>
                </c:pt>
                <c:pt idx="13">
                  <c:v>3.4954000000000001</c:v>
                </c:pt>
                <c:pt idx="14">
                  <c:v>3.4958100000000001</c:v>
                </c:pt>
                <c:pt idx="15">
                  <c:v>3.6546099999999999</c:v>
                </c:pt>
                <c:pt idx="16">
                  <c:v>3.9404599999999999</c:v>
                </c:pt>
                <c:pt idx="17">
                  <c:v>4.4801500000000001</c:v>
                </c:pt>
                <c:pt idx="18">
                  <c:v>4.95641</c:v>
                </c:pt>
                <c:pt idx="19">
                  <c:v>5.7182500000000003</c:v>
                </c:pt>
                <c:pt idx="20">
                  <c:v>6.86111</c:v>
                </c:pt>
                <c:pt idx="21">
                  <c:v>7.94055</c:v>
                </c:pt>
                <c:pt idx="22">
                  <c:v>8.8611199999999997</c:v>
                </c:pt>
                <c:pt idx="23">
                  <c:v>9.3691200000000006</c:v>
                </c:pt>
                <c:pt idx="24">
                  <c:v>9.8770600000000002</c:v>
                </c:pt>
                <c:pt idx="25">
                  <c:v>10.2897</c:v>
                </c:pt>
                <c:pt idx="26">
                  <c:v>11.1152</c:v>
                </c:pt>
                <c:pt idx="27">
                  <c:v>11.4008</c:v>
                </c:pt>
                <c:pt idx="28">
                  <c:v>11.655099999999999</c:v>
                </c:pt>
                <c:pt idx="29">
                  <c:v>11.7508</c:v>
                </c:pt>
                <c:pt idx="30">
                  <c:v>11.8786</c:v>
                </c:pt>
                <c:pt idx="31">
                  <c:v>11.8813</c:v>
                </c:pt>
                <c:pt idx="32">
                  <c:v>11.9495</c:v>
                </c:pt>
                <c:pt idx="33">
                  <c:v>11.986499999999999</c:v>
                </c:pt>
                <c:pt idx="34">
                  <c:v>12.021599999999999</c:v>
                </c:pt>
                <c:pt idx="35">
                  <c:v>12.0875</c:v>
                </c:pt>
                <c:pt idx="36">
                  <c:v>12.207100000000001</c:v>
                </c:pt>
                <c:pt idx="37">
                  <c:v>12.209099999999999</c:v>
                </c:pt>
                <c:pt idx="38">
                  <c:v>12.2111</c:v>
                </c:pt>
                <c:pt idx="39">
                  <c:v>12.2662</c:v>
                </c:pt>
                <c:pt idx="40">
                  <c:v>12.3264</c:v>
                </c:pt>
                <c:pt idx="41">
                  <c:v>12.3565</c:v>
                </c:pt>
                <c:pt idx="42">
                  <c:v>12.386900000000001</c:v>
                </c:pt>
                <c:pt idx="43">
                  <c:v>12.4495</c:v>
                </c:pt>
                <c:pt idx="44">
                  <c:v>12.512600000000001</c:v>
                </c:pt>
                <c:pt idx="45">
                  <c:v>12.6393</c:v>
                </c:pt>
                <c:pt idx="46">
                  <c:v>12.8613</c:v>
                </c:pt>
                <c:pt idx="47">
                  <c:v>13.1785</c:v>
                </c:pt>
                <c:pt idx="48">
                  <c:v>13.781599999999999</c:v>
                </c:pt>
                <c:pt idx="49">
                  <c:v>14.2578</c:v>
                </c:pt>
                <c:pt idx="50">
                  <c:v>14.7658</c:v>
                </c:pt>
                <c:pt idx="51">
                  <c:v>15.400600000000001</c:v>
                </c:pt>
                <c:pt idx="52">
                  <c:v>15.8451</c:v>
                </c:pt>
                <c:pt idx="53">
                  <c:v>16.511800000000001</c:v>
                </c:pt>
                <c:pt idx="54">
                  <c:v>17.146699999999999</c:v>
                </c:pt>
                <c:pt idx="55">
                  <c:v>17.686399999999999</c:v>
                </c:pt>
                <c:pt idx="56">
                  <c:v>18.416599999999999</c:v>
                </c:pt>
                <c:pt idx="57">
                  <c:v>19.1785</c:v>
                </c:pt>
                <c:pt idx="58">
                  <c:v>19.75</c:v>
                </c:pt>
              </c:numCache>
            </c:numRef>
          </c:xVal>
          <c:yVal>
            <c:numRef>
              <c:f>Sheet1!$G$5:$G$63</c:f>
              <c:numCache>
                <c:formatCode>General</c:formatCode>
                <c:ptCount val="59"/>
                <c:pt idx="0">
                  <c:v>11.9823</c:v>
                </c:pt>
                <c:pt idx="1">
                  <c:v>12.207700000000001</c:v>
                </c:pt>
                <c:pt idx="2">
                  <c:v>12.214</c:v>
                </c:pt>
                <c:pt idx="3">
                  <c:v>12.6556</c:v>
                </c:pt>
                <c:pt idx="4">
                  <c:v>12.6594</c:v>
                </c:pt>
                <c:pt idx="5">
                  <c:v>12.007899999999999</c:v>
                </c:pt>
                <c:pt idx="6">
                  <c:v>13.1</c:v>
                </c:pt>
                <c:pt idx="7">
                  <c:v>12.446999999999999</c:v>
                </c:pt>
                <c:pt idx="8">
                  <c:v>12.4495</c:v>
                </c:pt>
                <c:pt idx="9">
                  <c:v>12.4505</c:v>
                </c:pt>
                <c:pt idx="10">
                  <c:v>12.4526</c:v>
                </c:pt>
                <c:pt idx="11">
                  <c:v>12.8904</c:v>
                </c:pt>
                <c:pt idx="12">
                  <c:v>14.6333</c:v>
                </c:pt>
                <c:pt idx="13">
                  <c:v>10.495200000000001</c:v>
                </c:pt>
                <c:pt idx="14">
                  <c:v>11.8024</c:v>
                </c:pt>
                <c:pt idx="15">
                  <c:v>12.022</c:v>
                </c:pt>
                <c:pt idx="16">
                  <c:v>12.460900000000001</c:v>
                </c:pt>
                <c:pt idx="17">
                  <c:v>12.466799999999999</c:v>
                </c:pt>
                <c:pt idx="18">
                  <c:v>12.6898</c:v>
                </c:pt>
                <c:pt idx="19">
                  <c:v>12.4802</c:v>
                </c:pt>
                <c:pt idx="20">
                  <c:v>12.492699999999999</c:v>
                </c:pt>
                <c:pt idx="21">
                  <c:v>12.722300000000001</c:v>
                </c:pt>
                <c:pt idx="22">
                  <c:v>12.5145</c:v>
                </c:pt>
                <c:pt idx="23">
                  <c:v>12.7379</c:v>
                </c:pt>
                <c:pt idx="24">
                  <c:v>12.743399999999999</c:v>
                </c:pt>
                <c:pt idx="25">
                  <c:v>12.53</c:v>
                </c:pt>
                <c:pt idx="26">
                  <c:v>12.7569</c:v>
                </c:pt>
                <c:pt idx="27">
                  <c:v>12.5421</c:v>
                </c:pt>
                <c:pt idx="28">
                  <c:v>13.6342</c:v>
                </c:pt>
                <c:pt idx="29">
                  <c:v>15.160299999999999</c:v>
                </c:pt>
                <c:pt idx="30">
                  <c:v>17.558199999999999</c:v>
                </c:pt>
                <c:pt idx="31">
                  <c:v>26.055</c:v>
                </c:pt>
                <c:pt idx="32">
                  <c:v>40.870600000000003</c:v>
                </c:pt>
                <c:pt idx="33">
                  <c:v>57.428699999999999</c:v>
                </c:pt>
                <c:pt idx="34">
                  <c:v>67.886600000000001</c:v>
                </c:pt>
                <c:pt idx="35">
                  <c:v>76.512600000000006</c:v>
                </c:pt>
                <c:pt idx="36">
                  <c:v>67.420199999999994</c:v>
                </c:pt>
                <c:pt idx="37">
                  <c:v>62.738300000000002</c:v>
                </c:pt>
                <c:pt idx="38">
                  <c:v>59.056399999999996</c:v>
                </c:pt>
                <c:pt idx="39">
                  <c:v>38.477499999999999</c:v>
                </c:pt>
                <c:pt idx="40">
                  <c:v>28.238499999999998</c:v>
                </c:pt>
                <c:pt idx="41">
                  <c:v>23.010100000000001</c:v>
                </c:pt>
                <c:pt idx="42">
                  <c:v>18.653099999999998</c:v>
                </c:pt>
                <c:pt idx="43">
                  <c:v>16.039400000000001</c:v>
                </c:pt>
                <c:pt idx="44">
                  <c:v>14.732900000000001</c:v>
                </c:pt>
                <c:pt idx="45">
                  <c:v>13.8628</c:v>
                </c:pt>
                <c:pt idx="46">
                  <c:v>12.9938</c:v>
                </c:pt>
                <c:pt idx="47">
                  <c:v>12.3436</c:v>
                </c:pt>
                <c:pt idx="48">
                  <c:v>12.132400000000001</c:v>
                </c:pt>
                <c:pt idx="49">
                  <c:v>11.919700000000001</c:v>
                </c:pt>
                <c:pt idx="50">
                  <c:v>12.1431</c:v>
                </c:pt>
                <c:pt idx="51">
                  <c:v>11.9321</c:v>
                </c:pt>
                <c:pt idx="52">
                  <c:v>12.1548</c:v>
                </c:pt>
                <c:pt idx="53">
                  <c:v>12.162100000000001</c:v>
                </c:pt>
                <c:pt idx="54">
                  <c:v>12.169</c:v>
                </c:pt>
                <c:pt idx="55">
                  <c:v>12.174899999999999</c:v>
                </c:pt>
                <c:pt idx="56">
                  <c:v>12.1828</c:v>
                </c:pt>
                <c:pt idx="57">
                  <c:v>12.1911</c:v>
                </c:pt>
                <c:pt idx="58">
                  <c:v>12.4152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2154-4B19-BAD5-6C1A6BAA02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665082352"/>
        <c:axId val="-665087792"/>
      </c:scatterChart>
      <c:valAx>
        <c:axId val="-665082352"/>
        <c:scaling>
          <c:orientation val="minMax"/>
          <c:max val="21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/>
                  <a:t>Retention time (min)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665087792"/>
        <c:crosses val="autoZero"/>
        <c:crossBetween val="midCat"/>
        <c:majorUnit val="2"/>
      </c:valAx>
      <c:valAx>
        <c:axId val="-66508779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/>
                  <a:t>mAU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665082352"/>
        <c:crosses val="autoZero"/>
        <c:crossBetween val="midCat"/>
      </c:valAx>
      <c:spPr>
        <a:noFill/>
        <a:ln w="15875"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13663608616527553"/>
          <c:y val="0.12099372995042286"/>
          <c:w val="0.39974583488289694"/>
          <c:h val="0.189191455234762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02C18-9B76-45FE-A8E3-AD3F29D5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2023-03-29T10:39:00Z</dcterms:created>
  <dcterms:modified xsi:type="dcterms:W3CDTF">2023-03-29T11:26:00Z</dcterms:modified>
</cp:coreProperties>
</file>