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CF0C" w14:textId="77777777" w:rsidR="001A2F27" w:rsidRPr="006F01F9" w:rsidRDefault="001A2F27" w:rsidP="001A2F27">
      <w:pPr>
        <w:pStyle w:val="MDPI12title"/>
        <w:jc w:val="both"/>
        <w:rPr>
          <w:szCs w:val="36"/>
          <w:lang w:val="en-GB"/>
        </w:rPr>
      </w:pPr>
      <w:bookmarkStart w:id="0" w:name="_GoBack"/>
      <w:bookmarkEnd w:id="0"/>
      <w:r w:rsidRPr="006F01F9">
        <w:rPr>
          <w:szCs w:val="36"/>
          <w:lang w:val="en-GB"/>
        </w:rPr>
        <w:t>A polymorph of dipeptide halide Glycyl-L-Alanine Iodide Hydrate: crystal structure, optical second harmonic generation and pyroelectricity</w:t>
      </w:r>
    </w:p>
    <w:p w14:paraId="2F8DCCC3" w14:textId="77777777" w:rsidR="001A2F27" w:rsidRPr="006F4B80" w:rsidRDefault="001A2F27" w:rsidP="001A2F27">
      <w:pPr>
        <w:pStyle w:val="MDPI13authornames"/>
        <w:rPr>
          <w:lang w:val="pt-PT"/>
        </w:rPr>
      </w:pPr>
      <w:r w:rsidRPr="006F4B80">
        <w:rPr>
          <w:lang w:val="pt-PT"/>
        </w:rPr>
        <w:t xml:space="preserve">Rosa M. F. Baptista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, Clara </w:t>
      </w:r>
      <w:r>
        <w:rPr>
          <w:lang w:val="pt-PT"/>
        </w:rPr>
        <w:t xml:space="preserve">S. </w:t>
      </w:r>
      <w:r w:rsidRPr="006F4B80">
        <w:rPr>
          <w:lang w:val="pt-PT"/>
        </w:rPr>
        <w:t xml:space="preserve">B. Gomes </w:t>
      </w:r>
      <w:r w:rsidRPr="006F4B80">
        <w:rPr>
          <w:vertAlign w:val="superscript"/>
          <w:lang w:val="pt-PT"/>
        </w:rPr>
        <w:t>2,3,4</w:t>
      </w:r>
      <w:r w:rsidRPr="006F4B80">
        <w:rPr>
          <w:lang w:val="pt-PT"/>
        </w:rPr>
        <w:t xml:space="preserve">, Bruna Silva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, João Oliveira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, Bernardo Almeida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, Cidália Castro </w:t>
      </w:r>
      <w:r w:rsidRPr="006F4B80">
        <w:rPr>
          <w:vertAlign w:val="superscript"/>
          <w:lang w:val="pt-PT"/>
        </w:rPr>
        <w:t>5</w:t>
      </w:r>
      <w:r w:rsidRPr="006F4B80">
        <w:rPr>
          <w:lang w:val="pt-PT"/>
        </w:rPr>
        <w:t xml:space="preserve">, Pedro V. Rodrigues </w:t>
      </w:r>
      <w:r w:rsidRPr="006F4B80">
        <w:rPr>
          <w:vertAlign w:val="superscript"/>
          <w:lang w:val="pt-PT"/>
        </w:rPr>
        <w:t>5</w:t>
      </w:r>
      <w:r w:rsidRPr="006F4B80">
        <w:rPr>
          <w:lang w:val="pt-PT"/>
        </w:rPr>
        <w:t xml:space="preserve">, Ana Machado </w:t>
      </w:r>
      <w:r w:rsidRPr="006F4B80">
        <w:rPr>
          <w:vertAlign w:val="superscript"/>
          <w:lang w:val="pt-PT"/>
        </w:rPr>
        <w:t>5</w:t>
      </w:r>
      <w:r w:rsidRPr="006F4B80">
        <w:rPr>
          <w:lang w:val="pt-PT"/>
        </w:rPr>
        <w:t xml:space="preserve">, </w:t>
      </w:r>
      <w:r w:rsidRPr="006F4B80">
        <w:rPr>
          <w:color w:val="212121"/>
          <w:shd w:val="clear" w:color="auto" w:fill="FFFFFF"/>
          <w:lang w:val="pt-PT"/>
        </w:rPr>
        <w:t xml:space="preserve">Ruben B. Freitas </w:t>
      </w:r>
      <w:r w:rsidRPr="006F4B80">
        <w:rPr>
          <w:color w:val="212121"/>
          <w:shd w:val="clear" w:color="auto" w:fill="FFFFFF"/>
          <w:vertAlign w:val="superscript"/>
          <w:lang w:val="pt-PT"/>
        </w:rPr>
        <w:t xml:space="preserve">6 </w:t>
      </w:r>
      <w:r w:rsidRPr="006F4B80">
        <w:rPr>
          <w:color w:val="212121"/>
          <w:shd w:val="clear" w:color="auto" w:fill="FFFFFF"/>
          <w:lang w:val="pt-PT"/>
        </w:rPr>
        <w:t xml:space="preserve">, </w:t>
      </w:r>
      <w:r w:rsidRPr="006F4B80">
        <w:rPr>
          <w:lang w:val="pt-PT"/>
        </w:rPr>
        <w:t xml:space="preserve">Manuel R. L. F. Rodrigues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, Etelvina de Matos Gomes </w:t>
      </w:r>
      <w:r w:rsidRPr="006F4B80">
        <w:rPr>
          <w:vertAlign w:val="superscript"/>
          <w:lang w:val="pt-PT"/>
        </w:rPr>
        <w:t>1</w:t>
      </w:r>
      <w:r w:rsidRPr="006F4B80">
        <w:rPr>
          <w:lang w:val="pt-PT"/>
        </w:rPr>
        <w:t xml:space="preserve"> and Michael Belsley </w:t>
      </w:r>
      <w:r w:rsidRPr="006F4B80">
        <w:rPr>
          <w:vertAlign w:val="superscript"/>
          <w:lang w:val="pt-PT"/>
        </w:rPr>
        <w:t>1,*</w:t>
      </w:r>
    </w:p>
    <w:p w14:paraId="6DF520AA" w14:textId="77777777" w:rsidR="001A2F27" w:rsidRPr="006F4B80" w:rsidRDefault="001A2F27" w:rsidP="001A2F27">
      <w:pPr>
        <w:pStyle w:val="BCAuthorAddress"/>
        <w:spacing w:after="0" w:line="240" w:lineRule="auto"/>
        <w:jc w:val="left"/>
        <w:rPr>
          <w:rFonts w:ascii="Palatino Linotype" w:hAnsi="Palatino Linotype"/>
          <w:sz w:val="16"/>
          <w:szCs w:val="16"/>
          <w:lang w:val="en-GB"/>
        </w:rPr>
      </w:pPr>
      <w:r w:rsidRPr="006F4B80">
        <w:rPr>
          <w:rFonts w:ascii="Palatino Linotype" w:hAnsi="Palatino Linotype"/>
          <w:sz w:val="16"/>
          <w:szCs w:val="16"/>
          <w:vertAlign w:val="superscript"/>
          <w:lang w:val="en-GB"/>
        </w:rPr>
        <w:t>1</w:t>
      </w:r>
      <w:r w:rsidRPr="006F4B80">
        <w:rPr>
          <w:rFonts w:ascii="Palatino Linotype" w:hAnsi="Palatino Linotype"/>
          <w:sz w:val="16"/>
          <w:szCs w:val="16"/>
          <w:lang w:val="en-GB"/>
        </w:rPr>
        <w:t xml:space="preserve"> Centre of Physics of Minho and Porto Universities (CF-UM-UP), Laboratory for materials and Emergent Technologies (LAPMET), University of Minho, Campus de </w:t>
      </w:r>
      <w:proofErr w:type="spellStart"/>
      <w:r w:rsidRPr="006F4B80">
        <w:rPr>
          <w:rFonts w:ascii="Palatino Linotype" w:hAnsi="Palatino Linotype"/>
          <w:sz w:val="16"/>
          <w:szCs w:val="16"/>
          <w:lang w:val="en-GB"/>
        </w:rPr>
        <w:t>Gualtar</w:t>
      </w:r>
      <w:proofErr w:type="spellEnd"/>
      <w:r w:rsidRPr="006F4B80">
        <w:rPr>
          <w:rFonts w:ascii="Palatino Linotype" w:hAnsi="Palatino Linotype"/>
          <w:sz w:val="16"/>
          <w:szCs w:val="16"/>
          <w:lang w:val="en-GB"/>
        </w:rPr>
        <w:t>, 4710-057 Braga, Portugal</w:t>
      </w:r>
    </w:p>
    <w:p w14:paraId="6FF31310" w14:textId="77777777" w:rsidR="001A2F27" w:rsidRPr="006F4B80" w:rsidRDefault="001A2F27" w:rsidP="001A2F27">
      <w:pPr>
        <w:pStyle w:val="BCAuthorAddress"/>
        <w:spacing w:after="0" w:line="240" w:lineRule="auto"/>
        <w:jc w:val="left"/>
        <w:rPr>
          <w:rFonts w:ascii="Palatino Linotype" w:hAnsi="Palatino Linotype"/>
          <w:sz w:val="16"/>
          <w:szCs w:val="16"/>
          <w:lang w:val="en-GB"/>
        </w:rPr>
      </w:pPr>
      <w:r w:rsidRPr="006F4B80">
        <w:rPr>
          <w:rFonts w:ascii="Palatino Linotype" w:hAnsi="Palatino Linotype"/>
          <w:sz w:val="16"/>
          <w:szCs w:val="16"/>
          <w:vertAlign w:val="superscript"/>
          <w:lang w:val="en-GB"/>
        </w:rPr>
        <w:t>2</w:t>
      </w:r>
      <w:r w:rsidRPr="006F4B80">
        <w:rPr>
          <w:rFonts w:ascii="Palatino Linotype" w:hAnsi="Palatino Linotype"/>
          <w:sz w:val="16"/>
          <w:szCs w:val="16"/>
          <w:lang w:val="en-GB"/>
        </w:rPr>
        <w:t xml:space="preserve"> LAQV-REQUIMTE, Department of Chemistry, NOVA School of Science and Technology, NOVA University Lisbon, 2829-516 </w:t>
      </w:r>
      <w:proofErr w:type="spellStart"/>
      <w:r w:rsidRPr="006F4B80">
        <w:rPr>
          <w:rFonts w:ascii="Palatino Linotype" w:hAnsi="Palatino Linotype"/>
          <w:sz w:val="16"/>
          <w:szCs w:val="16"/>
          <w:lang w:val="en-GB"/>
        </w:rPr>
        <w:t>Caparica</w:t>
      </w:r>
      <w:proofErr w:type="spellEnd"/>
      <w:r w:rsidRPr="006F4B80">
        <w:rPr>
          <w:rFonts w:ascii="Palatino Linotype" w:hAnsi="Palatino Linotype"/>
          <w:sz w:val="16"/>
          <w:szCs w:val="16"/>
          <w:lang w:val="en-GB"/>
        </w:rPr>
        <w:t>, Portugal</w:t>
      </w:r>
    </w:p>
    <w:p w14:paraId="5B2F5003" w14:textId="77777777" w:rsidR="001A2F27" w:rsidRPr="006F4B80" w:rsidRDefault="001A2F27" w:rsidP="001A2F27">
      <w:pPr>
        <w:pStyle w:val="BCAuthorAddress"/>
        <w:spacing w:after="0" w:line="240" w:lineRule="auto"/>
        <w:jc w:val="left"/>
        <w:rPr>
          <w:rFonts w:ascii="Palatino Linotype" w:hAnsi="Palatino Linotype"/>
          <w:sz w:val="16"/>
          <w:szCs w:val="16"/>
          <w:lang w:val="en-GB"/>
        </w:rPr>
      </w:pPr>
      <w:r w:rsidRPr="006F4B80">
        <w:rPr>
          <w:rFonts w:ascii="Palatino Linotype" w:hAnsi="Palatino Linotype"/>
          <w:sz w:val="16"/>
          <w:szCs w:val="16"/>
          <w:vertAlign w:val="superscript"/>
          <w:lang w:val="en-GB"/>
        </w:rPr>
        <w:t>3</w:t>
      </w:r>
      <w:r w:rsidRPr="006F4B80">
        <w:rPr>
          <w:rFonts w:ascii="Palatino Linotype" w:hAnsi="Palatino Linotype"/>
          <w:sz w:val="16"/>
          <w:szCs w:val="16"/>
          <w:lang w:val="en-GB"/>
        </w:rPr>
        <w:t xml:space="preserve"> UCIBIO, Department of Chemistry, NOVA School of Science and Technology, NOVA University Lisbon, 2829-516 </w:t>
      </w:r>
      <w:proofErr w:type="spellStart"/>
      <w:r w:rsidRPr="006F4B80">
        <w:rPr>
          <w:rFonts w:ascii="Palatino Linotype" w:hAnsi="Palatino Linotype"/>
          <w:sz w:val="16"/>
          <w:szCs w:val="16"/>
          <w:lang w:val="en-GB"/>
        </w:rPr>
        <w:t>Caparica</w:t>
      </w:r>
      <w:proofErr w:type="spellEnd"/>
      <w:r w:rsidRPr="006F4B80">
        <w:rPr>
          <w:rFonts w:ascii="Palatino Linotype" w:hAnsi="Palatino Linotype"/>
          <w:sz w:val="16"/>
          <w:szCs w:val="16"/>
          <w:lang w:val="en-GB"/>
        </w:rPr>
        <w:t>, Portugal</w:t>
      </w:r>
    </w:p>
    <w:p w14:paraId="411D5F07" w14:textId="77777777" w:rsidR="001A2F27" w:rsidRPr="006F4B80" w:rsidRDefault="001A2F27" w:rsidP="001A2F27">
      <w:pPr>
        <w:pStyle w:val="BCAuthorAddress"/>
        <w:spacing w:after="0" w:line="240" w:lineRule="auto"/>
        <w:jc w:val="left"/>
        <w:rPr>
          <w:rFonts w:ascii="Palatino Linotype" w:hAnsi="Palatino Linotype"/>
          <w:sz w:val="16"/>
          <w:szCs w:val="16"/>
          <w:lang w:val="en-GB"/>
        </w:rPr>
      </w:pPr>
      <w:r w:rsidRPr="006F4B80">
        <w:rPr>
          <w:rFonts w:ascii="Palatino Linotype" w:hAnsi="Palatino Linotype"/>
          <w:sz w:val="16"/>
          <w:szCs w:val="16"/>
          <w:vertAlign w:val="superscript"/>
          <w:lang w:val="en-GB"/>
        </w:rPr>
        <w:t>4</w:t>
      </w:r>
      <w:r w:rsidRPr="006F4B80">
        <w:rPr>
          <w:rFonts w:ascii="Palatino Linotype" w:hAnsi="Palatino Linotype"/>
          <w:sz w:val="16"/>
          <w:szCs w:val="16"/>
          <w:lang w:val="en-GB"/>
        </w:rPr>
        <w:t xml:space="preserve"> i4HB, NOVA School of Science and Technology, NOVA University Lisbon, 2829-516 </w:t>
      </w:r>
      <w:proofErr w:type="spellStart"/>
      <w:r w:rsidRPr="006F4B80">
        <w:rPr>
          <w:rFonts w:ascii="Palatino Linotype" w:hAnsi="Palatino Linotype"/>
          <w:sz w:val="16"/>
          <w:szCs w:val="16"/>
          <w:lang w:val="en-GB"/>
        </w:rPr>
        <w:t>Caparica</w:t>
      </w:r>
      <w:proofErr w:type="spellEnd"/>
      <w:r w:rsidRPr="006F4B80">
        <w:rPr>
          <w:rFonts w:ascii="Palatino Linotype" w:hAnsi="Palatino Linotype"/>
          <w:sz w:val="16"/>
          <w:szCs w:val="16"/>
          <w:lang w:val="en-GB"/>
        </w:rPr>
        <w:t>, Portugal</w:t>
      </w:r>
    </w:p>
    <w:p w14:paraId="1ED36484" w14:textId="77777777" w:rsidR="001A2F27" w:rsidRPr="006F4B80" w:rsidRDefault="001A2F27" w:rsidP="001A2F27">
      <w:pPr>
        <w:pStyle w:val="BCAuthorAddress"/>
        <w:spacing w:after="0" w:line="240" w:lineRule="auto"/>
        <w:jc w:val="left"/>
        <w:rPr>
          <w:rFonts w:ascii="Palatino Linotype" w:hAnsi="Palatino Linotype"/>
          <w:sz w:val="16"/>
          <w:szCs w:val="16"/>
          <w:lang w:val="pt-PT"/>
        </w:rPr>
      </w:pPr>
      <w:r w:rsidRPr="006F4B80">
        <w:rPr>
          <w:rFonts w:ascii="Palatino Linotype" w:hAnsi="Palatino Linotype"/>
          <w:sz w:val="16"/>
          <w:szCs w:val="16"/>
          <w:vertAlign w:val="superscript"/>
          <w:lang w:val="pt-PT"/>
        </w:rPr>
        <w:t>5</w:t>
      </w:r>
      <w:r w:rsidRPr="006F4B80">
        <w:rPr>
          <w:rFonts w:ascii="Palatino Linotype" w:hAnsi="Palatino Linotype"/>
          <w:sz w:val="16"/>
          <w:szCs w:val="16"/>
          <w:lang w:val="pt-PT"/>
        </w:rPr>
        <w:t xml:space="preserve"> Institute for Polymers and Composites, University of Minho, Campus de Azurém, 4800-058 Guimarães, Portugal</w:t>
      </w:r>
    </w:p>
    <w:p w14:paraId="2EC3CEAE" w14:textId="77777777" w:rsidR="001A2F27" w:rsidRPr="006F4B80" w:rsidRDefault="001A2F27" w:rsidP="001A2F27">
      <w:pPr>
        <w:pStyle w:val="MDPI16affiliation"/>
        <w:ind w:left="142" w:hanging="142"/>
        <w:rPr>
          <w:lang w:val="pt-PT"/>
        </w:rPr>
      </w:pPr>
      <w:r w:rsidRPr="006F4B80">
        <w:rPr>
          <w:color w:val="212121"/>
          <w:shd w:val="clear" w:color="auto" w:fill="FFFFFF"/>
          <w:vertAlign w:val="superscript"/>
          <w:lang w:val="pt-PT"/>
        </w:rPr>
        <w:t xml:space="preserve">6 </w:t>
      </w:r>
      <w:r w:rsidRPr="006F4B80">
        <w:rPr>
          <w:color w:val="212121"/>
          <w:shd w:val="clear" w:color="auto" w:fill="FFFFFF"/>
          <w:lang w:val="pt-PT"/>
        </w:rPr>
        <w:t>Departament</w:t>
      </w:r>
      <w:r w:rsidRPr="006F4B80">
        <w:rPr>
          <w:color w:val="212121"/>
          <w:shd w:val="clear" w:color="auto" w:fill="FFFFFF"/>
          <w:vertAlign w:val="superscript"/>
          <w:lang w:val="pt-PT"/>
        </w:rPr>
        <w:t xml:space="preserve"> </w:t>
      </w:r>
      <w:r w:rsidRPr="006F4B80">
        <w:rPr>
          <w:lang w:val="pt-PT"/>
        </w:rPr>
        <w:t>of Electronic Engineering, Universidade do Minho, Campus de Gualtar, 4710-057 Braga, Portugal</w:t>
      </w:r>
    </w:p>
    <w:p w14:paraId="28DCC1EE" w14:textId="77777777" w:rsidR="001A2F27" w:rsidRPr="006F4B80" w:rsidRDefault="001A2F27" w:rsidP="001A2F27">
      <w:pPr>
        <w:pStyle w:val="BCAuthorAddress"/>
        <w:spacing w:after="0" w:line="228" w:lineRule="auto"/>
        <w:jc w:val="left"/>
        <w:rPr>
          <w:rFonts w:ascii="Palatino Linotype" w:hAnsi="Palatino Linotype"/>
          <w:sz w:val="16"/>
          <w:szCs w:val="16"/>
          <w:lang w:val="en-GB"/>
        </w:rPr>
      </w:pPr>
      <w:r w:rsidRPr="006F4B80">
        <w:rPr>
          <w:rFonts w:ascii="Palatino Linotype" w:hAnsi="Palatino Linotype"/>
          <w:sz w:val="16"/>
          <w:szCs w:val="16"/>
          <w:lang w:val="en-GB"/>
        </w:rPr>
        <w:t xml:space="preserve">* Correspondence: </w:t>
      </w:r>
      <w:r w:rsidRPr="002570EE">
        <w:rPr>
          <w:rFonts w:ascii="Palatino Linotype" w:hAnsi="Palatino Linotype"/>
          <w:sz w:val="16"/>
          <w:szCs w:val="16"/>
          <w:lang w:val="en-GB"/>
        </w:rPr>
        <w:t>belsley@fisica.uminho.pt</w:t>
      </w:r>
    </w:p>
    <w:p w14:paraId="38087D56" w14:textId="77777777" w:rsidR="001A2F27" w:rsidRPr="006F4B80" w:rsidRDefault="001A2F27" w:rsidP="001A2F27">
      <w:pPr>
        <w:spacing w:line="360" w:lineRule="auto"/>
        <w:rPr>
          <w:rFonts w:cs="Times"/>
          <w:b/>
          <w:sz w:val="18"/>
          <w:szCs w:val="18"/>
          <w:lang w:val="en-GB"/>
        </w:rPr>
      </w:pPr>
    </w:p>
    <w:p w14:paraId="38BD16B9" w14:textId="77777777" w:rsidR="001A2F27" w:rsidRPr="006F4B80" w:rsidRDefault="001A2F27" w:rsidP="001A2F27">
      <w:pPr>
        <w:spacing w:line="360" w:lineRule="auto"/>
        <w:rPr>
          <w:rFonts w:cs="Times"/>
          <w:b/>
          <w:sz w:val="28"/>
          <w:szCs w:val="28"/>
        </w:rPr>
      </w:pPr>
      <w:r w:rsidRPr="006F4B80">
        <w:rPr>
          <w:rFonts w:cs="Times"/>
          <w:b/>
          <w:sz w:val="28"/>
          <w:szCs w:val="28"/>
        </w:rPr>
        <w:t>Supplementary Information</w:t>
      </w:r>
    </w:p>
    <w:p w14:paraId="491D7FD0" w14:textId="77777777" w:rsidR="001A2F27" w:rsidRPr="00BB7FAA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sz w:val="20"/>
        </w:rPr>
      </w:pPr>
      <w:r w:rsidRPr="006F4B80">
        <w:rPr>
          <w:rFonts w:ascii="Palatino Linotype" w:hAnsi="Palatino Linotype" w:cs="Times"/>
          <w:b/>
          <w:sz w:val="20"/>
        </w:rPr>
        <w:t>SI1</w:t>
      </w:r>
      <w:r>
        <w:rPr>
          <w:rFonts w:ascii="Palatino Linotype" w:hAnsi="Palatino Linotype" w:cs="Times"/>
          <w:b/>
          <w:sz w:val="20"/>
        </w:rPr>
        <w:t xml:space="preserve">. </w:t>
      </w:r>
      <w:r w:rsidRPr="00BB7FAA">
        <w:rPr>
          <w:rFonts w:ascii="Palatino Linotype" w:hAnsi="Palatino Linotype"/>
          <w:b/>
          <w:sz w:val="20"/>
        </w:rPr>
        <w:t>Crystal Structure</w:t>
      </w:r>
    </w:p>
    <w:p w14:paraId="0BBD28C8" w14:textId="77777777" w:rsidR="001A2F27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</w:rPr>
      </w:pPr>
    </w:p>
    <w:p w14:paraId="72D22871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  <w:r w:rsidRPr="000E1E3A">
        <w:rPr>
          <w:rFonts w:ascii="Palatino Linotype" w:hAnsi="Palatino Linotype"/>
          <w:b/>
          <w:bCs/>
          <w:sz w:val="20"/>
        </w:rPr>
        <w:t>Table S</w:t>
      </w:r>
      <w:r>
        <w:rPr>
          <w:rFonts w:ascii="Palatino Linotype" w:hAnsi="Palatino Linotype"/>
          <w:b/>
          <w:bCs/>
          <w:sz w:val="20"/>
        </w:rPr>
        <w:t>I</w:t>
      </w:r>
      <w:r w:rsidRPr="000E1E3A">
        <w:rPr>
          <w:rFonts w:ascii="Palatino Linotype" w:hAnsi="Palatino Linotype"/>
          <w:b/>
          <w:bCs/>
          <w:sz w:val="20"/>
        </w:rPr>
        <w:t>1.</w:t>
      </w:r>
      <w:r>
        <w:rPr>
          <w:rFonts w:ascii="Palatino Linotype" w:hAnsi="Palatino Linotype"/>
          <w:sz w:val="20"/>
        </w:rPr>
        <w:t xml:space="preserve"> </w:t>
      </w:r>
      <w:r w:rsidRPr="008D6243">
        <w:rPr>
          <w:rFonts w:ascii="Palatino Linotype" w:hAnsi="Palatino Linotype"/>
          <w:sz w:val="20"/>
        </w:rPr>
        <w:t>Bond lengths [Å] and angles [°] for</w:t>
      </w:r>
      <w:r>
        <w:rPr>
          <w:rFonts w:ascii="Palatino Linotype" w:hAnsi="Palatino Linotype"/>
          <w:sz w:val="20"/>
        </w:rPr>
        <w:t xml:space="preserve"> </w:t>
      </w:r>
      <w:r w:rsidRPr="00B35B46">
        <w:rPr>
          <w:rFonts w:ascii="Palatino Linotype" w:hAnsi="Palatino Linotype"/>
          <w:sz w:val="20"/>
        </w:rPr>
        <w:t>Gly-L-Ala.HI.H</w:t>
      </w:r>
      <w:r w:rsidRPr="003E464A">
        <w:rPr>
          <w:rFonts w:ascii="Palatino Linotype" w:hAnsi="Palatino Linotype"/>
          <w:sz w:val="20"/>
          <w:vertAlign w:val="subscript"/>
        </w:rPr>
        <w:t>2</w:t>
      </w:r>
      <w:r w:rsidRPr="00B35B46">
        <w:rPr>
          <w:rFonts w:ascii="Palatino Linotype" w:hAnsi="Palatino Linotype"/>
          <w:sz w:val="20"/>
        </w:rPr>
        <w:t>O (Poly2)</w:t>
      </w:r>
      <w:r>
        <w:rPr>
          <w:rFonts w:ascii="Palatino Linotype" w:hAnsi="Palatino Linotype"/>
          <w:sz w:val="20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3"/>
        <w:gridCol w:w="4391"/>
      </w:tblGrid>
      <w:tr w:rsidR="001A2F27" w14:paraId="5A8DB05F" w14:textId="77777777" w:rsidTr="00150ED2"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3666234" w14:textId="77777777" w:rsidR="001A2F27" w:rsidRPr="000E1E3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after="120" w:line="360" w:lineRule="atLeast"/>
              <w:rPr>
                <w:rFonts w:ascii="CG Times (W1)" w:hAnsi="CG Times (W1)" w:cs="CG Times (W1)"/>
                <w:i/>
                <w:iCs/>
              </w:rPr>
            </w:pPr>
            <w:r w:rsidRPr="000E1E3A">
              <w:rPr>
                <w:rFonts w:ascii="CG Times (W1)" w:hAnsi="CG Times (W1)" w:cs="CG Times (W1)"/>
                <w:i/>
                <w:iCs/>
              </w:rPr>
              <w:t>Bond lengths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09D20EC7" w14:textId="77777777" w:rsidR="001A2F27" w:rsidRPr="000E1E3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i/>
                <w:iCs/>
              </w:rPr>
            </w:pPr>
            <w:r w:rsidRPr="000E1E3A">
              <w:rPr>
                <w:rFonts w:ascii="CG Times (W1)" w:hAnsi="CG Times (W1)" w:cs="CG Times (W1)"/>
                <w:i/>
                <w:iCs/>
              </w:rPr>
              <w:t>Bond angles</w:t>
            </w:r>
          </w:p>
        </w:tc>
      </w:tr>
      <w:tr w:rsidR="001A2F27" w14:paraId="1BC8E98E" w14:textId="77777777" w:rsidTr="00150ED2">
        <w:tc>
          <w:tcPr>
            <w:tcW w:w="4675" w:type="dxa"/>
            <w:tcBorders>
              <w:top w:val="single" w:sz="4" w:space="0" w:color="auto"/>
            </w:tcBorders>
          </w:tcPr>
          <w:p w14:paraId="08B422AD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C(1)-N(1)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1.481(4)</w:t>
            </w:r>
          </w:p>
          <w:p w14:paraId="01A30B7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C(1)-C(2)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1.532(6)</w:t>
            </w:r>
          </w:p>
          <w:p w14:paraId="66FC5635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C(1)-H(1A)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0.9700</w:t>
            </w:r>
          </w:p>
          <w:p w14:paraId="7984180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C(1)-H(1B)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0.9700</w:t>
            </w:r>
          </w:p>
          <w:p w14:paraId="5B99C11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C(2)-O(1)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1.243(6)</w:t>
            </w:r>
          </w:p>
          <w:p w14:paraId="34928553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C(2)-N(2)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1.323(7)</w:t>
            </w:r>
          </w:p>
          <w:p w14:paraId="74118A6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C(3)-N(2)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1.459(7)</w:t>
            </w:r>
          </w:p>
          <w:p w14:paraId="5FF89086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C(3)-C(5)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1.521(8)</w:t>
            </w:r>
          </w:p>
          <w:p w14:paraId="5DCD5A8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C(3)-C(4)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1.537(9)</w:t>
            </w:r>
          </w:p>
          <w:p w14:paraId="2A17559F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C(3)-H(3)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0.9800</w:t>
            </w:r>
          </w:p>
          <w:p w14:paraId="5C3C8768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C(4)-H(4A)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0.9600</w:t>
            </w:r>
          </w:p>
          <w:p w14:paraId="19238809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C(4)-H(4B)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0.9600</w:t>
            </w:r>
          </w:p>
          <w:p w14:paraId="0326804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C(4)-H(4C)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0.9600</w:t>
            </w:r>
          </w:p>
          <w:p w14:paraId="77144124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C(5)-O(2)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1.221(7)</w:t>
            </w:r>
          </w:p>
          <w:p w14:paraId="5F13ED0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lastRenderedPageBreak/>
              <w:t xml:space="preserve">C(5)-O(3)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1.316(7)</w:t>
            </w:r>
          </w:p>
          <w:p w14:paraId="1A78119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N(1)-H(10A)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0.88(3)</w:t>
            </w:r>
          </w:p>
          <w:p w14:paraId="0B467EC2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 xml:space="preserve">N(1)-H(10B) 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0.85(3)</w:t>
            </w:r>
          </w:p>
          <w:p w14:paraId="2A7989DB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BB7FAA">
              <w:rPr>
                <w:rFonts w:ascii="CG Times (W1)" w:hAnsi="CG Times (W1)" w:cs="CG Times (W1)"/>
                <w:lang w:val="pt-PT"/>
              </w:rPr>
              <w:t xml:space="preserve">N(1)-H(10C) </w:t>
            </w:r>
            <w:r w:rsidRPr="00BB7FAA">
              <w:rPr>
                <w:rFonts w:ascii="CG Times (W1)" w:hAnsi="CG Times (W1)" w:cs="CG Times (W1)"/>
                <w:lang w:val="pt-PT"/>
              </w:rPr>
              <w:tab/>
              <w:t>0.88(3)</w:t>
            </w:r>
          </w:p>
          <w:p w14:paraId="13AA64F0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BB7FAA">
              <w:rPr>
                <w:rFonts w:ascii="CG Times (W1)" w:hAnsi="CG Times (W1)" w:cs="CG Times (W1)"/>
                <w:lang w:val="pt-PT"/>
              </w:rPr>
              <w:t xml:space="preserve">N(2)-H(20) </w:t>
            </w:r>
            <w:r w:rsidRPr="00BB7FAA">
              <w:rPr>
                <w:rFonts w:ascii="CG Times (W1)" w:hAnsi="CG Times (W1)" w:cs="CG Times (W1)"/>
                <w:lang w:val="pt-PT"/>
              </w:rPr>
              <w:tab/>
              <w:t>0.89(10)</w:t>
            </w:r>
          </w:p>
          <w:p w14:paraId="0AEEFE84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BB7FAA">
              <w:rPr>
                <w:rFonts w:ascii="CG Times (W1)" w:hAnsi="CG Times (W1)" w:cs="CG Times (W1)"/>
                <w:lang w:val="pt-PT"/>
              </w:rPr>
              <w:t xml:space="preserve">O(3)-H(30) </w:t>
            </w:r>
            <w:r w:rsidRPr="00BB7FAA">
              <w:rPr>
                <w:rFonts w:ascii="CG Times (W1)" w:hAnsi="CG Times (W1)" w:cs="CG Times (W1)"/>
                <w:lang w:val="pt-PT"/>
              </w:rPr>
              <w:tab/>
              <w:t>0.91(10)</w:t>
            </w:r>
          </w:p>
          <w:p w14:paraId="0DA6D1B1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BB7FAA">
              <w:rPr>
                <w:rFonts w:ascii="CG Times (W1)" w:hAnsi="CG Times (W1)" w:cs="CG Times (W1)"/>
                <w:lang w:val="pt-PT"/>
              </w:rPr>
              <w:t xml:space="preserve">O(4)-H(40) </w:t>
            </w:r>
            <w:r w:rsidRPr="00BB7FAA">
              <w:rPr>
                <w:rFonts w:ascii="CG Times (W1)" w:hAnsi="CG Times (W1)" w:cs="CG Times (W1)"/>
                <w:lang w:val="pt-PT"/>
              </w:rPr>
              <w:tab/>
              <w:t>0.8159(5)</w:t>
            </w:r>
          </w:p>
          <w:p w14:paraId="53C72E91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BB7FAA">
              <w:rPr>
                <w:rFonts w:ascii="CG Times (W1)" w:hAnsi="CG Times (W1)" w:cs="CG Times (W1)"/>
                <w:lang w:val="pt-PT"/>
              </w:rPr>
              <w:t xml:space="preserve">O(4)-H(41) </w:t>
            </w:r>
            <w:r w:rsidRPr="00BB7FAA">
              <w:rPr>
                <w:rFonts w:ascii="CG Times (W1)" w:hAnsi="CG Times (W1)" w:cs="CG Times (W1)"/>
                <w:lang w:val="pt-PT"/>
              </w:rPr>
              <w:tab/>
              <w:t>0.8283(5)</w:t>
            </w:r>
          </w:p>
          <w:p w14:paraId="1B526484" w14:textId="77777777" w:rsidR="001A2F27" w:rsidRPr="00BB7FAA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2E6EEC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lastRenderedPageBreak/>
              <w:t>N(1)-C(1)-C(2)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109.9(4)</w:t>
            </w:r>
          </w:p>
          <w:p w14:paraId="30620A93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N(1)-C(1)-H(1A)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109.7</w:t>
            </w:r>
          </w:p>
          <w:p w14:paraId="3C3C868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C(2)-C(1)-H(1A)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109.7</w:t>
            </w:r>
          </w:p>
          <w:p w14:paraId="79022D8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N(1)-C(1)-H(1B)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109.7</w:t>
            </w:r>
          </w:p>
          <w:p w14:paraId="639891B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C(2)-C(1)-H(1B)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109.7</w:t>
            </w:r>
          </w:p>
          <w:p w14:paraId="6F1C04C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H(1A)-C(1)-H(1B)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108.2</w:t>
            </w:r>
          </w:p>
          <w:p w14:paraId="20F14A6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O(1)-C(2)-N(2)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124.5(5)</w:t>
            </w:r>
          </w:p>
          <w:p w14:paraId="63C0E72D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O(1)-C(2)-C(1)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120.9(4)</w:t>
            </w:r>
          </w:p>
          <w:p w14:paraId="7A71904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N(2)-C(2)-C(1)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114.6(4)</w:t>
            </w:r>
          </w:p>
          <w:p w14:paraId="71B9A37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N(2)-C(3)-C(5)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109.7(5)</w:t>
            </w:r>
          </w:p>
          <w:p w14:paraId="79C16080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N(2)-C(3)-C(4)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111.7(5)</w:t>
            </w:r>
          </w:p>
          <w:p w14:paraId="0A9FFEF9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C(5)-C(3)-C(4)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110.4(5)</w:t>
            </w:r>
          </w:p>
          <w:p w14:paraId="37053C4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N(2)-C(3)-H(3)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108.3</w:t>
            </w:r>
          </w:p>
          <w:p w14:paraId="5EE6FF08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C(5)-C(3)-H(3)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108.3</w:t>
            </w:r>
          </w:p>
          <w:p w14:paraId="5ED2C46D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lastRenderedPageBreak/>
              <w:t>C(4)-C(3)-H(3)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108.3</w:t>
            </w:r>
          </w:p>
          <w:p w14:paraId="56C6605D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C(3)-C(4)-H(4A)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136BB6A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C(3)-C(4)-H(4B)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264B5A4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H(4A)-C(4)-H(4B)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33D3D47A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C(3)-C(4)-H(4C)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608B0F01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H(4A)-C(4)-H(4C)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51CB8C87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H(4B)-C(4)-H(4C)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109.5</w:t>
            </w:r>
          </w:p>
          <w:p w14:paraId="08DAF7DB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O(2)-C(5)-O(3)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123.9(5)</w:t>
            </w:r>
          </w:p>
          <w:p w14:paraId="536333BF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O(2)-C(5)-C(3)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124.1(5)</w:t>
            </w:r>
          </w:p>
          <w:p w14:paraId="1FC50027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O(3)-C(5)-C(3)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111.9(5)</w:t>
            </w:r>
          </w:p>
          <w:p w14:paraId="63A3A2DF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C(1)-N(1)-H(10A)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106(4)</w:t>
            </w:r>
          </w:p>
          <w:p w14:paraId="17AC2286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C(1)-N(1)-H(10B)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109(4)</w:t>
            </w:r>
          </w:p>
          <w:p w14:paraId="41B53C88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H(10A)-N(1)-H(10B)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100(7)</w:t>
            </w:r>
          </w:p>
          <w:p w14:paraId="60DFFCA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C(1)-N(1)-H(10C)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124(9)</w:t>
            </w:r>
          </w:p>
          <w:p w14:paraId="0BED7FCC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H(10A)-N(1)-H(10C)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106(8)</w:t>
            </w:r>
          </w:p>
          <w:p w14:paraId="314C6DC2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H(10B)-N(1)-H(10C)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110(10)</w:t>
            </w:r>
          </w:p>
          <w:p w14:paraId="5C1B6B3D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C(2)-N(2)-C(3)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124.4(4)</w:t>
            </w:r>
          </w:p>
          <w:p w14:paraId="22EDF31B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C(2)-N(2)-H(20)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118(6)</w:t>
            </w:r>
          </w:p>
          <w:p w14:paraId="1D941486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C(3)-N(2)-H(20)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117(6)</w:t>
            </w:r>
          </w:p>
          <w:p w14:paraId="54E4179E" w14:textId="77777777" w:rsidR="001A2F27" w:rsidRPr="006476F0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  <w:lang w:val="pt-PT"/>
              </w:rPr>
            </w:pPr>
            <w:r w:rsidRPr="006476F0">
              <w:rPr>
                <w:rFonts w:ascii="CG Times (W1)" w:hAnsi="CG Times (W1)" w:cs="CG Times (W1)"/>
                <w:lang w:val="pt-PT"/>
              </w:rPr>
              <w:t>C(5)-O(3)-H(30)</w:t>
            </w:r>
            <w:r w:rsidRPr="006476F0">
              <w:rPr>
                <w:rFonts w:ascii="CG Times (W1)" w:hAnsi="CG Times (W1)" w:cs="CG Times (W1)"/>
                <w:lang w:val="pt-PT"/>
              </w:rPr>
              <w:tab/>
              <w:t>106(6)</w:t>
            </w:r>
          </w:p>
          <w:p w14:paraId="4D6AF86A" w14:textId="77777777" w:rsidR="001A2F27" w:rsidRDefault="001A2F27" w:rsidP="00150ED2">
            <w:pPr>
              <w:widowControl w:val="0"/>
              <w:tabs>
                <w:tab w:val="decimal" w:pos="288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H(40)-O(4)-H(41)</w:t>
            </w:r>
            <w:r>
              <w:rPr>
                <w:rFonts w:ascii="CG Times (W1)" w:hAnsi="CG Times (W1)" w:cs="CG Times (W1)"/>
              </w:rPr>
              <w:tab/>
              <w:t>99.17(2)</w:t>
            </w:r>
          </w:p>
        </w:tc>
      </w:tr>
    </w:tbl>
    <w:p w14:paraId="05B4A769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</w:p>
    <w:p w14:paraId="7E870ACF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</w:p>
    <w:p w14:paraId="1DB692B9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  <w:r w:rsidRPr="00D11F78">
        <w:rPr>
          <w:rFonts w:ascii="Palatino Linotype" w:hAnsi="Palatino Linotype"/>
          <w:b/>
          <w:bCs/>
          <w:sz w:val="20"/>
        </w:rPr>
        <w:t>Table S</w:t>
      </w:r>
      <w:r>
        <w:rPr>
          <w:rFonts w:ascii="Palatino Linotype" w:hAnsi="Palatino Linotype"/>
          <w:b/>
          <w:bCs/>
          <w:sz w:val="20"/>
        </w:rPr>
        <w:t>I</w:t>
      </w:r>
      <w:r w:rsidRPr="00D11F78">
        <w:rPr>
          <w:rFonts w:ascii="Palatino Linotype" w:hAnsi="Palatino Linotype"/>
          <w:b/>
          <w:bCs/>
          <w:sz w:val="20"/>
        </w:rPr>
        <w:t>2.</w:t>
      </w:r>
      <w:r>
        <w:rPr>
          <w:rFonts w:ascii="Palatino Linotype" w:hAnsi="Palatino Linotype"/>
          <w:sz w:val="20"/>
        </w:rPr>
        <w:t xml:space="preserve"> Torsion angles [°] for </w:t>
      </w:r>
      <w:r w:rsidRPr="00B35B46">
        <w:rPr>
          <w:rFonts w:ascii="Palatino Linotype" w:hAnsi="Palatino Linotype"/>
          <w:sz w:val="20"/>
        </w:rPr>
        <w:t>Gly-L-Ala.HI.H</w:t>
      </w:r>
      <w:r w:rsidRPr="003E464A">
        <w:rPr>
          <w:rFonts w:ascii="Palatino Linotype" w:hAnsi="Palatino Linotype"/>
          <w:sz w:val="20"/>
          <w:vertAlign w:val="subscript"/>
        </w:rPr>
        <w:t>2</w:t>
      </w:r>
      <w:r w:rsidRPr="00B35B46">
        <w:rPr>
          <w:rFonts w:ascii="Palatino Linotype" w:hAnsi="Palatino Linotype"/>
          <w:sz w:val="20"/>
        </w:rPr>
        <w:t>O (Poly2)</w:t>
      </w:r>
      <w:r>
        <w:rPr>
          <w:rFonts w:ascii="Palatino Linotype" w:hAnsi="Palatino Linotype"/>
          <w:sz w:val="20"/>
        </w:rPr>
        <w:t xml:space="preserve">, </w:t>
      </w:r>
      <w:r w:rsidRPr="00B35B46">
        <w:rPr>
          <w:rFonts w:ascii="Palatino Linotype" w:hAnsi="Palatino Linotype"/>
          <w:sz w:val="20"/>
        </w:rPr>
        <w:t>Gly-L-Ala.HI.H</w:t>
      </w:r>
      <w:r w:rsidRPr="003E464A">
        <w:rPr>
          <w:rFonts w:ascii="Palatino Linotype" w:hAnsi="Palatino Linotype"/>
          <w:sz w:val="20"/>
          <w:vertAlign w:val="subscript"/>
        </w:rPr>
        <w:t>2</w:t>
      </w:r>
      <w:r w:rsidRPr="00B35B46">
        <w:rPr>
          <w:rFonts w:ascii="Palatino Linotype" w:hAnsi="Palatino Linotype"/>
          <w:sz w:val="20"/>
        </w:rPr>
        <w:t>O (Poly</w:t>
      </w:r>
      <w:r>
        <w:rPr>
          <w:rFonts w:ascii="Palatino Linotype" w:hAnsi="Palatino Linotype"/>
          <w:sz w:val="20"/>
        </w:rPr>
        <w:t>1</w:t>
      </w:r>
      <w:r w:rsidRPr="00B35B46">
        <w:rPr>
          <w:rFonts w:ascii="Palatino Linotype" w:hAnsi="Palatino Linotype"/>
          <w:sz w:val="20"/>
        </w:rPr>
        <w:t>)</w:t>
      </w:r>
      <w:r>
        <w:rPr>
          <w:rFonts w:ascii="Palatino Linotype" w:hAnsi="Palatino Linotype"/>
          <w:sz w:val="20"/>
        </w:rPr>
        <w:t xml:space="preserve"> and </w:t>
      </w:r>
      <w:proofErr w:type="spellStart"/>
      <w:r w:rsidRPr="00B35B46">
        <w:rPr>
          <w:rFonts w:ascii="Palatino Linotype" w:hAnsi="Palatino Linotype"/>
          <w:sz w:val="20"/>
        </w:rPr>
        <w:t>Gly</w:t>
      </w:r>
      <w:proofErr w:type="spellEnd"/>
      <w:r w:rsidRPr="00B35B46">
        <w:rPr>
          <w:rFonts w:ascii="Palatino Linotype" w:hAnsi="Palatino Linotype"/>
          <w:sz w:val="20"/>
        </w:rPr>
        <w:t>-L-Ala</w:t>
      </w:r>
      <w:r>
        <w:rPr>
          <w:rFonts w:ascii="Palatino Linotype" w:hAnsi="Palatino Linotype"/>
          <w:sz w:val="20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678"/>
        <w:gridCol w:w="1701"/>
        <w:gridCol w:w="1701"/>
      </w:tblGrid>
      <w:tr w:rsidR="001A2F27" w14:paraId="6BEED3B5" w14:textId="77777777" w:rsidTr="00150ED2">
        <w:trPr>
          <w:jc w:val="center"/>
        </w:trPr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78FDD" w14:textId="77777777" w:rsidR="001A2F27" w:rsidRDefault="001A2F27" w:rsidP="00150ED2">
            <w:pPr>
              <w:pStyle w:val="TAMainText"/>
              <w:spacing w:after="120"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BDCC" w14:textId="77777777" w:rsidR="001A2F27" w:rsidRPr="00716086" w:rsidRDefault="001A2F27" w:rsidP="00150ED2">
            <w:pPr>
              <w:pStyle w:val="TAMainText"/>
              <w:spacing w:after="120" w:line="360" w:lineRule="atLeast"/>
              <w:ind w:firstLine="0"/>
              <w:jc w:val="left"/>
              <w:rPr>
                <w:rFonts w:ascii="Palatino Linotype" w:hAnsi="Palatino Linotype"/>
                <w:b/>
                <w:bCs/>
                <w:i/>
                <w:iCs/>
                <w:sz w:val="20"/>
              </w:rPr>
            </w:pPr>
            <w:r w:rsidRPr="00716086">
              <w:rPr>
                <w:rFonts w:ascii="Palatino Linotype" w:hAnsi="Palatino Linotype"/>
                <w:b/>
                <w:bCs/>
                <w:i/>
                <w:iCs/>
                <w:sz w:val="20"/>
              </w:rPr>
              <w:t>Poly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EA8A" w14:textId="77777777" w:rsidR="001A2F27" w:rsidRPr="00716086" w:rsidRDefault="001A2F27" w:rsidP="00150ED2">
            <w:pPr>
              <w:pStyle w:val="TAMainText"/>
              <w:spacing w:after="120" w:line="360" w:lineRule="atLeast"/>
              <w:ind w:firstLine="0"/>
              <w:jc w:val="left"/>
              <w:rPr>
                <w:rFonts w:ascii="Palatino Linotype" w:hAnsi="Palatino Linotype"/>
                <w:b/>
                <w:bCs/>
                <w:i/>
                <w:iCs/>
                <w:sz w:val="20"/>
              </w:rPr>
            </w:pPr>
            <w:r w:rsidRPr="00716086">
              <w:rPr>
                <w:rFonts w:ascii="Palatino Linotype" w:hAnsi="Palatino Linotype"/>
                <w:b/>
                <w:bCs/>
                <w:i/>
                <w:iCs/>
                <w:sz w:val="20"/>
              </w:rPr>
              <w:t>Poly 1</w:t>
            </w:r>
            <w:r>
              <w:rPr>
                <w:rFonts w:ascii="Palatino Linotype" w:hAnsi="Palatino Linotype"/>
                <w:b/>
                <w:bCs/>
                <w:i/>
                <w:iCs/>
                <w:sz w:val="20"/>
              </w:rPr>
              <w:t xml:space="preserve"> </w: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begin"/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instrText xml:space="preserve"> ADDIN EN.CITE &lt;EndNote&gt;&lt;Cite&gt;&lt;Author&gt;Kehrer&lt;/Author&gt;&lt;Year&gt;1989&lt;/Year&gt;&lt;RecNum&gt;6452&lt;/RecNum&gt;&lt;DisplayText&gt;[1]&lt;/DisplayText&gt;&lt;record&gt;&lt;rec-number&gt;6452&lt;/rec-number&gt;&lt;foreign-keys&gt;&lt;key app="EN" db-id="fptx2zvfxw92wue0wf8vt50nae2vtaxfxs0v" timestamp="1662565719"&gt;6452&lt;/key&gt;&lt;/foreign-keys&gt;&lt;ref-type name="Journal Article"&gt;17&lt;/ref-type&gt;&lt;contributors&gt;&lt;authors&gt;&lt;author&gt;Kehrer, Armin&lt;/author&gt;&lt;author&gt;Dou, Shi-qi&lt;/author&gt;&lt;author&gt;Weiss, Alarich&lt;/author&gt;&lt;/authors&gt;&lt;/contributors&gt;&lt;titles&gt;&lt;title&gt;79,81Br−127I−NQR, and Crystal Structure of Glycyl-l-alanine Hydrobromide Monohydrate and Hydroiodide Monohydrate&lt;/title&gt;&lt;tertiary-title&gt;Zeitschrift für Naturforschung A&lt;/tertiary-title&gt;&lt;/titles&gt;&lt;pages&gt;659-668&lt;/pages&gt;&lt;volume&gt;44&lt;/volume&gt;&lt;number&gt;7&lt;/number&gt;&lt;dates&gt;&lt;year&gt;1989&lt;/year&gt;&lt;/dates&gt;&lt;urls&gt;&lt;related-urls&gt;&lt;url&gt;https://doi.org/10.1515/zna-1989-0710&lt;/url&gt;&lt;/related-urls&gt;&lt;/urls&gt;&lt;electronic-resource-num&gt;doi:10.1515/zna-1989-0710&lt;/electronic-resource-num&gt;&lt;access-date&gt;2022-09-07&lt;/access-date&gt;&lt;/record&gt;&lt;/Cite&gt;&lt;/EndNote&gt;</w:instrTex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Pr="00974243">
              <w:rPr>
                <w:rFonts w:ascii="Palatino Linotype" w:hAnsi="Palatino Linotype"/>
                <w:b/>
                <w:bCs/>
                <w:noProof/>
                <w:sz w:val="20"/>
              </w:rPr>
              <w:t>[</w:t>
            </w:r>
            <w:hyperlink w:anchor="_ENREF_1" w:tooltip="Kehrer, 1989 #6452" w:history="1">
              <w:r w:rsidRPr="00974243">
                <w:rPr>
                  <w:rFonts w:ascii="Palatino Linotype" w:hAnsi="Palatino Linotype"/>
                  <w:b/>
                  <w:bCs/>
                  <w:noProof/>
                  <w:sz w:val="20"/>
                </w:rPr>
                <w:t>1</w:t>
              </w:r>
            </w:hyperlink>
            <w:r w:rsidRPr="00974243">
              <w:rPr>
                <w:rFonts w:ascii="Palatino Linotype" w:hAnsi="Palatino Linotype"/>
                <w:b/>
                <w:bCs/>
                <w:noProof/>
                <w:sz w:val="20"/>
              </w:rPr>
              <w:t>]</w: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9787" w14:textId="77777777" w:rsidR="001A2F27" w:rsidRPr="00716086" w:rsidRDefault="001A2F27" w:rsidP="00150ED2">
            <w:pPr>
              <w:pStyle w:val="TAMainText"/>
              <w:spacing w:after="120" w:line="360" w:lineRule="atLeast"/>
              <w:ind w:firstLine="0"/>
              <w:jc w:val="left"/>
              <w:rPr>
                <w:rFonts w:ascii="Palatino Linotype" w:hAnsi="Palatino Linotype"/>
                <w:b/>
                <w:bCs/>
                <w:i/>
                <w:iCs/>
                <w:sz w:val="20"/>
              </w:rPr>
            </w:pPr>
            <w:proofErr w:type="spellStart"/>
            <w:r w:rsidRPr="00716086">
              <w:rPr>
                <w:rFonts w:ascii="Palatino Linotype" w:hAnsi="Palatino Linotype"/>
                <w:b/>
                <w:bCs/>
                <w:i/>
                <w:iCs/>
                <w:sz w:val="20"/>
              </w:rPr>
              <w:t>Gly</w:t>
            </w:r>
            <w:proofErr w:type="spellEnd"/>
            <w:r w:rsidRPr="00716086">
              <w:rPr>
                <w:rFonts w:ascii="Palatino Linotype" w:hAnsi="Palatino Linotype"/>
                <w:b/>
                <w:bCs/>
                <w:i/>
                <w:iCs/>
                <w:sz w:val="20"/>
              </w:rPr>
              <w:t>-L-Ala</w: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begin"/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instrText xml:space="preserve"> ADDIN EN.CITE &lt;EndNote&gt;&lt;Cite&gt;&lt;Author&gt;Capelli&lt;/Author&gt;&lt;Year&gt;2014&lt;/Year&gt;&lt;RecNum&gt;6463&lt;/RecNum&gt;&lt;DisplayText&gt;[2]&lt;/DisplayText&gt;&lt;record&gt;&lt;rec-number&gt;6463&lt;/rec-number&gt;&lt;foreign-keys&gt;&lt;key app="EN" db-id="fptx2zvfxw92wue0wf8vt50nae2vtaxfxs0v" timestamp="1663151057"&gt;6463&lt;/key&gt;&lt;/foreign-keys&gt;&lt;ref-type name="Journal Article"&gt;17&lt;/ref-type&gt;&lt;contributors&gt;&lt;authors&gt;&lt;author&gt;Capelli, Silvia C.,&lt;/author&gt;&lt;author&gt;Burgi, Hans-Beat,&lt;/author&gt;&lt;author&gt;Dittrich, Birger,&lt;/author&gt;&lt;author&gt;Grabowsky, Simon,&lt;/author&gt;&lt;author&gt;Jayatilaka, Dylan,&lt;/author&gt;&lt;/authors&gt;&lt;/contributors&gt;&lt;titles&gt;&lt;title&gt;Hirshfeld atom refinement&lt;/title&gt;&lt;secondary-title&gt;IUCrJ&lt;/secondary-title&gt;&lt;/titles&gt;&lt;periodical&gt;&lt;full-title&gt;IUCrJ&lt;/full-title&gt;&lt;/periodical&gt;&lt;pages&gt;361-379&lt;/pages&gt;&lt;volume&gt;1&lt;/volume&gt;&lt;number&gt;5&lt;/number&gt;&lt;keywords&gt;&lt;keyword&gt;aspherical atom partitioning&lt;/keyword&gt;&lt;keyword&gt;quantum mechanical molecular electron densities&lt;/keyword&gt;&lt;keyword&gt;X-ray structure refinement&lt;/keyword&gt;&lt;keyword&gt;hydrogen atom modelling&lt;/keyword&gt;&lt;keyword&gt;anisotropic displacement parameters&lt;/keyword&gt;&lt;/keywords&gt;&lt;dates&gt;&lt;year&gt;2014&lt;/year&gt;&lt;/dates&gt;&lt;isbn&gt;2052-2525&lt;/isbn&gt;&lt;urls&gt;&lt;related-urls&gt;&lt;url&gt;https://doi.org/10.1107/S2052252514014845&lt;/url&gt;&lt;/related-urls&gt;&lt;/urls&gt;&lt;electronic-resource-num&gt;doi:10.1107/S2052252514014845&lt;/electronic-resource-num&gt;&lt;/record&gt;&lt;/Cite&gt;&lt;/EndNote&gt;</w:instrTex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Pr="00974243">
              <w:rPr>
                <w:rFonts w:ascii="Palatino Linotype" w:hAnsi="Palatino Linotype"/>
                <w:b/>
                <w:bCs/>
                <w:noProof/>
                <w:sz w:val="20"/>
              </w:rPr>
              <w:t>[</w:t>
            </w:r>
            <w:hyperlink w:anchor="_ENREF_2" w:tooltip="Capelli, 2014 #6463" w:history="1">
              <w:r w:rsidRPr="00974243">
                <w:rPr>
                  <w:rFonts w:ascii="Palatino Linotype" w:hAnsi="Palatino Linotype"/>
                  <w:b/>
                  <w:bCs/>
                  <w:noProof/>
                  <w:sz w:val="20"/>
                </w:rPr>
                <w:t>2</w:t>
              </w:r>
            </w:hyperlink>
            <w:r w:rsidRPr="00974243">
              <w:rPr>
                <w:rFonts w:ascii="Palatino Linotype" w:hAnsi="Palatino Linotype"/>
                <w:b/>
                <w:bCs/>
                <w:noProof/>
                <w:sz w:val="20"/>
              </w:rPr>
              <w:t>]</w:t>
            </w:r>
            <w:r w:rsidRPr="00974243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1A2F27" w14:paraId="5FBC5CD0" w14:textId="77777777" w:rsidTr="00150ED2">
        <w:trPr>
          <w:jc w:val="center"/>
        </w:trPr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14:paraId="443CB366" w14:textId="77777777" w:rsidR="001A2F27" w:rsidRPr="00BF7732" w:rsidRDefault="001A2F27" w:rsidP="00150ED2">
            <w:pPr>
              <w:widowControl w:val="0"/>
              <w:tabs>
                <w:tab w:val="center" w:pos="560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ind w:left="2574" w:hanging="2574"/>
              <w:jc w:val="left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N(1)-C(1)-C(2)-O(1)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67BB3894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-14.2(6)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4766E85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7A953F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</w:tr>
      <w:tr w:rsidR="001A2F27" w14:paraId="08D645D2" w14:textId="77777777" w:rsidTr="00150ED2">
        <w:trPr>
          <w:jc w:val="center"/>
        </w:trPr>
        <w:tc>
          <w:tcPr>
            <w:tcW w:w="2145" w:type="dxa"/>
            <w:vAlign w:val="center"/>
          </w:tcPr>
          <w:p w14:paraId="584189FA" w14:textId="77777777" w:rsidR="001A2F27" w:rsidRPr="00BF7732" w:rsidRDefault="001A2F27" w:rsidP="00150ED2">
            <w:pPr>
              <w:widowControl w:val="0"/>
              <w:tabs>
                <w:tab w:val="center" w:pos="560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ind w:left="2574" w:hanging="2574"/>
              <w:jc w:val="left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N(1)-C(1)-C(2)-N(2)</w:t>
            </w:r>
          </w:p>
        </w:tc>
        <w:tc>
          <w:tcPr>
            <w:tcW w:w="1678" w:type="dxa"/>
            <w:vAlign w:val="center"/>
          </w:tcPr>
          <w:p w14:paraId="655723AB" w14:textId="77777777" w:rsidR="001A2F27" w:rsidRPr="001E7473" w:rsidRDefault="001A2F27" w:rsidP="00150ED2">
            <w:pPr>
              <w:widowControl w:val="0"/>
              <w:tabs>
                <w:tab w:val="center" w:pos="560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ind w:left="2574" w:hanging="2574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167.9(5)</w:t>
            </w:r>
          </w:p>
        </w:tc>
        <w:tc>
          <w:tcPr>
            <w:tcW w:w="1701" w:type="dxa"/>
            <w:vAlign w:val="center"/>
          </w:tcPr>
          <w:p w14:paraId="5B004DE2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168.13</w:t>
            </w:r>
          </w:p>
        </w:tc>
        <w:tc>
          <w:tcPr>
            <w:tcW w:w="1701" w:type="dxa"/>
            <w:vAlign w:val="center"/>
          </w:tcPr>
          <w:p w14:paraId="35B8AD1F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-163.54</w:t>
            </w:r>
          </w:p>
        </w:tc>
      </w:tr>
      <w:tr w:rsidR="001A2F27" w14:paraId="6EB2D7E7" w14:textId="77777777" w:rsidTr="00150ED2">
        <w:trPr>
          <w:jc w:val="center"/>
        </w:trPr>
        <w:tc>
          <w:tcPr>
            <w:tcW w:w="2145" w:type="dxa"/>
            <w:vAlign w:val="center"/>
          </w:tcPr>
          <w:p w14:paraId="1F414EAD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N(2)-C(3)-C(5)-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O(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2)</w:t>
            </w:r>
          </w:p>
        </w:tc>
        <w:tc>
          <w:tcPr>
            <w:tcW w:w="1678" w:type="dxa"/>
            <w:vAlign w:val="center"/>
          </w:tcPr>
          <w:p w14:paraId="2773FDF8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-12.7(7)</w:t>
            </w:r>
          </w:p>
        </w:tc>
        <w:tc>
          <w:tcPr>
            <w:tcW w:w="1701" w:type="dxa"/>
            <w:vAlign w:val="center"/>
          </w:tcPr>
          <w:p w14:paraId="27E2D2A2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-12.94</w:t>
            </w:r>
          </w:p>
        </w:tc>
        <w:tc>
          <w:tcPr>
            <w:tcW w:w="1701" w:type="dxa"/>
            <w:vAlign w:val="center"/>
          </w:tcPr>
          <w:p w14:paraId="43B76BE4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-35.88</w:t>
            </w:r>
          </w:p>
        </w:tc>
      </w:tr>
      <w:tr w:rsidR="001A2F27" w14:paraId="7DF99634" w14:textId="77777777" w:rsidTr="00150ED2">
        <w:trPr>
          <w:jc w:val="center"/>
        </w:trPr>
        <w:tc>
          <w:tcPr>
            <w:tcW w:w="2145" w:type="dxa"/>
            <w:vAlign w:val="center"/>
          </w:tcPr>
          <w:p w14:paraId="5E119D18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C(4)-C(3)-C(5)-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O(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2)</w:t>
            </w:r>
          </w:p>
        </w:tc>
        <w:tc>
          <w:tcPr>
            <w:tcW w:w="1678" w:type="dxa"/>
            <w:vAlign w:val="center"/>
          </w:tcPr>
          <w:p w14:paraId="64C49C60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110.8(7)</w:t>
            </w:r>
          </w:p>
        </w:tc>
        <w:tc>
          <w:tcPr>
            <w:tcW w:w="1701" w:type="dxa"/>
            <w:vAlign w:val="center"/>
          </w:tcPr>
          <w:p w14:paraId="65AFF5F9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A7C4F43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</w:tr>
      <w:tr w:rsidR="001A2F27" w14:paraId="7C1806E6" w14:textId="77777777" w:rsidTr="00150ED2">
        <w:trPr>
          <w:jc w:val="center"/>
        </w:trPr>
        <w:tc>
          <w:tcPr>
            <w:tcW w:w="2145" w:type="dxa"/>
            <w:vAlign w:val="center"/>
          </w:tcPr>
          <w:p w14:paraId="6B043310" w14:textId="77777777" w:rsidR="001A2F27" w:rsidRPr="00BF7732" w:rsidRDefault="001A2F27" w:rsidP="00150ED2">
            <w:pPr>
              <w:widowControl w:val="0"/>
              <w:tabs>
                <w:tab w:val="center" w:pos="560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ind w:left="2574" w:hanging="2574"/>
              <w:jc w:val="left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N(2)-C(3)-C(5)-O(3)</w:t>
            </w:r>
          </w:p>
        </w:tc>
        <w:tc>
          <w:tcPr>
            <w:tcW w:w="1678" w:type="dxa"/>
            <w:vAlign w:val="center"/>
          </w:tcPr>
          <w:p w14:paraId="1B27D57D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167.9(5)</w:t>
            </w:r>
          </w:p>
        </w:tc>
        <w:tc>
          <w:tcPr>
            <w:tcW w:w="1701" w:type="dxa"/>
            <w:vAlign w:val="center"/>
          </w:tcPr>
          <w:p w14:paraId="6235ECCE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167.78</w:t>
            </w:r>
          </w:p>
        </w:tc>
        <w:tc>
          <w:tcPr>
            <w:tcW w:w="1701" w:type="dxa"/>
            <w:vAlign w:val="center"/>
          </w:tcPr>
          <w:p w14:paraId="49CA9737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149.99</w:t>
            </w:r>
          </w:p>
        </w:tc>
      </w:tr>
      <w:tr w:rsidR="001A2F27" w14:paraId="043CA4C1" w14:textId="77777777" w:rsidTr="00150ED2">
        <w:trPr>
          <w:jc w:val="center"/>
        </w:trPr>
        <w:tc>
          <w:tcPr>
            <w:tcW w:w="2145" w:type="dxa"/>
            <w:vAlign w:val="center"/>
          </w:tcPr>
          <w:p w14:paraId="40CD914D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C(4)-C(3)-C(5)-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O(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3)</w:t>
            </w:r>
          </w:p>
        </w:tc>
        <w:tc>
          <w:tcPr>
            <w:tcW w:w="1678" w:type="dxa"/>
            <w:vAlign w:val="center"/>
          </w:tcPr>
          <w:p w14:paraId="294C189B" w14:textId="77777777" w:rsidR="001A2F27" w:rsidRPr="001E7473" w:rsidRDefault="001A2F27" w:rsidP="00150ED2">
            <w:pPr>
              <w:widowControl w:val="0"/>
              <w:tabs>
                <w:tab w:val="center" w:pos="5600"/>
                <w:tab w:val="left" w:pos="11900"/>
              </w:tabs>
              <w:autoSpaceDE w:val="0"/>
              <w:autoSpaceDN w:val="0"/>
              <w:adjustRightInd w:val="0"/>
              <w:spacing w:line="360" w:lineRule="atLeast"/>
              <w:ind w:left="2574" w:hanging="2574"/>
              <w:rPr>
                <w:rFonts w:ascii="CG Times (W1)" w:hAnsi="CG Times (W1)" w:cs="CG Times (W1)"/>
              </w:rPr>
            </w:pPr>
            <w:r>
              <w:rPr>
                <w:rFonts w:ascii="CG Times (W1)" w:hAnsi="CG Times (W1)" w:cs="CG Times (W1)"/>
              </w:rPr>
              <w:t>-68.5(6)</w:t>
            </w:r>
          </w:p>
        </w:tc>
        <w:tc>
          <w:tcPr>
            <w:tcW w:w="1701" w:type="dxa"/>
            <w:vAlign w:val="center"/>
          </w:tcPr>
          <w:p w14:paraId="6758BFC8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C254D1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</w:tr>
      <w:tr w:rsidR="001A2F27" w14:paraId="031E3237" w14:textId="77777777" w:rsidTr="00150ED2">
        <w:trPr>
          <w:jc w:val="center"/>
        </w:trPr>
        <w:tc>
          <w:tcPr>
            <w:tcW w:w="2145" w:type="dxa"/>
            <w:vAlign w:val="center"/>
          </w:tcPr>
          <w:p w14:paraId="258936E3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O(1)-C(2)-N(2)-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C(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3)</w:t>
            </w:r>
          </w:p>
        </w:tc>
        <w:tc>
          <w:tcPr>
            <w:tcW w:w="1678" w:type="dxa"/>
            <w:vAlign w:val="center"/>
          </w:tcPr>
          <w:p w14:paraId="1C0B73D7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-0.2(9)</w:t>
            </w:r>
          </w:p>
        </w:tc>
        <w:tc>
          <w:tcPr>
            <w:tcW w:w="1701" w:type="dxa"/>
            <w:vAlign w:val="center"/>
          </w:tcPr>
          <w:p w14:paraId="7E67BC9E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CBBFE78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</w:tr>
      <w:tr w:rsidR="001A2F27" w14:paraId="6F542620" w14:textId="77777777" w:rsidTr="00150ED2">
        <w:trPr>
          <w:jc w:val="center"/>
        </w:trPr>
        <w:tc>
          <w:tcPr>
            <w:tcW w:w="2145" w:type="dxa"/>
            <w:vAlign w:val="center"/>
          </w:tcPr>
          <w:p w14:paraId="38791BC2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C(1)-C(2)-N(2)-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C(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3)</w:t>
            </w:r>
          </w:p>
        </w:tc>
        <w:tc>
          <w:tcPr>
            <w:tcW w:w="1678" w:type="dxa"/>
            <w:vAlign w:val="center"/>
          </w:tcPr>
          <w:p w14:paraId="192AA8AA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177.7(5)</w:t>
            </w:r>
          </w:p>
        </w:tc>
        <w:tc>
          <w:tcPr>
            <w:tcW w:w="1701" w:type="dxa"/>
            <w:vAlign w:val="center"/>
          </w:tcPr>
          <w:p w14:paraId="14953B4E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177.88</w:t>
            </w:r>
          </w:p>
        </w:tc>
        <w:tc>
          <w:tcPr>
            <w:tcW w:w="1701" w:type="dxa"/>
            <w:vAlign w:val="center"/>
          </w:tcPr>
          <w:p w14:paraId="3C10E5FE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-173.94</w:t>
            </w:r>
          </w:p>
        </w:tc>
      </w:tr>
      <w:tr w:rsidR="001A2F27" w14:paraId="12DD164E" w14:textId="77777777" w:rsidTr="00150ED2">
        <w:trPr>
          <w:jc w:val="center"/>
        </w:trPr>
        <w:tc>
          <w:tcPr>
            <w:tcW w:w="2145" w:type="dxa"/>
            <w:vAlign w:val="center"/>
          </w:tcPr>
          <w:p w14:paraId="0A478633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C(5)-C(3)-N(2)-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C(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2)</w:t>
            </w:r>
          </w:p>
        </w:tc>
        <w:tc>
          <w:tcPr>
            <w:tcW w:w="1678" w:type="dxa"/>
            <w:vAlign w:val="center"/>
          </w:tcPr>
          <w:p w14:paraId="74F40DA5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-126.2(5)</w:t>
            </w:r>
          </w:p>
        </w:tc>
        <w:tc>
          <w:tcPr>
            <w:tcW w:w="1701" w:type="dxa"/>
            <w:vAlign w:val="center"/>
          </w:tcPr>
          <w:p w14:paraId="51BC58D8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-126.27</w:t>
            </w:r>
          </w:p>
        </w:tc>
        <w:tc>
          <w:tcPr>
            <w:tcW w:w="1701" w:type="dxa"/>
            <w:vAlign w:val="center"/>
          </w:tcPr>
          <w:p w14:paraId="41A93182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-78.36</w:t>
            </w:r>
          </w:p>
        </w:tc>
      </w:tr>
      <w:tr w:rsidR="001A2F27" w14:paraId="4AEFF26E" w14:textId="77777777" w:rsidTr="00150ED2">
        <w:trPr>
          <w:jc w:val="center"/>
        </w:trPr>
        <w:tc>
          <w:tcPr>
            <w:tcW w:w="2145" w:type="dxa"/>
            <w:vAlign w:val="center"/>
          </w:tcPr>
          <w:p w14:paraId="46AD6C27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CG Times (W1)" w:hAnsi="CG Times (W1)" w:cs="CG Times (W1)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C(4)-C(3)-N(2)-</w:t>
            </w:r>
            <w:proofErr w:type="gramStart"/>
            <w:r>
              <w:rPr>
                <w:rFonts w:ascii="CG Times (W1)" w:hAnsi="CG Times (W1)" w:cs="CG Times (W1)"/>
                <w:sz w:val="20"/>
              </w:rPr>
              <w:t>C(</w:t>
            </w:r>
            <w:proofErr w:type="gramEnd"/>
            <w:r>
              <w:rPr>
                <w:rFonts w:ascii="CG Times (W1)" w:hAnsi="CG Times (W1)" w:cs="CG Times (W1)"/>
                <w:sz w:val="20"/>
              </w:rPr>
              <w:t>2)</w:t>
            </w:r>
          </w:p>
        </w:tc>
        <w:tc>
          <w:tcPr>
            <w:tcW w:w="1678" w:type="dxa"/>
            <w:vAlign w:val="center"/>
          </w:tcPr>
          <w:p w14:paraId="061AE864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  <w:r>
              <w:rPr>
                <w:rFonts w:ascii="CG Times (W1)" w:hAnsi="CG Times (W1)" w:cs="CG Times (W1)"/>
                <w:sz w:val="20"/>
              </w:rPr>
              <w:t>111.0(6)</w:t>
            </w:r>
          </w:p>
        </w:tc>
        <w:tc>
          <w:tcPr>
            <w:tcW w:w="1701" w:type="dxa"/>
            <w:vAlign w:val="center"/>
          </w:tcPr>
          <w:p w14:paraId="5151FE19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18DE0A5" w14:textId="77777777" w:rsidR="001A2F27" w:rsidRDefault="001A2F27" w:rsidP="00150ED2">
            <w:pPr>
              <w:pStyle w:val="TAMainText"/>
              <w:spacing w:line="360" w:lineRule="atLeast"/>
              <w:ind w:firstLine="0"/>
              <w:jc w:val="left"/>
              <w:rPr>
                <w:rFonts w:ascii="Palatino Linotype" w:hAnsi="Palatino Linotype"/>
                <w:sz w:val="20"/>
              </w:rPr>
            </w:pPr>
          </w:p>
        </w:tc>
      </w:tr>
    </w:tbl>
    <w:p w14:paraId="723453A7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</w:p>
    <w:p w14:paraId="5C7A2ADF" w14:textId="77777777" w:rsidR="001A2F27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</w:p>
    <w:p w14:paraId="55CB9AEE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  <w:r>
        <w:rPr>
          <w:noProof/>
          <w:lang w:val="pt-PT" w:eastAsia="pt-PT"/>
        </w:rPr>
        <w:lastRenderedPageBreak/>
        <w:drawing>
          <wp:inline distT="0" distB="0" distL="0" distR="0" wp14:anchorId="7714C4B5" wp14:editId="72CB3E73">
            <wp:extent cx="3867150" cy="3181350"/>
            <wp:effectExtent l="0" t="0" r="0" b="0"/>
            <wp:docPr id="9" name="Imagem 9" descr="A picture containing light, wire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A picture containing light, wire, lin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03" t="10896" r="20833" b="17736"/>
                    <a:stretch/>
                  </pic:blipFill>
                  <pic:spPr bwMode="auto">
                    <a:xfrm>
                      <a:off x="0" y="0"/>
                      <a:ext cx="38671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38834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  <w:bookmarkStart w:id="1" w:name="_Hlk129280314"/>
      <w:r w:rsidRPr="00D770C8">
        <w:rPr>
          <w:rFonts w:ascii="Palatino Linotype" w:hAnsi="Palatino Linotype"/>
          <w:b/>
          <w:bCs/>
          <w:sz w:val="20"/>
        </w:rPr>
        <w:t>Figure SI</w:t>
      </w:r>
      <w:r>
        <w:rPr>
          <w:rFonts w:ascii="Palatino Linotype" w:hAnsi="Palatino Linotype"/>
          <w:b/>
          <w:bCs/>
          <w:sz w:val="20"/>
        </w:rPr>
        <w:t>1</w:t>
      </w:r>
      <w:r w:rsidRPr="00D770C8">
        <w:rPr>
          <w:rFonts w:ascii="Palatino Linotype" w:hAnsi="Palatino Linotype"/>
          <w:b/>
          <w:bCs/>
          <w:sz w:val="20"/>
        </w:rPr>
        <w:t>.</w:t>
      </w:r>
      <w:r>
        <w:rPr>
          <w:rFonts w:ascii="Palatino Linotype" w:hAnsi="Palatino Linotype"/>
          <w:sz w:val="20"/>
        </w:rPr>
        <w:t xml:space="preserve"> Unit </w:t>
      </w:r>
      <w:r w:rsidRPr="003D3124">
        <w:rPr>
          <w:rFonts w:ascii="Palatino Linotype" w:hAnsi="Palatino Linotype"/>
          <w:sz w:val="20"/>
        </w:rPr>
        <w:t>cell of Gly-L-Ala.HI.H</w:t>
      </w:r>
      <w:r w:rsidRPr="003E464A">
        <w:rPr>
          <w:rFonts w:ascii="Palatino Linotype" w:hAnsi="Palatino Linotype"/>
          <w:sz w:val="20"/>
          <w:vertAlign w:val="subscript"/>
        </w:rPr>
        <w:t>2</w:t>
      </w:r>
      <w:r w:rsidRPr="003D3124">
        <w:rPr>
          <w:rFonts w:ascii="Palatino Linotype" w:hAnsi="Palatino Linotype"/>
          <w:sz w:val="20"/>
        </w:rPr>
        <w:t xml:space="preserve">O (Poly2) </w:t>
      </w:r>
      <w:bookmarkEnd w:id="1"/>
      <w:r w:rsidRPr="003D3124">
        <w:rPr>
          <w:rFonts w:ascii="Palatino Linotype" w:hAnsi="Palatino Linotype"/>
          <w:sz w:val="20"/>
        </w:rPr>
        <w:t>showing</w:t>
      </w:r>
      <w:r>
        <w:rPr>
          <w:rFonts w:ascii="Palatino Linotype" w:hAnsi="Palatino Linotype"/>
          <w:sz w:val="20"/>
        </w:rPr>
        <w:t xml:space="preserve"> the (010) plane, in yellow, perpendicular to the </w:t>
      </w:r>
      <w:r w:rsidRPr="00D770C8">
        <w:rPr>
          <w:rFonts w:ascii="Palatino Linotype" w:hAnsi="Palatino Linotype"/>
          <w:i/>
          <w:iCs/>
          <w:sz w:val="20"/>
        </w:rPr>
        <w:t>b</w:t>
      </w:r>
      <w:r>
        <w:rPr>
          <w:rFonts w:ascii="Palatino Linotype" w:hAnsi="Palatino Linotype"/>
          <w:sz w:val="20"/>
        </w:rPr>
        <w:t xml:space="preserve"> axis.</w:t>
      </w:r>
    </w:p>
    <w:p w14:paraId="458D3ABC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</w:p>
    <w:p w14:paraId="56132446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  <w:r>
        <w:rPr>
          <w:noProof/>
          <w:lang w:val="pt-PT" w:eastAsia="pt-PT"/>
        </w:rPr>
        <w:drawing>
          <wp:inline distT="0" distB="0" distL="0" distR="0" wp14:anchorId="7A27B4CA" wp14:editId="604FA2B1">
            <wp:extent cx="2676525" cy="2588045"/>
            <wp:effectExtent l="0" t="0" r="0" b="0"/>
            <wp:docPr id="10" name="Imagem 10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r="11538"/>
                    <a:stretch/>
                  </pic:blipFill>
                  <pic:spPr bwMode="auto">
                    <a:xfrm>
                      <a:off x="0" y="0"/>
                      <a:ext cx="2682123" cy="259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637370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  <w:bookmarkStart w:id="2" w:name="_Hlk129280345"/>
      <w:r w:rsidRPr="003D3124">
        <w:rPr>
          <w:rFonts w:ascii="Palatino Linotype" w:hAnsi="Palatino Linotype"/>
          <w:b/>
          <w:bCs/>
          <w:sz w:val="20"/>
        </w:rPr>
        <w:t>Figure SI</w:t>
      </w:r>
      <w:r>
        <w:rPr>
          <w:rFonts w:ascii="Palatino Linotype" w:hAnsi="Palatino Linotype"/>
          <w:b/>
          <w:bCs/>
          <w:sz w:val="20"/>
        </w:rPr>
        <w:t>2</w:t>
      </w:r>
      <w:r>
        <w:rPr>
          <w:rFonts w:ascii="Palatino Linotype" w:hAnsi="Palatino Linotype"/>
          <w:sz w:val="20"/>
        </w:rPr>
        <w:t xml:space="preserve">. </w:t>
      </w:r>
      <w:r w:rsidRPr="003D3124">
        <w:rPr>
          <w:rFonts w:ascii="Palatino Linotype" w:hAnsi="Palatino Linotype"/>
          <w:sz w:val="20"/>
        </w:rPr>
        <w:t>Gly-L-Ala.HI.H</w:t>
      </w:r>
      <w:r w:rsidRPr="003E464A">
        <w:rPr>
          <w:rFonts w:ascii="Palatino Linotype" w:hAnsi="Palatino Linotype"/>
          <w:sz w:val="20"/>
          <w:vertAlign w:val="subscript"/>
        </w:rPr>
        <w:t>2</w:t>
      </w:r>
      <w:r w:rsidRPr="003D3124">
        <w:rPr>
          <w:rFonts w:ascii="Palatino Linotype" w:hAnsi="Palatino Linotype"/>
          <w:sz w:val="20"/>
        </w:rPr>
        <w:t>O (Poly2)</w:t>
      </w:r>
      <w:r>
        <w:rPr>
          <w:rFonts w:ascii="Palatino Linotype" w:hAnsi="Palatino Linotype"/>
          <w:sz w:val="20"/>
        </w:rPr>
        <w:t xml:space="preserve"> morphology </w:t>
      </w:r>
      <w:bookmarkEnd w:id="2"/>
      <w:r>
        <w:rPr>
          <w:rFonts w:ascii="Palatino Linotype" w:hAnsi="Palatino Linotype"/>
          <w:sz w:val="20"/>
        </w:rPr>
        <w:t>with (</w:t>
      </w:r>
      <w:proofErr w:type="spellStart"/>
      <w:r w:rsidRPr="0081055D">
        <w:rPr>
          <w:rFonts w:ascii="Palatino Linotype" w:hAnsi="Palatino Linotype"/>
          <w:i/>
          <w:sz w:val="20"/>
        </w:rPr>
        <w:t>hkl</w:t>
      </w:r>
      <w:proofErr w:type="spellEnd"/>
      <w:r>
        <w:rPr>
          <w:rFonts w:ascii="Palatino Linotype" w:hAnsi="Palatino Linotype"/>
          <w:sz w:val="20"/>
        </w:rPr>
        <w:t>) labels.</w:t>
      </w:r>
    </w:p>
    <w:p w14:paraId="7D5059A3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</w:p>
    <w:p w14:paraId="0E8BCD23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</w:p>
    <w:p w14:paraId="24496234" w14:textId="77777777" w:rsidR="001A2F27" w:rsidRDefault="001A2F27" w:rsidP="001A2F27">
      <w:pPr>
        <w:pStyle w:val="TAMainText"/>
        <w:spacing w:line="360" w:lineRule="auto"/>
        <w:ind w:firstLine="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noProof/>
          <w:sz w:val="20"/>
          <w:lang w:val="pt-PT" w:eastAsia="pt-PT"/>
        </w:rPr>
        <w:lastRenderedPageBreak/>
        <w:drawing>
          <wp:inline distT="0" distB="0" distL="0" distR="0" wp14:anchorId="6A213D22" wp14:editId="18334394">
            <wp:extent cx="5145405" cy="2705013"/>
            <wp:effectExtent l="0" t="0" r="0" b="635"/>
            <wp:docPr id="14" name="Imagem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9"/>
                    <a:stretch/>
                  </pic:blipFill>
                  <pic:spPr bwMode="auto">
                    <a:xfrm>
                      <a:off x="0" y="0"/>
                      <a:ext cx="5157660" cy="271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4917FE" w14:textId="77777777" w:rsidR="001A2F27" w:rsidRPr="0081055D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  <w:bookmarkStart w:id="3" w:name="_Hlk129280406"/>
      <w:r w:rsidRPr="0002462A">
        <w:rPr>
          <w:rFonts w:ascii="Palatino Linotype" w:hAnsi="Palatino Linotype"/>
          <w:b/>
          <w:bCs/>
          <w:sz w:val="20"/>
        </w:rPr>
        <w:t>Figure</w:t>
      </w:r>
      <w:r w:rsidRPr="0081055D">
        <w:rPr>
          <w:rFonts w:ascii="Palatino Linotype" w:hAnsi="Palatino Linotype"/>
          <w:sz w:val="20"/>
        </w:rPr>
        <w:t xml:space="preserve"> </w:t>
      </w:r>
      <w:r w:rsidRPr="0081055D">
        <w:rPr>
          <w:rFonts w:ascii="Palatino Linotype" w:hAnsi="Palatino Linotype"/>
          <w:b/>
          <w:sz w:val="20"/>
        </w:rPr>
        <w:t>SI3</w:t>
      </w:r>
      <w:r w:rsidRPr="0081055D">
        <w:rPr>
          <w:rFonts w:ascii="Palatino Linotype" w:hAnsi="Palatino Linotype"/>
          <w:sz w:val="20"/>
        </w:rPr>
        <w:t xml:space="preserve">. The main chain of the dipeptide molecule presents an almost planar </w:t>
      </w:r>
      <w:r w:rsidRPr="0081055D">
        <w:rPr>
          <w:rFonts w:ascii="Palatino Linotype" w:hAnsi="Palatino Linotype"/>
          <w:i/>
          <w:iCs/>
          <w:sz w:val="20"/>
        </w:rPr>
        <w:t>trans</w:t>
      </w:r>
      <w:r w:rsidRPr="0081055D">
        <w:rPr>
          <w:rFonts w:ascii="Palatino Linotype" w:hAnsi="Palatino Linotype"/>
          <w:sz w:val="20"/>
        </w:rPr>
        <w:t xml:space="preserve"> conformation </w:t>
      </w:r>
      <w:bookmarkEnd w:id="3"/>
      <w:r w:rsidRPr="0081055D">
        <w:rPr>
          <w:rFonts w:ascii="Palatino Linotype" w:hAnsi="Palatino Linotype"/>
          <w:sz w:val="20"/>
        </w:rPr>
        <w:t>between atoms N1 and C3.</w:t>
      </w:r>
    </w:p>
    <w:p w14:paraId="452A4078" w14:textId="77777777" w:rsidR="001A2F27" w:rsidRPr="0081055D" w:rsidRDefault="001A2F27" w:rsidP="001A2F27">
      <w:pPr>
        <w:pStyle w:val="TAMainText"/>
        <w:spacing w:line="360" w:lineRule="auto"/>
        <w:ind w:firstLine="0"/>
        <w:rPr>
          <w:rFonts w:ascii="Palatino Linotype" w:hAnsi="Palatino Linotype"/>
          <w:sz w:val="20"/>
        </w:rPr>
      </w:pPr>
    </w:p>
    <w:p w14:paraId="00F8033B" w14:textId="77777777" w:rsidR="001A2F27" w:rsidRPr="006F4B80" w:rsidRDefault="001A2F27" w:rsidP="001A2F27">
      <w:pPr>
        <w:spacing w:line="228" w:lineRule="auto"/>
        <w:rPr>
          <w:rFonts w:cs="Times"/>
          <w:b/>
        </w:rPr>
      </w:pPr>
      <w:r w:rsidRPr="0081055D">
        <w:rPr>
          <w:rFonts w:cs="Times"/>
          <w:b/>
        </w:rPr>
        <w:t>SI2.</w:t>
      </w:r>
      <w:r w:rsidRPr="0081055D">
        <w:rPr>
          <w:rFonts w:cs="Times"/>
        </w:rPr>
        <w:t xml:space="preserve">  </w:t>
      </w:r>
      <w:r w:rsidRPr="006F4B80">
        <w:rPr>
          <w:rFonts w:cs="Times"/>
          <w:b/>
        </w:rPr>
        <w:t>Thermogravimetric analysis (TGA)</w:t>
      </w:r>
    </w:p>
    <w:p w14:paraId="45A0946C" w14:textId="77777777" w:rsidR="001A2F27" w:rsidRPr="006F4B80" w:rsidRDefault="001A2F27" w:rsidP="001A2F27">
      <w:pPr>
        <w:spacing w:line="228" w:lineRule="auto"/>
      </w:pPr>
      <w:r w:rsidRPr="006F4B80">
        <w:rPr>
          <w:rFonts w:cs="Times"/>
          <w:bCs/>
        </w:rPr>
        <w:t xml:space="preserve">The TGA spectrum shows a small initial mass loss of 2% happening at 388 K that corresponding to the starting of water molecules evaporation. Above 473 K there is a considerable loss of mass (about 50%), correspondent to the degradation of the crystalline compound. The peak at 533 K corresponds to the fusion temperature of the dipeptide glycyl-l-alanine, is very close to the melting temperature reported for cyclo-glycyl-L-alanine which was 531 K. Therefore, the peak at 648 K, corresponds to the complete degradation of crystalline compound </w:t>
      </w:r>
      <w:r w:rsidRPr="006F4B80">
        <w:rPr>
          <w:rFonts w:cs="Times"/>
          <w:sz w:val="18"/>
          <w:szCs w:val="18"/>
        </w:rPr>
        <w:t>Gly-L-AlaHI.H</w:t>
      </w:r>
      <w:r w:rsidRPr="006F4B80">
        <w:rPr>
          <w:rFonts w:cs="Times"/>
          <w:sz w:val="18"/>
          <w:szCs w:val="18"/>
          <w:vertAlign w:val="subscript"/>
        </w:rPr>
        <w:t>2</w:t>
      </w:r>
      <w:r w:rsidRPr="006F4B80">
        <w:rPr>
          <w:rFonts w:cs="Times"/>
          <w:sz w:val="18"/>
          <w:szCs w:val="18"/>
        </w:rPr>
        <w:t>O (Poly2).</w:t>
      </w:r>
    </w:p>
    <w:p w14:paraId="3C6AD099" w14:textId="77777777" w:rsidR="001A2F27" w:rsidRPr="006F01F9" w:rsidRDefault="001A2F27" w:rsidP="001A2F27">
      <w:pPr>
        <w:spacing w:line="228" w:lineRule="auto"/>
        <w:jc w:val="center"/>
      </w:pPr>
      <w:r w:rsidRPr="006F4B80">
        <w:object w:dxaOrig="6767" w:dyaOrig="5174" w14:anchorId="74087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pt;height:253.05pt" o:ole="">
            <v:imagedata r:id="rId11" o:title=""/>
          </v:shape>
          <o:OLEObject Type="Embed" ProgID="Origin50.Graph" ShapeID="_x0000_i1025" DrawAspect="Content" ObjectID="_1740204789" r:id="rId12"/>
        </w:object>
      </w:r>
    </w:p>
    <w:p w14:paraId="68D148F5" w14:textId="77777777" w:rsidR="001A2F27" w:rsidRDefault="001A2F27" w:rsidP="001A2F27">
      <w:pPr>
        <w:spacing w:line="228" w:lineRule="auto"/>
        <w:jc w:val="left"/>
        <w:rPr>
          <w:rFonts w:cs="Times"/>
          <w:lang w:val="en-GB"/>
        </w:rPr>
      </w:pPr>
      <w:bookmarkStart w:id="4" w:name="_Hlk129280518"/>
      <w:r w:rsidRPr="006F4B80">
        <w:rPr>
          <w:rFonts w:cs="Times"/>
          <w:b/>
          <w:bCs/>
          <w:lang w:val="en-GB"/>
        </w:rPr>
        <w:t>Figure SI</w:t>
      </w:r>
      <w:r>
        <w:rPr>
          <w:rFonts w:cs="Times"/>
          <w:b/>
          <w:bCs/>
          <w:lang w:val="en-GB"/>
        </w:rPr>
        <w:t>4</w:t>
      </w:r>
      <w:r w:rsidRPr="006F4B80">
        <w:rPr>
          <w:rFonts w:cs="Times"/>
          <w:b/>
          <w:bCs/>
          <w:lang w:val="en-GB"/>
        </w:rPr>
        <w:t>.</w:t>
      </w:r>
      <w:r w:rsidRPr="006F4B80">
        <w:rPr>
          <w:rFonts w:cs="Times"/>
          <w:lang w:val="en-GB"/>
        </w:rPr>
        <w:t xml:space="preserve"> TGA spectra</w:t>
      </w:r>
      <w:bookmarkEnd w:id="4"/>
      <w:r w:rsidRPr="006F4B80">
        <w:rPr>
          <w:rFonts w:cs="Times"/>
          <w:lang w:val="en-GB"/>
        </w:rPr>
        <w:t xml:space="preserve"> of synthesized </w:t>
      </w:r>
      <w:bookmarkStart w:id="5" w:name="_Hlk113892780"/>
      <w:r w:rsidRPr="006F4B80">
        <w:rPr>
          <w:rFonts w:cs="Times"/>
          <w:lang w:val="en-GB"/>
        </w:rPr>
        <w:t>glycyl-l-alanine iodide hydrate crystals</w:t>
      </w:r>
      <w:bookmarkEnd w:id="5"/>
      <w:r w:rsidRPr="006F4B80">
        <w:rPr>
          <w:rFonts w:cs="Times"/>
          <w:lang w:val="en-GB"/>
        </w:rPr>
        <w:t>.</w:t>
      </w:r>
    </w:p>
    <w:p w14:paraId="3FE8D4DE" w14:textId="77777777" w:rsidR="001A2F27" w:rsidRDefault="001A2F27" w:rsidP="001A2F27">
      <w:pPr>
        <w:spacing w:line="228" w:lineRule="auto"/>
        <w:jc w:val="left"/>
        <w:rPr>
          <w:rFonts w:cs="Times"/>
          <w:lang w:val="en-GB"/>
        </w:rPr>
      </w:pPr>
    </w:p>
    <w:p w14:paraId="623B17C5" w14:textId="77777777" w:rsidR="001A2F27" w:rsidRPr="006F4B80" w:rsidRDefault="001A2F27" w:rsidP="001A2F27">
      <w:pPr>
        <w:spacing w:line="228" w:lineRule="auto"/>
        <w:jc w:val="left"/>
        <w:rPr>
          <w:rFonts w:cs="Times"/>
          <w:b/>
        </w:rPr>
      </w:pPr>
    </w:p>
    <w:p w14:paraId="100BD994" w14:textId="77777777" w:rsidR="001A2F27" w:rsidRPr="006F4B80" w:rsidRDefault="001A2F27" w:rsidP="001A2F27">
      <w:pPr>
        <w:pStyle w:val="TAMainText"/>
        <w:spacing w:after="240" w:line="228" w:lineRule="auto"/>
        <w:ind w:firstLine="0"/>
        <w:rPr>
          <w:rFonts w:ascii="Palatino Linotype" w:hAnsi="Palatino Linotype"/>
          <w:b/>
          <w:bCs/>
          <w:sz w:val="20"/>
        </w:rPr>
      </w:pPr>
      <w:r w:rsidRPr="006F4B80">
        <w:rPr>
          <w:rFonts w:ascii="Palatino Linotype" w:hAnsi="Palatino Linotype"/>
          <w:b/>
          <w:bCs/>
          <w:sz w:val="20"/>
        </w:rPr>
        <w:t>SI</w:t>
      </w:r>
      <w:r>
        <w:rPr>
          <w:rFonts w:ascii="Palatino Linotype" w:hAnsi="Palatino Linotype"/>
          <w:b/>
          <w:bCs/>
          <w:sz w:val="20"/>
        </w:rPr>
        <w:t>3</w:t>
      </w:r>
      <w:r w:rsidRPr="006F4B80">
        <w:rPr>
          <w:rFonts w:ascii="Palatino Linotype" w:hAnsi="Palatino Linotype"/>
          <w:b/>
          <w:bCs/>
          <w:sz w:val="20"/>
        </w:rPr>
        <w:t>. DSC analysis</w:t>
      </w:r>
    </w:p>
    <w:p w14:paraId="31A6C3A8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</w:rPr>
      </w:pPr>
      <w:r w:rsidRPr="006F4B80">
        <w:rPr>
          <w:rFonts w:ascii="Palatino Linotype" w:hAnsi="Palatino Linotype"/>
          <w:sz w:val="20"/>
        </w:rPr>
        <w:t>In figure SI</w:t>
      </w:r>
      <w:r>
        <w:rPr>
          <w:rFonts w:ascii="Palatino Linotype" w:hAnsi="Palatino Linotype"/>
          <w:sz w:val="20"/>
        </w:rPr>
        <w:t>5</w:t>
      </w:r>
      <w:r w:rsidRPr="006F4B80">
        <w:rPr>
          <w:rFonts w:ascii="Palatino Linotype" w:hAnsi="Palatino Linotype"/>
          <w:sz w:val="20"/>
        </w:rPr>
        <w:t>, the measured DSC of synthesized glycyl-l-alanine iodide hydrate crystals, shows one first peak at 363 K, area 5.55 J/g that indicates the starting of water loss in the structure. A second double peak shows at 388 K is followed by the maximum at 393 K with area 12.3 J/g corresponding to full loss of water. The cooling curve does not reproduce the heating curve, indicating that above 393 K the compound is not any more the initial one, according to what has just been stated before.</w:t>
      </w:r>
    </w:p>
    <w:p w14:paraId="65ACC30B" w14:textId="77777777" w:rsidR="001A2F27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</w:rPr>
      </w:pPr>
      <w:r w:rsidRPr="006F4B80">
        <w:rPr>
          <w:rFonts w:ascii="Palatino Linotype" w:hAnsi="Palatino Linotype"/>
          <w:sz w:val="20"/>
        </w:rPr>
        <w:object w:dxaOrig="6767" w:dyaOrig="5174" w14:anchorId="038EB27E">
          <v:shape id="_x0000_i1026" type="#_x0000_t75" style="width:382.05pt;height:275.65pt" o:ole="">
            <v:imagedata r:id="rId13" o:title="" cropbottom="3948f"/>
          </v:shape>
          <o:OLEObject Type="Embed" ProgID="Origin50.Graph" ShapeID="_x0000_i1026" DrawAspect="Content" ObjectID="_1740204790" r:id="rId14"/>
        </w:object>
      </w:r>
    </w:p>
    <w:p w14:paraId="2FC373FC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</w:rPr>
      </w:pPr>
    </w:p>
    <w:p w14:paraId="78454F1A" w14:textId="77777777" w:rsidR="001A2F27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  <w:bookmarkStart w:id="6" w:name="_Hlk129280547"/>
      <w:r w:rsidRPr="006F4B80">
        <w:rPr>
          <w:rFonts w:ascii="Palatino Linotype" w:hAnsi="Palatino Linotype"/>
          <w:b/>
          <w:bCs/>
          <w:sz w:val="20"/>
          <w:lang w:val="en-GB"/>
        </w:rPr>
        <w:t>Figure SI</w:t>
      </w:r>
      <w:r>
        <w:rPr>
          <w:rFonts w:ascii="Palatino Linotype" w:hAnsi="Palatino Linotype"/>
          <w:b/>
          <w:bCs/>
          <w:sz w:val="20"/>
          <w:lang w:val="en-GB"/>
        </w:rPr>
        <w:t>5</w:t>
      </w:r>
      <w:r w:rsidRPr="006F4B80">
        <w:rPr>
          <w:rFonts w:ascii="Palatino Linotype" w:hAnsi="Palatino Linotype"/>
          <w:sz w:val="20"/>
          <w:lang w:val="en-GB"/>
        </w:rPr>
        <w:t xml:space="preserve">. DSC spectra </w:t>
      </w:r>
      <w:bookmarkEnd w:id="6"/>
      <w:r w:rsidRPr="006F4B80">
        <w:rPr>
          <w:rFonts w:ascii="Palatino Linotype" w:hAnsi="Palatino Linotype"/>
          <w:sz w:val="20"/>
          <w:lang w:val="en-GB"/>
        </w:rPr>
        <w:t xml:space="preserve">of synthesized </w:t>
      </w:r>
      <w:r w:rsidRPr="006F4B80">
        <w:rPr>
          <w:rFonts w:ascii="Palatino Linotype" w:hAnsi="Palatino Linotype" w:cs="Times"/>
          <w:sz w:val="20"/>
          <w:lang w:val="en-GB"/>
        </w:rPr>
        <w:t>glycyl-l-alanine iodide hydrate</w:t>
      </w:r>
      <w:r w:rsidRPr="006F4B80">
        <w:rPr>
          <w:rFonts w:ascii="Palatino Linotype" w:hAnsi="Palatino Linotype"/>
          <w:sz w:val="20"/>
          <w:lang w:val="en-GB"/>
        </w:rPr>
        <w:t xml:space="preserve"> crystals.</w:t>
      </w:r>
    </w:p>
    <w:p w14:paraId="15F8A05E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</w:p>
    <w:p w14:paraId="7E2CFCCD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</w:rPr>
      </w:pPr>
    </w:p>
    <w:p w14:paraId="1EEB4FB1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bCs/>
          <w:sz w:val="20"/>
          <w:lang w:val="en-GB"/>
        </w:rPr>
      </w:pPr>
      <w:r w:rsidRPr="006F4B80">
        <w:rPr>
          <w:rFonts w:ascii="Palatino Linotype" w:hAnsi="Palatino Linotype"/>
          <w:b/>
          <w:bCs/>
          <w:sz w:val="20"/>
          <w:lang w:val="en-GB"/>
        </w:rPr>
        <w:t>SI</w:t>
      </w:r>
      <w:r>
        <w:rPr>
          <w:rFonts w:ascii="Palatino Linotype" w:hAnsi="Palatino Linotype"/>
          <w:b/>
          <w:bCs/>
          <w:sz w:val="20"/>
          <w:lang w:val="en-GB"/>
        </w:rPr>
        <w:t>4</w:t>
      </w:r>
      <w:r w:rsidRPr="006F4B80">
        <w:rPr>
          <w:rFonts w:ascii="Palatino Linotype" w:hAnsi="Palatino Linotype"/>
          <w:b/>
          <w:bCs/>
          <w:sz w:val="20"/>
          <w:lang w:val="en-GB"/>
        </w:rPr>
        <w:t>. FTIR-ATR analysis</w:t>
      </w:r>
    </w:p>
    <w:p w14:paraId="445CFFA9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bCs/>
          <w:sz w:val="20"/>
          <w:lang w:val="en-GB"/>
        </w:rPr>
      </w:pPr>
    </w:p>
    <w:p w14:paraId="3EC8BF60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  <w:lang w:val="en-GB"/>
        </w:rPr>
        <w:t>In Figure SI</w:t>
      </w:r>
      <w:r>
        <w:rPr>
          <w:rFonts w:ascii="Palatino Linotype" w:hAnsi="Palatino Linotype"/>
          <w:sz w:val="20"/>
          <w:lang w:val="en-GB"/>
        </w:rPr>
        <w:t>6</w:t>
      </w:r>
      <w:r w:rsidRPr="006F4B80">
        <w:rPr>
          <w:rFonts w:ascii="Palatino Linotype" w:hAnsi="Palatino Linotype"/>
          <w:sz w:val="20"/>
          <w:lang w:val="en-GB"/>
        </w:rPr>
        <w:t xml:space="preserve"> the measured FTIR-ATR between 550-3800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 is shown for a glycyl-l-alanine iodide hydrate powder sample. </w:t>
      </w:r>
    </w:p>
    <w:p w14:paraId="36629C91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  <w:lang w:val="en-GB"/>
        </w:rPr>
        <w:t>The intense and sharp band at 3475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 is assigned to the strong hydrogen-bonding established between internal water molecules and the oxygen atoms from the dipeptide bond.</w:t>
      </w:r>
      <w:r w:rsidRPr="006F4B80">
        <w:rPr>
          <w:rFonts w:ascii="Palatino Linotype" w:hAnsi="Palatino Linotype"/>
          <w:sz w:val="20"/>
        </w:rPr>
        <w:t xml:space="preserve"> The N–H stretching bands are relatively weak and appear at 3232 cm</w:t>
      </w:r>
      <w:r w:rsidRPr="006F4B80">
        <w:rPr>
          <w:rFonts w:ascii="Palatino Linotype" w:hAnsi="Palatino Linotype"/>
          <w:sz w:val="20"/>
          <w:vertAlign w:val="superscript"/>
        </w:rPr>
        <w:t>-1</w:t>
      </w:r>
      <w:r w:rsidRPr="006F4B80">
        <w:rPr>
          <w:rFonts w:ascii="Palatino Linotype" w:hAnsi="Palatino Linotype"/>
          <w:sz w:val="20"/>
        </w:rPr>
        <w:t xml:space="preserve"> and 3188 cm</w:t>
      </w:r>
      <w:r w:rsidRPr="006F4B80">
        <w:rPr>
          <w:rFonts w:ascii="Palatino Linotype" w:hAnsi="Palatino Linotype"/>
          <w:sz w:val="20"/>
          <w:vertAlign w:val="superscript"/>
        </w:rPr>
        <w:t>-1</w:t>
      </w:r>
      <w:r w:rsidRPr="006F4B80">
        <w:rPr>
          <w:rFonts w:ascii="Palatino Linotype" w:hAnsi="Palatino Linotype"/>
          <w:sz w:val="20"/>
        </w:rPr>
        <w:t>, while the C–H stretching bands are observed from 2960 to 3099 cm</w:t>
      </w:r>
      <w:r w:rsidRPr="006F4B80">
        <w:rPr>
          <w:rFonts w:ascii="Palatino Linotype" w:hAnsi="Palatino Linotype"/>
          <w:sz w:val="20"/>
          <w:vertAlign w:val="superscript"/>
        </w:rPr>
        <w:t>-1</w:t>
      </w:r>
      <w:r w:rsidRPr="006F4B80">
        <w:rPr>
          <w:rFonts w:ascii="Palatino Linotype" w:hAnsi="Palatino Linotype"/>
          <w:sz w:val="20"/>
        </w:rPr>
        <w:t xml:space="preserve"> region. Carbonyl stretching modes appear as sharp singlets at 1716 cm</w:t>
      </w:r>
      <w:r w:rsidRPr="006F4B80">
        <w:rPr>
          <w:rFonts w:ascii="Palatino Linotype" w:hAnsi="Palatino Linotype"/>
          <w:sz w:val="20"/>
          <w:vertAlign w:val="superscript"/>
        </w:rPr>
        <w:t>-1</w:t>
      </w:r>
      <w:r w:rsidRPr="006F4B80">
        <w:rPr>
          <w:rFonts w:ascii="Palatino Linotype" w:hAnsi="Palatino Linotype"/>
          <w:sz w:val="20"/>
        </w:rPr>
        <w:t xml:space="preserve"> and 1649 cm</w:t>
      </w:r>
      <w:r w:rsidRPr="006F4B80">
        <w:rPr>
          <w:rFonts w:ascii="Palatino Linotype" w:hAnsi="Palatino Linotype"/>
          <w:sz w:val="20"/>
          <w:vertAlign w:val="superscript"/>
        </w:rPr>
        <w:t>-1</w:t>
      </w:r>
      <w:r w:rsidRPr="006F4B80">
        <w:rPr>
          <w:rFonts w:ascii="Palatino Linotype" w:hAnsi="Palatino Linotype"/>
          <w:sz w:val="20"/>
        </w:rPr>
        <w:t xml:space="preserve">. These results are in accordance to those reported in the literature for the </w:t>
      </w:r>
      <w:bookmarkStart w:id="7" w:name="_Hlk128411991"/>
      <w:r w:rsidRPr="006F4B80">
        <w:rPr>
          <w:rFonts w:ascii="Palatino Linotype" w:hAnsi="Palatino Linotype"/>
          <w:sz w:val="20"/>
          <w:lang w:val="en-GB"/>
        </w:rPr>
        <w:t>glycyl-l-alanine molecule</w:t>
      </w:r>
      <w:bookmarkEnd w:id="7"/>
      <w:r w:rsidRPr="006F4B80">
        <w:rPr>
          <w:rFonts w:ascii="Palatino Linotype" w:hAnsi="Palatino Linotype"/>
          <w:sz w:val="20"/>
          <w:lang w:val="en-GB"/>
        </w:rPr>
        <w:t xml:space="preserve"> </w:t>
      </w:r>
      <w:r w:rsidRPr="006F4B80">
        <w:rPr>
          <w:rFonts w:ascii="Palatino Linotype" w:hAnsi="Palatino Linotype"/>
          <w:sz w:val="20"/>
          <w:lang w:val="en-GB"/>
        </w:rPr>
        <w:fldChar w:fldCharType="begin"/>
      </w:r>
      <w:r>
        <w:rPr>
          <w:rFonts w:ascii="Palatino Linotype" w:hAnsi="Palatino Linotype"/>
          <w:sz w:val="20"/>
          <w:lang w:val="en-GB"/>
        </w:rPr>
        <w:instrText xml:space="preserve"> ADDIN EN.CITE &lt;EndNote&gt;&lt;Cite&gt;&lt;Author&gt;Tulip&lt;/Author&gt;&lt;Year&gt;2009&lt;/Year&gt;&lt;RecNum&gt;6566&lt;/RecNum&gt;&lt;DisplayText&gt;[3]&lt;/DisplayText&gt;&lt;record&gt;&lt;rec-number&gt;6566&lt;/rec-number&gt;&lt;foreign-keys&gt;&lt;key app="EN" db-id="fptx2zvfxw92wue0wf8vt50nae2vtaxfxs0v" timestamp="1677519762"&gt;6566&lt;/key&gt;&lt;/foreign-keys&gt;&lt;ref-type name="Journal Article"&gt;17&lt;/ref-type&gt;&lt;contributors&gt;&lt;authors&gt;&lt;author&gt;Tulip, P. R.&lt;/author&gt;&lt;author&gt;Bates, S. P.&lt;/author&gt;&lt;/authors&gt;&lt;/contributors&gt;&lt;titles&gt;&lt;title&gt;First principles determination of structural, electronic and lattice dynamical properties of a model dipeptide molecular crystal&lt;/title&gt;&lt;secondary-title&gt;Molecular Physics&lt;/secondary-title&gt;&lt;/titles&gt;&lt;periodical&gt;&lt;full-title&gt;Molecular Physics&lt;/full-title&gt;&lt;abbr-1&gt;Mol Phys&lt;/abbr-1&gt;&lt;/periodical&gt;&lt;pages&gt;2201-2212&lt;/pages&gt;&lt;volume&gt;107&lt;/volume&gt;&lt;number&gt;20&lt;/number&gt;&lt;dates&gt;&lt;year&gt;2009&lt;/year&gt;&lt;pub-dates&gt;&lt;date&gt;2009/10/20&lt;/date&gt;&lt;/pub-dates&gt;&lt;/dates&gt;&lt;publisher&gt;Taylor &amp;amp; Francis&lt;/publisher&gt;&lt;isbn&gt;0026-8976&lt;/isbn&gt;&lt;urls&gt;&lt;related-urls&gt;&lt;url&gt;https://doi.org/10.1080/00268970903224955&lt;/url&gt;&lt;/related-urls&gt;&lt;/urls&gt;&lt;electronic-resource-num&gt;10.1080/00268970903224955&lt;/electronic-resource-num&gt;&lt;/record&gt;&lt;/Cite&gt;&lt;/EndNote&gt;</w:instrText>
      </w:r>
      <w:r w:rsidRPr="006F4B80">
        <w:rPr>
          <w:rFonts w:ascii="Palatino Linotype" w:hAnsi="Palatino Linotype"/>
          <w:sz w:val="20"/>
          <w:lang w:val="en-GB"/>
        </w:rPr>
        <w:fldChar w:fldCharType="separate"/>
      </w:r>
      <w:r>
        <w:rPr>
          <w:rFonts w:ascii="Palatino Linotype" w:hAnsi="Palatino Linotype"/>
          <w:noProof/>
          <w:sz w:val="20"/>
          <w:lang w:val="en-GB"/>
        </w:rPr>
        <w:t>[</w:t>
      </w:r>
      <w:hyperlink w:anchor="_ENREF_3" w:tooltip="Tulip, 2009 #6566" w:history="1">
        <w:r>
          <w:rPr>
            <w:rFonts w:ascii="Palatino Linotype" w:hAnsi="Palatino Linotype"/>
            <w:noProof/>
            <w:sz w:val="20"/>
            <w:lang w:val="en-GB"/>
          </w:rPr>
          <w:t>3</w:t>
        </w:r>
      </w:hyperlink>
      <w:r>
        <w:rPr>
          <w:rFonts w:ascii="Palatino Linotype" w:hAnsi="Palatino Linotype"/>
          <w:noProof/>
          <w:sz w:val="20"/>
          <w:lang w:val="en-GB"/>
        </w:rPr>
        <w:t>]</w:t>
      </w:r>
      <w:r w:rsidRPr="006F4B80">
        <w:rPr>
          <w:rFonts w:ascii="Palatino Linotype" w:hAnsi="Palatino Linotype"/>
          <w:sz w:val="20"/>
          <w:lang w:val="en-GB"/>
        </w:rPr>
        <w:fldChar w:fldCharType="end"/>
      </w:r>
      <w:r w:rsidRPr="006F4B80">
        <w:rPr>
          <w:rFonts w:ascii="Palatino Linotype" w:hAnsi="Palatino Linotype"/>
          <w:sz w:val="20"/>
          <w:lang w:val="en-GB"/>
        </w:rPr>
        <w:t>. Deviation is observed in some bands, namely those related to asymmetric stretches in the terminal amine group, which can be explained by the fact that the dipeptide is in a different chemical environment due to its binding to the iodide ion and water molecule.</w:t>
      </w:r>
    </w:p>
    <w:p w14:paraId="001D4697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</w:p>
    <w:p w14:paraId="7E29AF25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</w:rPr>
        <w:object w:dxaOrig="6768" w:dyaOrig="5175" w14:anchorId="14624D0A">
          <v:shape id="_x0000_i1027" type="#_x0000_t75" style="width:336.9pt;height:258.45pt" o:ole="">
            <v:imagedata r:id="rId15" o:title=""/>
          </v:shape>
          <o:OLEObject Type="Embed" ProgID="Origin50.Graph" ShapeID="_x0000_i1027" DrawAspect="Content" ObjectID="_1740204791" r:id="rId16"/>
        </w:object>
      </w:r>
    </w:p>
    <w:p w14:paraId="203129A9" w14:textId="77777777" w:rsidR="001A2F27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  <w:lang w:val="en-GB"/>
        </w:rPr>
      </w:pPr>
      <w:bookmarkStart w:id="8" w:name="_Hlk129280572"/>
      <w:r w:rsidRPr="006F4B80">
        <w:rPr>
          <w:rFonts w:ascii="Palatino Linotype" w:hAnsi="Palatino Linotype"/>
          <w:b/>
          <w:bCs/>
          <w:sz w:val="20"/>
          <w:lang w:val="en-GB"/>
        </w:rPr>
        <w:t>Figure SI</w:t>
      </w:r>
      <w:r>
        <w:rPr>
          <w:rFonts w:ascii="Palatino Linotype" w:hAnsi="Palatino Linotype"/>
          <w:b/>
          <w:bCs/>
          <w:sz w:val="20"/>
          <w:lang w:val="en-GB"/>
        </w:rPr>
        <w:t>6</w:t>
      </w:r>
      <w:r w:rsidRPr="006F4B80">
        <w:rPr>
          <w:rFonts w:ascii="Palatino Linotype" w:hAnsi="Palatino Linotype"/>
          <w:b/>
          <w:bCs/>
          <w:sz w:val="20"/>
          <w:lang w:val="en-GB"/>
        </w:rPr>
        <w:t>.</w:t>
      </w:r>
      <w:r w:rsidRPr="006F4B80">
        <w:rPr>
          <w:rFonts w:ascii="Palatino Linotype" w:hAnsi="Palatino Linotype"/>
          <w:sz w:val="20"/>
          <w:lang w:val="en-GB"/>
        </w:rPr>
        <w:t xml:space="preserve"> FTIR-ATR spectra </w:t>
      </w:r>
      <w:bookmarkEnd w:id="8"/>
      <w:r w:rsidRPr="006F4B80">
        <w:rPr>
          <w:rFonts w:ascii="Palatino Linotype" w:hAnsi="Palatino Linotype"/>
          <w:sz w:val="20"/>
          <w:lang w:val="en-GB"/>
        </w:rPr>
        <w:t xml:space="preserve">of </w:t>
      </w:r>
      <w:r w:rsidRPr="006F4B80">
        <w:rPr>
          <w:rFonts w:ascii="Palatino Linotype" w:hAnsi="Palatino Linotype" w:cs="Times"/>
          <w:sz w:val="20"/>
          <w:lang w:val="en-GB"/>
        </w:rPr>
        <w:t>glycyl-l-alanine iodide hydrate</w:t>
      </w:r>
      <w:r w:rsidRPr="006F4B80">
        <w:rPr>
          <w:rFonts w:ascii="Palatino Linotype" w:hAnsi="Palatino Linotype"/>
          <w:sz w:val="20"/>
          <w:lang w:val="en-GB"/>
        </w:rPr>
        <w:t xml:space="preserve"> powder between 550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3800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>.</w:t>
      </w:r>
    </w:p>
    <w:p w14:paraId="19180CFE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  <w:lang w:val="en-GB"/>
        </w:rPr>
      </w:pPr>
    </w:p>
    <w:p w14:paraId="4AB72285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sz w:val="20"/>
          <w:lang w:val="en-GB"/>
        </w:rPr>
      </w:pPr>
    </w:p>
    <w:p w14:paraId="6EB435A2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bCs/>
          <w:sz w:val="20"/>
          <w:lang w:val="en-GB"/>
        </w:rPr>
      </w:pPr>
      <w:r w:rsidRPr="006F4B80">
        <w:rPr>
          <w:rFonts w:ascii="Palatino Linotype" w:hAnsi="Palatino Linotype"/>
          <w:b/>
          <w:bCs/>
          <w:sz w:val="20"/>
          <w:lang w:val="en-GB"/>
        </w:rPr>
        <w:t>SI</w:t>
      </w:r>
      <w:r>
        <w:rPr>
          <w:rFonts w:ascii="Palatino Linotype" w:hAnsi="Palatino Linotype"/>
          <w:b/>
          <w:bCs/>
          <w:sz w:val="20"/>
          <w:lang w:val="en-GB"/>
        </w:rPr>
        <w:t>5</w:t>
      </w:r>
      <w:r w:rsidRPr="006F4B80">
        <w:rPr>
          <w:rFonts w:ascii="Palatino Linotype" w:hAnsi="Palatino Linotype"/>
          <w:b/>
          <w:bCs/>
          <w:sz w:val="20"/>
          <w:lang w:val="en-GB"/>
        </w:rPr>
        <w:t>. RAMAN Spectra</w:t>
      </w:r>
    </w:p>
    <w:p w14:paraId="127A8895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bCs/>
          <w:sz w:val="20"/>
          <w:lang w:val="en-GB"/>
        </w:rPr>
      </w:pPr>
    </w:p>
    <w:p w14:paraId="01D67202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</w:rPr>
        <w:t>In Figure SI</w:t>
      </w:r>
      <w:r>
        <w:rPr>
          <w:rFonts w:ascii="Palatino Linotype" w:hAnsi="Palatino Linotype"/>
          <w:sz w:val="20"/>
        </w:rPr>
        <w:t>7</w:t>
      </w:r>
      <w:r w:rsidRPr="006F4B80">
        <w:rPr>
          <w:rFonts w:ascii="Palatino Linotype" w:hAnsi="Palatino Linotype"/>
          <w:sz w:val="20"/>
        </w:rPr>
        <w:t>, the measured Raman modes between</w:t>
      </w:r>
      <w:r w:rsidRPr="006F4B80">
        <w:rPr>
          <w:rFonts w:ascii="Palatino Linotype" w:hAnsi="Palatino Linotype"/>
          <w:sz w:val="20"/>
          <w:lang w:val="en-GB"/>
        </w:rPr>
        <w:t xml:space="preserve"> 50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, 800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1800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 and 2700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3500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 are shown for glycyl-l-alanine iodide hydrate polycrystalline sample. The measurements were made under no polarized light (black), vertical (VV, red) and horizontal (VH, blue) polarized light</w:t>
      </w:r>
      <w:r w:rsidRPr="006F4B80">
        <w:rPr>
          <w:rFonts w:ascii="Palatino Linotype" w:hAnsi="Palatino Linotype"/>
          <w:sz w:val="20"/>
        </w:rPr>
        <w:t xml:space="preserve">. In the spectra, the low frequency modes under 500 </w:t>
      </w:r>
      <w:r w:rsidRPr="006F4B80">
        <w:rPr>
          <w:rFonts w:ascii="Palatino Linotype" w:hAnsi="Palatino Linotype"/>
          <w:sz w:val="20"/>
          <w:lang w:val="en-GB"/>
        </w:rPr>
        <w:t>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 xml:space="preserve">-1 </w:t>
      </w:r>
      <w:r w:rsidRPr="006F4B80">
        <w:rPr>
          <w:rFonts w:ascii="Palatino Linotype" w:hAnsi="Palatino Linotype"/>
          <w:sz w:val="20"/>
        </w:rPr>
        <w:t xml:space="preserve">are due to crystal lattice vibrations. In the region </w:t>
      </w:r>
      <w:r w:rsidRPr="006F4B80">
        <w:rPr>
          <w:rFonts w:ascii="Palatino Linotype" w:hAnsi="Palatino Linotype"/>
          <w:sz w:val="20"/>
          <w:lang w:val="en-GB"/>
        </w:rPr>
        <w:t xml:space="preserve">800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1800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 xml:space="preserve">-1 </w:t>
      </w:r>
      <w:r w:rsidRPr="006F4B80">
        <w:rPr>
          <w:rFonts w:ascii="Palatino Linotype" w:hAnsi="Palatino Linotype"/>
          <w:sz w:val="20"/>
          <w:lang w:val="en-GB"/>
        </w:rPr>
        <w:t>there are 3 peaks, for which the relative intensities are for VV polarization smaller (935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 xml:space="preserve">-1 </w:t>
      </w:r>
      <w:r w:rsidRPr="006F4B80">
        <w:rPr>
          <w:rFonts w:ascii="Palatino Linotype" w:hAnsi="Palatino Linotype"/>
          <w:sz w:val="20"/>
          <w:lang w:val="en-GB"/>
        </w:rPr>
        <w:t>and 1276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>) or higher for VH polarization (1090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>). These indicates that although the sample was polycrystalline there was some preferential orientation on the crystallite’s distribution.</w:t>
      </w:r>
      <w:r w:rsidRPr="006F4B80">
        <w:rPr>
          <w:rFonts w:ascii="Palatino Linotype" w:hAnsi="Palatino Linotype"/>
        </w:rPr>
        <w:t xml:space="preserve"> </w:t>
      </w:r>
      <w:r w:rsidRPr="006F4B80">
        <w:rPr>
          <w:rFonts w:ascii="Palatino Linotype" w:hAnsi="Palatino Linotype"/>
          <w:sz w:val="20"/>
          <w:lang w:val="en-GB"/>
        </w:rPr>
        <w:t>It was not possible to compare the vibrations of the Raman modes with those of glycyl-l-alanine molecule because there is no information available in the literature.</w:t>
      </w:r>
    </w:p>
    <w:p w14:paraId="1AE05AD8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</w:p>
    <w:p w14:paraId="2C09D914" w14:textId="77777777" w:rsidR="001A2F27" w:rsidRPr="006F4B80" w:rsidRDefault="001A2F27" w:rsidP="001A2F27">
      <w:pPr>
        <w:pStyle w:val="TAMainText"/>
        <w:spacing w:line="228" w:lineRule="auto"/>
        <w:ind w:firstLine="0"/>
        <w:jc w:val="center"/>
        <w:rPr>
          <w:rFonts w:ascii="Palatino Linotype" w:hAnsi="Palatino Linotype"/>
          <w:b/>
          <w:bCs/>
          <w:sz w:val="20"/>
        </w:rPr>
      </w:pPr>
      <w:r w:rsidRPr="006F4B80">
        <w:rPr>
          <w:rFonts w:ascii="Palatino Linotype" w:hAnsi="Palatino Linotype"/>
          <w:b/>
          <w:bCs/>
          <w:noProof/>
          <w:sz w:val="20"/>
          <w:lang w:val="pt-PT" w:eastAsia="pt-PT"/>
        </w:rPr>
        <w:lastRenderedPageBreak/>
        <w:drawing>
          <wp:inline distT="0" distB="0" distL="0" distR="0" wp14:anchorId="01B452C5" wp14:editId="7DD80669">
            <wp:extent cx="5837525" cy="2694641"/>
            <wp:effectExtent l="0" t="0" r="0" b="0"/>
            <wp:docPr id="2" name="Imagem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" b="3881"/>
                    <a:stretch/>
                  </pic:blipFill>
                  <pic:spPr bwMode="auto">
                    <a:xfrm>
                      <a:off x="0" y="0"/>
                      <a:ext cx="5865490" cy="270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99F1F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  <w:bookmarkStart w:id="9" w:name="_Hlk129280594"/>
      <w:r w:rsidRPr="006F4B80">
        <w:rPr>
          <w:rFonts w:ascii="Palatino Linotype" w:hAnsi="Palatino Linotype"/>
          <w:b/>
          <w:bCs/>
          <w:sz w:val="20"/>
          <w:lang w:val="en-GB"/>
        </w:rPr>
        <w:t>Figure SI</w:t>
      </w:r>
      <w:r>
        <w:rPr>
          <w:rFonts w:ascii="Palatino Linotype" w:hAnsi="Palatino Linotype"/>
          <w:b/>
          <w:bCs/>
          <w:sz w:val="20"/>
          <w:lang w:val="en-GB"/>
        </w:rPr>
        <w:t>7</w:t>
      </w:r>
      <w:r w:rsidRPr="006F4B80">
        <w:rPr>
          <w:rFonts w:ascii="Palatino Linotype" w:hAnsi="Palatino Linotype"/>
          <w:b/>
          <w:bCs/>
          <w:sz w:val="20"/>
          <w:lang w:val="en-GB"/>
        </w:rPr>
        <w:t>.</w:t>
      </w:r>
      <w:r w:rsidRPr="006F4B80">
        <w:rPr>
          <w:rFonts w:ascii="Palatino Linotype" w:hAnsi="Palatino Linotype"/>
          <w:sz w:val="20"/>
          <w:lang w:val="en-GB"/>
        </w:rPr>
        <w:t xml:space="preserve"> Raman spectra </w:t>
      </w:r>
      <w:bookmarkEnd w:id="9"/>
      <w:r w:rsidRPr="006F4B80">
        <w:rPr>
          <w:rFonts w:ascii="Palatino Linotype" w:hAnsi="Palatino Linotype"/>
          <w:sz w:val="20"/>
          <w:lang w:val="en-GB"/>
        </w:rPr>
        <w:t xml:space="preserve">for glycyl-l-alanine iodide hydrate powder, expansions between 50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, 800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1800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 xml:space="preserve"> and 2700 </w:t>
      </w:r>
      <w:r w:rsidRPr="006F4B80">
        <w:rPr>
          <w:rFonts w:ascii="Palatino Linotype" w:hAnsi="Palatino Linotype"/>
          <w:sz w:val="20"/>
        </w:rPr>
        <w:t xml:space="preserve">– </w:t>
      </w:r>
      <w:r w:rsidRPr="006F4B80">
        <w:rPr>
          <w:rFonts w:ascii="Palatino Linotype" w:hAnsi="Palatino Linotype"/>
          <w:sz w:val="20"/>
          <w:lang w:val="en-GB"/>
        </w:rPr>
        <w:t>3500 cm</w:t>
      </w:r>
      <w:r w:rsidRPr="006F4B80">
        <w:rPr>
          <w:rFonts w:ascii="Palatino Linotype" w:hAnsi="Palatino Linotype"/>
          <w:sz w:val="20"/>
          <w:vertAlign w:val="superscript"/>
          <w:lang w:val="en-GB"/>
        </w:rPr>
        <w:t>-1</w:t>
      </w:r>
      <w:r w:rsidRPr="006F4B80">
        <w:rPr>
          <w:rFonts w:ascii="Palatino Linotype" w:hAnsi="Palatino Linotype"/>
          <w:sz w:val="20"/>
          <w:lang w:val="en-GB"/>
        </w:rPr>
        <w:t>.</w:t>
      </w:r>
    </w:p>
    <w:p w14:paraId="07BA2D59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</w:p>
    <w:p w14:paraId="0C6A74F2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  <w:lang w:val="en-GB"/>
        </w:rPr>
      </w:pPr>
    </w:p>
    <w:p w14:paraId="6B151192" w14:textId="77777777" w:rsidR="001A2F27" w:rsidRPr="006F4B80" w:rsidRDefault="001A2F27" w:rsidP="001A2F27">
      <w:pPr>
        <w:pStyle w:val="TAMainText"/>
        <w:spacing w:after="240" w:line="228" w:lineRule="auto"/>
        <w:ind w:firstLine="0"/>
        <w:rPr>
          <w:rFonts w:ascii="Palatino Linotype" w:hAnsi="Palatino Linotype"/>
          <w:b/>
          <w:sz w:val="22"/>
          <w:szCs w:val="22"/>
          <w:lang w:val="en-GB"/>
        </w:rPr>
      </w:pPr>
      <w:r w:rsidRPr="006F4B80">
        <w:rPr>
          <w:rFonts w:ascii="Palatino Linotype" w:hAnsi="Palatino Linotype"/>
          <w:b/>
          <w:sz w:val="22"/>
          <w:szCs w:val="22"/>
          <w:lang w:val="en-GB"/>
        </w:rPr>
        <w:t>SI</w:t>
      </w:r>
      <w:r>
        <w:rPr>
          <w:rFonts w:ascii="Palatino Linotype" w:hAnsi="Palatino Linotype"/>
          <w:b/>
          <w:sz w:val="22"/>
          <w:szCs w:val="22"/>
          <w:lang w:val="en-GB"/>
        </w:rPr>
        <w:t>6.</w:t>
      </w:r>
      <w:r w:rsidRPr="006F4B80">
        <w:rPr>
          <w:rFonts w:ascii="Palatino Linotype" w:hAnsi="Palatino Linotype"/>
          <w:b/>
          <w:sz w:val="22"/>
          <w:szCs w:val="22"/>
          <w:lang w:val="en-GB"/>
        </w:rPr>
        <w:t xml:space="preserve"> Second Harmonic Measurements</w:t>
      </w:r>
    </w:p>
    <w:p w14:paraId="22500DF2" w14:textId="77777777" w:rsidR="001A2F27" w:rsidRPr="006F4B80" w:rsidRDefault="001A2F27" w:rsidP="001A2F27">
      <w:pPr>
        <w:pStyle w:val="TAMainText"/>
        <w:spacing w:before="60" w:afterLines="60" w:after="195" w:line="228" w:lineRule="auto"/>
        <w:ind w:firstLine="0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  <w:lang w:val="en-GB"/>
        </w:rPr>
        <w:t xml:space="preserve">Figure </w:t>
      </w:r>
      <w:r w:rsidRPr="006F4B80">
        <w:rPr>
          <w:rFonts w:ascii="Palatino Linotype" w:hAnsi="Palatino Linotype"/>
          <w:bCs/>
          <w:sz w:val="20"/>
          <w:lang w:val="en-GB"/>
        </w:rPr>
        <w:t>SI</w:t>
      </w:r>
      <w:r>
        <w:rPr>
          <w:rFonts w:ascii="Palatino Linotype" w:hAnsi="Palatino Linotype"/>
          <w:bCs/>
          <w:sz w:val="20"/>
          <w:lang w:val="en-GB"/>
        </w:rPr>
        <w:t>8</w:t>
      </w:r>
      <w:r w:rsidRPr="006F4B80">
        <w:rPr>
          <w:rFonts w:ascii="Palatino Linotype" w:hAnsi="Palatino Linotype"/>
          <w:sz w:val="20"/>
          <w:lang w:val="en-GB"/>
        </w:rPr>
        <w:t xml:space="preserve"> shows a representative fit to the acquired second harmonic spectra that we expect to be approximately Gaussian as a function of frequency, i.e.</w:t>
      </w:r>
    </w:p>
    <w:p w14:paraId="7433B2C9" w14:textId="77777777" w:rsidR="001A2F27" w:rsidRPr="006F4B80" w:rsidRDefault="001A2F27" w:rsidP="001A2F27">
      <w:pPr>
        <w:pStyle w:val="MTDisplayEquation"/>
        <w:spacing w:afterLines="60" w:after="195"/>
        <w:ind w:left="0" w:firstLine="0"/>
        <w:rPr>
          <w:szCs w:val="20"/>
        </w:rPr>
      </w:pPr>
      <w:r w:rsidRPr="006F4B80">
        <w:rPr>
          <w:szCs w:val="20"/>
        </w:rPr>
        <w:t xml:space="preserve">                                                 </w:t>
      </w:r>
      <w:r w:rsidRPr="006F4B80">
        <w:rPr>
          <w:position w:val="-20"/>
          <w:szCs w:val="20"/>
        </w:rPr>
        <w:object w:dxaOrig="4200" w:dyaOrig="520" w14:anchorId="1A323421">
          <v:shape id="_x0000_i1028" type="#_x0000_t75" style="width:209.55pt;height:26.35pt" o:ole="">
            <v:imagedata r:id="rId18" o:title=""/>
          </v:shape>
          <o:OLEObject Type="Embed" ProgID="Equation.DSMT4" ShapeID="_x0000_i1028" DrawAspect="Content" ObjectID="_1740204792" r:id="rId19"/>
        </w:object>
      </w:r>
      <w:r w:rsidRPr="006F4B80">
        <w:rPr>
          <w:szCs w:val="20"/>
        </w:rPr>
        <w:t xml:space="preserve"> </w:t>
      </w:r>
    </w:p>
    <w:p w14:paraId="7E5EB9DC" w14:textId="77777777" w:rsidR="001A2F27" w:rsidRPr="006F4B80" w:rsidRDefault="001A2F27" w:rsidP="001A2F27">
      <w:pPr>
        <w:pStyle w:val="TAMainText"/>
        <w:spacing w:before="60" w:afterLines="60" w:after="195" w:line="228" w:lineRule="auto"/>
        <w:ind w:firstLine="0"/>
        <w:rPr>
          <w:rFonts w:ascii="Palatino Linotype" w:hAnsi="Palatino Linotype"/>
          <w:sz w:val="20"/>
          <w:lang w:val="en-GB"/>
        </w:rPr>
      </w:pPr>
      <w:r w:rsidRPr="006F4B80">
        <w:rPr>
          <w:rFonts w:ascii="Palatino Linotype" w:hAnsi="Palatino Linotype"/>
          <w:sz w:val="20"/>
          <w:lang w:val="en-GB"/>
        </w:rPr>
        <w:t xml:space="preserve">For these </w:t>
      </w:r>
      <w:proofErr w:type="gramStart"/>
      <w:r w:rsidRPr="006F4B80">
        <w:rPr>
          <w:rFonts w:ascii="Palatino Linotype" w:hAnsi="Palatino Linotype"/>
          <w:sz w:val="20"/>
          <w:lang w:val="en-GB"/>
        </w:rPr>
        <w:t>data</w:t>
      </w:r>
      <w:proofErr w:type="gramEnd"/>
      <w:r w:rsidRPr="006F4B80">
        <w:rPr>
          <w:rFonts w:ascii="Palatino Linotype" w:hAnsi="Palatino Linotype"/>
          <w:sz w:val="20"/>
          <w:lang w:val="en-GB"/>
        </w:rPr>
        <w:t xml:space="preserve"> the fit yields a background B = -3.4 </w:t>
      </w:r>
      <w:r w:rsidRPr="006F4B80">
        <w:rPr>
          <w:rFonts w:ascii="Palatino Linotype" w:hAnsi="Palatino Linotype" w:cs="Arial"/>
          <w:sz w:val="20"/>
          <w:lang w:val="en-GB"/>
        </w:rPr>
        <w:t xml:space="preserve">± </w:t>
      </w:r>
      <w:r w:rsidRPr="006F4B80">
        <w:rPr>
          <w:rFonts w:ascii="Palatino Linotype" w:hAnsi="Palatino Linotype"/>
          <w:sz w:val="20"/>
          <w:lang w:val="en-GB"/>
        </w:rPr>
        <w:t xml:space="preserve">0.3 Counts, an amplitude A = 828 </w:t>
      </w:r>
      <w:r w:rsidRPr="006F4B80">
        <w:rPr>
          <w:rFonts w:ascii="Palatino Linotype" w:hAnsi="Palatino Linotype" w:cs="Arial"/>
          <w:sz w:val="20"/>
          <w:lang w:val="en-GB"/>
        </w:rPr>
        <w:t xml:space="preserve">± </w:t>
      </w:r>
      <w:r w:rsidRPr="006F4B80">
        <w:rPr>
          <w:rFonts w:ascii="Palatino Linotype" w:hAnsi="Palatino Linotype"/>
          <w:sz w:val="20"/>
          <w:lang w:val="en-GB"/>
        </w:rPr>
        <w:t xml:space="preserve">2 Counts, a central frequency </w:t>
      </w:r>
      <w:r w:rsidRPr="006F4B80">
        <w:rPr>
          <w:rFonts w:ascii="Palatino Linotype" w:hAnsi="Palatino Linotype"/>
          <w:sz w:val="20"/>
          <w:lang w:val="en-GB"/>
        </w:rPr>
        <w:t></w:t>
      </w:r>
      <w:r w:rsidRPr="006F4B80">
        <w:rPr>
          <w:rFonts w:ascii="Palatino Linotype" w:hAnsi="Palatino Linotype"/>
          <w:sz w:val="20"/>
          <w:vertAlign w:val="subscript"/>
          <w:lang w:val="en-GB"/>
        </w:rPr>
        <w:t>0</w:t>
      </w:r>
      <w:r w:rsidRPr="006F4B80">
        <w:rPr>
          <w:rFonts w:ascii="Palatino Linotype" w:hAnsi="Palatino Linotype"/>
          <w:sz w:val="20"/>
          <w:lang w:val="en-GB"/>
        </w:rPr>
        <w:t xml:space="preserve"> = 753.31</w:t>
      </w:r>
      <w:r w:rsidRPr="006F4B80">
        <w:rPr>
          <w:rFonts w:ascii="Palatino Linotype" w:hAnsi="Palatino Linotype" w:cs="Arial"/>
          <w:sz w:val="20"/>
          <w:lang w:val="en-GB"/>
        </w:rPr>
        <w:t>±</w:t>
      </w:r>
      <w:r w:rsidRPr="006F4B80">
        <w:rPr>
          <w:rFonts w:ascii="Palatino Linotype" w:hAnsi="Palatino Linotype"/>
          <w:sz w:val="20"/>
          <w:lang w:val="en-GB"/>
        </w:rPr>
        <w:t>0.01 THz and a full width half maximum frequency of</w:t>
      </w:r>
      <w:r w:rsidRPr="006F4B80">
        <w:rPr>
          <w:rFonts w:ascii="Palatino Linotype" w:hAnsi="Palatino Linotype"/>
          <w:sz w:val="20"/>
          <w:lang w:val="en-GB"/>
        </w:rPr>
        <w:t></w:t>
      </w:r>
      <w:r w:rsidRPr="006F4B80">
        <w:rPr>
          <w:rFonts w:ascii="Palatino Linotype" w:hAnsi="Palatino Linotype"/>
          <w:sz w:val="20"/>
          <w:lang w:val="en-GB"/>
        </w:rPr>
        <w:t></w:t>
      </w:r>
      <w:r w:rsidRPr="006F4B80">
        <w:rPr>
          <w:rFonts w:ascii="Palatino Linotype" w:hAnsi="Palatino Linotype"/>
          <w:sz w:val="20"/>
          <w:lang w:val="en-GB"/>
        </w:rPr>
        <w:t xml:space="preserve"> = 8.11 </w:t>
      </w:r>
      <w:r w:rsidRPr="006F4B80">
        <w:rPr>
          <w:rFonts w:ascii="Palatino Linotype" w:hAnsi="Palatino Linotype" w:cs="Arial"/>
          <w:sz w:val="20"/>
          <w:lang w:val="en-GB"/>
        </w:rPr>
        <w:t xml:space="preserve">± </w:t>
      </w:r>
      <w:r w:rsidRPr="006F4B80">
        <w:rPr>
          <w:rFonts w:ascii="Palatino Linotype" w:hAnsi="Palatino Linotype"/>
          <w:sz w:val="20"/>
          <w:lang w:val="en-GB"/>
        </w:rPr>
        <w:t xml:space="preserve">0.02 THz. For reference, 759 THz corresponds to a wavelength of approximately 400nm: </w:t>
      </w:r>
    </w:p>
    <w:p w14:paraId="130D1C0B" w14:textId="77777777" w:rsidR="001A2F27" w:rsidRPr="006F4B80" w:rsidRDefault="001A2F27" w:rsidP="001A2F27">
      <w:pPr>
        <w:pStyle w:val="MDPI31text"/>
        <w:ind w:left="0" w:firstLine="0"/>
        <w:jc w:val="center"/>
      </w:pPr>
      <w:r w:rsidRPr="006F4B80">
        <w:rPr>
          <w:noProof/>
          <w:snapToGrid/>
          <w:lang w:val="pt-PT" w:eastAsia="pt-PT" w:bidi="ar-SA"/>
        </w:rPr>
        <w:drawing>
          <wp:inline distT="0" distB="0" distL="0" distR="0" wp14:anchorId="637AE8D9" wp14:editId="7D43C397">
            <wp:extent cx="3715966" cy="2786975"/>
            <wp:effectExtent l="0" t="0" r="0" b="0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07" cy="280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993DB" w14:textId="77777777" w:rsidR="001A2F27" w:rsidRPr="006F4B80" w:rsidRDefault="001A2F27" w:rsidP="001A2F27">
      <w:pPr>
        <w:pStyle w:val="MDPI31text"/>
        <w:ind w:left="0" w:firstLine="0"/>
        <w:rPr>
          <w:sz w:val="18"/>
          <w:szCs w:val="18"/>
        </w:rPr>
      </w:pPr>
      <w:bookmarkStart w:id="10" w:name="_Hlk129280627"/>
      <w:r w:rsidRPr="006F4B80">
        <w:rPr>
          <w:b/>
          <w:sz w:val="18"/>
          <w:szCs w:val="18"/>
        </w:rPr>
        <w:t>Figure SI</w:t>
      </w:r>
      <w:r>
        <w:rPr>
          <w:b/>
          <w:sz w:val="18"/>
          <w:szCs w:val="18"/>
        </w:rPr>
        <w:t>8</w:t>
      </w:r>
      <w:r>
        <w:rPr>
          <w:sz w:val="18"/>
          <w:szCs w:val="18"/>
        </w:rPr>
        <w:t xml:space="preserve">. </w:t>
      </w:r>
      <w:r w:rsidRPr="006F4B80">
        <w:rPr>
          <w:sz w:val="18"/>
          <w:szCs w:val="18"/>
        </w:rPr>
        <w:t xml:space="preserve">An example of the Gaussian fit </w:t>
      </w:r>
      <w:bookmarkEnd w:id="10"/>
      <w:r w:rsidRPr="006F4B80">
        <w:rPr>
          <w:sz w:val="18"/>
          <w:szCs w:val="18"/>
        </w:rPr>
        <w:t xml:space="preserve">to the obtained spectra. Blue circles represent the data points while the back line is the best least squares fit to the data. </w:t>
      </w:r>
    </w:p>
    <w:p w14:paraId="19AA2BCD" w14:textId="77777777" w:rsidR="001A2F27" w:rsidRPr="006F4B80" w:rsidRDefault="001A2F27" w:rsidP="001A2F27">
      <w:pPr>
        <w:pStyle w:val="MDPI22heading2"/>
        <w:ind w:left="0"/>
        <w:jc w:val="both"/>
        <w:rPr>
          <w:i w:val="0"/>
        </w:rPr>
      </w:pPr>
      <w:r w:rsidRPr="006F4B80">
        <w:rPr>
          <w:i w:val="0"/>
        </w:rPr>
        <w:lastRenderedPageBreak/>
        <w:t>For crystals belonging to point group 2, the nonlinear ssuceptibility tensor takes the form:</w:t>
      </w:r>
    </w:p>
    <w:p w14:paraId="305F1909" w14:textId="77777777" w:rsidR="001A2F27" w:rsidRPr="006F4B80" w:rsidRDefault="001A2F27" w:rsidP="001A2F27">
      <w:pPr>
        <w:pStyle w:val="MainText"/>
        <w:spacing w:line="228" w:lineRule="auto"/>
        <w:ind w:left="567"/>
        <w:jc w:val="center"/>
        <w:rPr>
          <w:rFonts w:ascii="Palatino Linotype" w:hAnsi="Palatino Linotype"/>
          <w:sz w:val="20"/>
          <w:szCs w:val="20"/>
        </w:rPr>
      </w:pPr>
      <w:r w:rsidRPr="006F4B80">
        <w:rPr>
          <w:rFonts w:ascii="Palatino Linotype" w:hAnsi="Palatino Linotype"/>
          <w:sz w:val="20"/>
          <w:szCs w:val="20"/>
        </w:rPr>
        <w:t xml:space="preserve">                                   </w:t>
      </w:r>
      <w:r w:rsidRPr="006F4B80">
        <w:rPr>
          <w:rFonts w:ascii="Palatino Linotype" w:hAnsi="Palatino Linotype"/>
          <w:position w:val="-90"/>
          <w:sz w:val="20"/>
          <w:szCs w:val="20"/>
        </w:rPr>
        <w:object w:dxaOrig="4700" w:dyaOrig="1900" w14:anchorId="13069202">
          <v:shape id="_x0000_i1029" type="#_x0000_t75" style="width:243.4pt;height:87.6pt" o:ole="">
            <v:imagedata r:id="rId21" o:title=""/>
          </v:shape>
          <o:OLEObject Type="Embed" ProgID="Equation.DSMT4" ShapeID="_x0000_i1029" DrawAspect="Content" ObjectID="_1740204793" r:id="rId22"/>
        </w:object>
      </w:r>
      <w:r w:rsidRPr="006F4B80">
        <w:rPr>
          <w:rFonts w:ascii="Palatino Linotype" w:hAnsi="Palatino Linotype"/>
          <w:iCs/>
          <w:sz w:val="20"/>
          <w:szCs w:val="20"/>
          <w:lang w:val="en-GB"/>
        </w:rPr>
        <w:tab/>
        <w:t xml:space="preserve">      </w:t>
      </w:r>
      <w:r w:rsidRPr="006F4B80">
        <w:rPr>
          <w:rFonts w:ascii="Palatino Linotype" w:hAnsi="Palatino Linotype"/>
          <w:iCs/>
          <w:sz w:val="20"/>
          <w:szCs w:val="20"/>
          <w:lang w:val="en-GB"/>
        </w:rPr>
        <w:tab/>
        <w:t xml:space="preserve">                        </w:t>
      </w:r>
      <w:r w:rsidRPr="006F4B80">
        <w:rPr>
          <w:rFonts w:ascii="Palatino Linotype" w:hAnsi="Palatino Linotype"/>
          <w:sz w:val="20"/>
          <w:szCs w:val="20"/>
        </w:rPr>
        <w:t>(1)</w:t>
      </w:r>
    </w:p>
    <w:p w14:paraId="4B5045A3" w14:textId="77777777" w:rsidR="001A2F27" w:rsidRPr="006F4B80" w:rsidRDefault="001A2F27" w:rsidP="001A2F27">
      <w:pPr>
        <w:pStyle w:val="MDPI22heading2"/>
        <w:ind w:left="0"/>
        <w:jc w:val="both"/>
        <w:rPr>
          <w:i w:val="0"/>
          <w:iCs/>
          <w:color w:val="auto"/>
          <w:szCs w:val="20"/>
          <w:lang w:val="en-GB"/>
        </w:rPr>
      </w:pPr>
      <w:r w:rsidRPr="006F4B80">
        <w:rPr>
          <w:i w:val="0"/>
          <w:iCs/>
          <w:color w:val="auto"/>
          <w:szCs w:val="20"/>
          <w:lang w:val="en-GB"/>
        </w:rPr>
        <w:t xml:space="preserve">Here, 1, 2 and 3 (or </w:t>
      </w:r>
      <w:r w:rsidRPr="006F4B80">
        <w:rPr>
          <w:iCs/>
          <w:color w:val="auto"/>
          <w:szCs w:val="20"/>
          <w:lang w:val="en-GB"/>
        </w:rPr>
        <w:t>x</w:t>
      </w:r>
      <w:r w:rsidRPr="006F4B80">
        <w:rPr>
          <w:i w:val="0"/>
          <w:iCs/>
          <w:color w:val="auto"/>
          <w:szCs w:val="20"/>
          <w:lang w:val="en-GB"/>
        </w:rPr>
        <w:t xml:space="preserve"> , </w:t>
      </w:r>
      <w:r w:rsidRPr="006F4B80">
        <w:rPr>
          <w:iCs/>
          <w:color w:val="auto"/>
          <w:szCs w:val="20"/>
          <w:lang w:val="en-GB"/>
        </w:rPr>
        <w:t>y</w:t>
      </w:r>
      <w:r w:rsidRPr="006F4B80">
        <w:rPr>
          <w:i w:val="0"/>
          <w:iCs/>
          <w:color w:val="auto"/>
          <w:szCs w:val="20"/>
          <w:lang w:val="en-GB"/>
        </w:rPr>
        <w:t xml:space="preserve"> and z respectively) are the electric field components of the incident laser beam in the frame of the crystal’s principal dielectric axes with the crystallographic b axis taken to coincide with the direction of the dielectric y axis. If one assumes Kleinman sysmetry then </w:t>
      </w:r>
      <w:r w:rsidRPr="006F4B80">
        <w:rPr>
          <w:color w:val="auto"/>
          <w:szCs w:val="20"/>
          <w:lang w:val="en-GB"/>
        </w:rPr>
        <w:t>d</w:t>
      </w:r>
      <w:r w:rsidRPr="006F4B80">
        <w:rPr>
          <w:color w:val="auto"/>
          <w:szCs w:val="20"/>
          <w:vertAlign w:val="subscript"/>
          <w:lang w:val="en-GB"/>
        </w:rPr>
        <w:t>21</w:t>
      </w:r>
      <w:r w:rsidRPr="006F4B80">
        <w:rPr>
          <w:color w:val="auto"/>
          <w:szCs w:val="20"/>
          <w:lang w:val="en-GB"/>
        </w:rPr>
        <w:t xml:space="preserve"> = d</w:t>
      </w:r>
      <w:r w:rsidRPr="006F4B80">
        <w:rPr>
          <w:color w:val="auto"/>
          <w:szCs w:val="20"/>
          <w:vertAlign w:val="subscript"/>
          <w:lang w:val="en-GB"/>
        </w:rPr>
        <w:t>16</w:t>
      </w:r>
      <w:r w:rsidRPr="006F4B80">
        <w:rPr>
          <w:color w:val="auto"/>
          <w:szCs w:val="20"/>
          <w:lang w:val="en-GB"/>
        </w:rPr>
        <w:t>; d</w:t>
      </w:r>
      <w:r w:rsidRPr="006F4B80">
        <w:rPr>
          <w:color w:val="auto"/>
          <w:szCs w:val="20"/>
          <w:vertAlign w:val="subscript"/>
          <w:lang w:val="en-GB"/>
        </w:rPr>
        <w:t>25</w:t>
      </w:r>
      <w:r w:rsidRPr="006F4B80">
        <w:rPr>
          <w:color w:val="auto"/>
          <w:szCs w:val="20"/>
          <w:lang w:val="en-GB"/>
        </w:rPr>
        <w:t>=d</w:t>
      </w:r>
      <w:r w:rsidRPr="006F4B80">
        <w:rPr>
          <w:color w:val="auto"/>
          <w:szCs w:val="20"/>
          <w:vertAlign w:val="subscript"/>
          <w:lang w:val="en-GB"/>
        </w:rPr>
        <w:t>36</w:t>
      </w:r>
      <w:r w:rsidRPr="006F4B80">
        <w:rPr>
          <w:color w:val="auto"/>
          <w:szCs w:val="20"/>
          <w:lang w:val="en-GB"/>
        </w:rPr>
        <w:t>=d</w:t>
      </w:r>
      <w:r w:rsidRPr="006F4B80">
        <w:rPr>
          <w:color w:val="auto"/>
          <w:szCs w:val="20"/>
          <w:vertAlign w:val="subscript"/>
          <w:lang w:val="en-GB"/>
        </w:rPr>
        <w:t xml:space="preserve">14 </w:t>
      </w:r>
      <w:r w:rsidRPr="006F4B80">
        <w:rPr>
          <w:i w:val="0"/>
          <w:iCs/>
          <w:color w:val="auto"/>
          <w:szCs w:val="20"/>
          <w:lang w:val="en-GB"/>
        </w:rPr>
        <w:t>and</w:t>
      </w:r>
      <w:r w:rsidRPr="006F4B80">
        <w:rPr>
          <w:color w:val="auto"/>
          <w:szCs w:val="20"/>
          <w:lang w:val="en-GB"/>
        </w:rPr>
        <w:t xml:space="preserve"> d</w:t>
      </w:r>
      <w:r w:rsidRPr="006F4B80">
        <w:rPr>
          <w:color w:val="auto"/>
          <w:szCs w:val="20"/>
          <w:vertAlign w:val="subscript"/>
          <w:lang w:val="en-GB"/>
        </w:rPr>
        <w:t>34</w:t>
      </w:r>
      <w:r w:rsidRPr="006F4B80">
        <w:rPr>
          <w:color w:val="auto"/>
          <w:szCs w:val="20"/>
          <w:lang w:val="en-GB"/>
        </w:rPr>
        <w:t>=d</w:t>
      </w:r>
      <w:r w:rsidRPr="006F4B80">
        <w:rPr>
          <w:color w:val="auto"/>
          <w:szCs w:val="20"/>
          <w:vertAlign w:val="subscript"/>
          <w:lang w:val="en-GB"/>
        </w:rPr>
        <w:t>23</w:t>
      </w:r>
      <w:r w:rsidRPr="006F4B80">
        <w:rPr>
          <w:color w:val="auto"/>
          <w:szCs w:val="20"/>
          <w:lang w:val="en-GB"/>
        </w:rPr>
        <w:t>.</w:t>
      </w:r>
    </w:p>
    <w:p w14:paraId="618C501C" w14:textId="77777777" w:rsidR="001A2F27" w:rsidRPr="006F4B80" w:rsidRDefault="001A2F27" w:rsidP="001A2F27">
      <w:pPr>
        <w:pStyle w:val="MDPI22heading2"/>
        <w:ind w:left="0"/>
        <w:jc w:val="both"/>
        <w:rPr>
          <w:i w:val="0"/>
          <w:lang w:val="en-GB"/>
        </w:rPr>
      </w:pPr>
      <w:r w:rsidRPr="006F4B80">
        <w:rPr>
          <w:i w:val="0"/>
          <w:lang w:val="en-GB"/>
        </w:rPr>
        <w:t>For these biaxial crystals the two eigen polarizations for the slow</w:t>
      </w:r>
      <w:r>
        <w:rPr>
          <w:i w:val="0"/>
          <w:lang w:val="en-GB"/>
        </w:rPr>
        <w:t xml:space="preserve"> (</w:t>
      </w: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s</m:t>
            </m:r>
          </m:sub>
        </m:sSub>
      </m:oMath>
      <w:r>
        <w:rPr>
          <w:i w:val="0"/>
          <w:lang w:val="en-GB"/>
        </w:rPr>
        <w:t xml:space="preserve">) </w:t>
      </w:r>
      <w:r w:rsidRPr="006F4B80">
        <w:rPr>
          <w:i w:val="0"/>
          <w:lang w:val="en-GB"/>
        </w:rPr>
        <w:t xml:space="preserve">and fast </w:t>
      </w:r>
      <w:r>
        <w:rPr>
          <w:i w:val="0"/>
          <w:lang w:val="en-GB"/>
        </w:rPr>
        <w:t>(</w:t>
      </w:r>
      <m:oMath>
        <m:sSub>
          <m:sSubPr>
            <m:ctrlPr>
              <w:rPr>
                <w:rFonts w:ascii="Cambria Math" w:hAnsi="Cambria Math"/>
                <w:lang w:val="en-GB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lang w:val="en-GB"/>
                  </w:rPr>
                </m:ctrlPr>
              </m:accPr>
              <m:e>
                <m:r>
                  <w:rPr>
                    <w:rFonts w:ascii="Cambria Math" w:hAnsi="Cambria Math"/>
                    <w:lang w:val="en-GB"/>
                  </w:rPr>
                  <m:t>e</m:t>
                </m:r>
              </m:e>
            </m:acc>
          </m:e>
          <m:sub>
            <m:r>
              <w:rPr>
                <w:rFonts w:ascii="Cambria Math" w:hAnsi="Cambria Math"/>
                <w:lang w:val="en-GB"/>
              </w:rPr>
              <m:t>f</m:t>
            </m:r>
          </m:sub>
        </m:sSub>
      </m:oMath>
      <w:r>
        <w:rPr>
          <w:i w:val="0"/>
          <w:lang w:val="en-GB"/>
        </w:rPr>
        <w:t xml:space="preserve">) </w:t>
      </w:r>
      <w:r w:rsidRPr="006F4B80">
        <w:rPr>
          <w:i w:val="0"/>
          <w:lang w:val="en-GB"/>
        </w:rPr>
        <w:t xml:space="preserve">waves of a beam propagating at an aribitary direction described by the polar angles </w:t>
      </w:r>
      <w:r w:rsidRPr="006F4B80">
        <w:rPr>
          <w:i w:val="0"/>
          <w:position w:val="-14"/>
          <w:lang w:val="en-GB"/>
        </w:rPr>
        <w:object w:dxaOrig="600" w:dyaOrig="400" w14:anchorId="7E1C1D28">
          <v:shape id="_x0000_i1030" type="#_x0000_t75" style="width:25.25pt;height:16.65pt" o:ole="">
            <v:imagedata r:id="rId23" o:title=""/>
          </v:shape>
          <o:OLEObject Type="Embed" ProgID="Equation.DSMT4" ShapeID="_x0000_i1030" DrawAspect="Content" ObjectID="_1740204794" r:id="rId24"/>
        </w:object>
      </w:r>
      <w:r w:rsidRPr="006F4B80">
        <w:rPr>
          <w:i w:val="0"/>
          <w:lang w:val="en-GB"/>
        </w:rPr>
        <w:t xml:space="preserve"> relative to the crystal’s dielectric z-axis are</w:t>
      </w:r>
      <w:r w:rsidRPr="006F4B80">
        <w:rPr>
          <w:i w:val="0"/>
          <w:szCs w:val="20"/>
        </w:rPr>
        <w:t xml:space="preserve"> respectively</w:t>
      </w:r>
      <w:r w:rsidRPr="006F4B80">
        <w:rPr>
          <w:i w:val="0"/>
          <w:lang w:val="en-GB"/>
        </w:rPr>
        <w:t>:</w:t>
      </w:r>
    </w:p>
    <w:p w14:paraId="5EEA3077" w14:textId="77777777" w:rsidR="001A2F27" w:rsidRPr="006F4B80" w:rsidRDefault="001A2F27" w:rsidP="001A2F27">
      <w:pPr>
        <w:pStyle w:val="MTDisplayEquation"/>
        <w:ind w:left="567" w:firstLine="0"/>
        <w:jc w:val="center"/>
        <w:rPr>
          <w:i/>
          <w:lang w:val="en-GB"/>
        </w:rPr>
      </w:pPr>
      <w:r w:rsidRPr="006F4B80">
        <w:rPr>
          <w:lang w:val="en-GB"/>
        </w:rPr>
        <w:t xml:space="preserve">                                              </w:t>
      </w:r>
      <w:r w:rsidRPr="006F4B80">
        <w:rPr>
          <w:position w:val="-50"/>
          <w:lang w:val="en-GB"/>
        </w:rPr>
        <w:object w:dxaOrig="3379" w:dyaOrig="1120" w14:anchorId="17977DD9">
          <v:shape id="_x0000_i1031" type="#_x0000_t75" style="width:168.7pt;height:56.4pt" o:ole="">
            <v:imagedata r:id="rId25" o:title=""/>
          </v:shape>
          <o:OLEObject Type="Embed" ProgID="Equation.DSMT4" ShapeID="_x0000_i1031" DrawAspect="Content" ObjectID="_1740204795" r:id="rId26"/>
        </w:object>
      </w:r>
      <w:r w:rsidRPr="006F4B80">
        <w:rPr>
          <w:lang w:val="en-GB"/>
        </w:rPr>
        <w:t xml:space="preserve">                                                       (2a)</w:t>
      </w:r>
    </w:p>
    <w:p w14:paraId="59522D74" w14:textId="77777777" w:rsidR="001A2F27" w:rsidRPr="006F4B80" w:rsidRDefault="001A2F27" w:rsidP="001A2F27">
      <w:pPr>
        <w:pStyle w:val="MDPI22heading2"/>
        <w:ind w:left="567"/>
        <w:jc w:val="both"/>
        <w:rPr>
          <w:i w:val="0"/>
        </w:rPr>
      </w:pPr>
      <w:r w:rsidRPr="006F4B80">
        <w:rPr>
          <w:i w:val="0"/>
        </w:rPr>
        <w:t>and</w:t>
      </w:r>
    </w:p>
    <w:p w14:paraId="40A6AE61" w14:textId="77777777" w:rsidR="001A2F27" w:rsidRPr="006F4B80" w:rsidRDefault="001A2F27" w:rsidP="001A2F27">
      <w:pPr>
        <w:pStyle w:val="MDPI22heading2"/>
        <w:ind w:left="567"/>
        <w:jc w:val="both"/>
        <w:rPr>
          <w:i w:val="0"/>
        </w:rPr>
      </w:pPr>
    </w:p>
    <w:p w14:paraId="557CA703" w14:textId="77777777" w:rsidR="001A2F27" w:rsidRPr="006F4B80" w:rsidRDefault="001A2F27" w:rsidP="001A2F27">
      <w:pPr>
        <w:pStyle w:val="MDPI22heading2"/>
        <w:tabs>
          <w:tab w:val="left" w:pos="8222"/>
          <w:tab w:val="left" w:pos="8364"/>
        </w:tabs>
        <w:ind w:left="567"/>
        <w:jc w:val="center"/>
        <w:rPr>
          <w:i w:val="0"/>
          <w:lang w:val="en-GB"/>
        </w:rPr>
      </w:pPr>
      <w:r w:rsidRPr="006F4B80">
        <w:rPr>
          <w:lang w:val="en-GB"/>
        </w:rPr>
        <w:t xml:space="preserve">                                            </w:t>
      </w:r>
      <w:r w:rsidRPr="006F4B80">
        <w:rPr>
          <w:position w:val="-50"/>
          <w:lang w:val="en-GB"/>
        </w:rPr>
        <w:object w:dxaOrig="3580" w:dyaOrig="1120" w14:anchorId="29C39A1E">
          <v:shape id="_x0000_i1032" type="#_x0000_t75" style="width:180.55pt;height:56.4pt" o:ole="">
            <v:imagedata r:id="rId27" o:title=""/>
          </v:shape>
          <o:OLEObject Type="Embed" ProgID="Equation.DSMT4" ShapeID="_x0000_i1032" DrawAspect="Content" ObjectID="_1740204796" r:id="rId28"/>
        </w:object>
      </w:r>
      <w:r w:rsidRPr="006F4B80">
        <w:rPr>
          <w:lang w:val="en-GB"/>
        </w:rPr>
        <w:t xml:space="preserve">                   </w:t>
      </w:r>
      <w:r w:rsidRPr="006F4B80">
        <w:rPr>
          <w:lang w:val="en-GB"/>
        </w:rPr>
        <w:tab/>
        <w:t xml:space="preserve">               </w:t>
      </w:r>
      <w:r w:rsidRPr="006F4B80">
        <w:rPr>
          <w:i w:val="0"/>
          <w:lang w:val="en-GB"/>
        </w:rPr>
        <w:t>(2b)</w:t>
      </w:r>
    </w:p>
    <w:p w14:paraId="2A200DE2" w14:textId="77777777" w:rsidR="001A2F27" w:rsidRPr="006F4B80" w:rsidRDefault="001A2F27" w:rsidP="001A2F27">
      <w:pPr>
        <w:pStyle w:val="MDPI22heading2"/>
        <w:ind w:left="567"/>
        <w:jc w:val="center"/>
        <w:rPr>
          <w:i w:val="0"/>
        </w:rPr>
      </w:pPr>
    </w:p>
    <w:p w14:paraId="2AC1713E" w14:textId="77777777" w:rsidR="001A2F27" w:rsidRPr="006F4B80" w:rsidRDefault="001A2F27" w:rsidP="001A2F27">
      <w:pPr>
        <w:spacing w:line="228" w:lineRule="auto"/>
      </w:pPr>
      <w:r w:rsidRPr="006F4B80">
        <w:t xml:space="preserve">Here </w:t>
      </w:r>
      <w:r w:rsidRPr="006F4B80">
        <w:rPr>
          <w:position w:val="-6"/>
        </w:rPr>
        <w:object w:dxaOrig="220" w:dyaOrig="279" w14:anchorId="4FFC31C9">
          <v:shape id="_x0000_i1033" type="#_x0000_t75" style="width:11.8pt;height:14.5pt" o:ole="">
            <v:imagedata r:id="rId29" o:title=""/>
          </v:shape>
          <o:OLEObject Type="Embed" ProgID="Equation.DSMT4" ShapeID="_x0000_i1033" DrawAspect="Content" ObjectID="_1740204797" r:id="rId30"/>
        </w:object>
      </w:r>
      <w:r w:rsidRPr="006F4B80">
        <w:t xml:space="preserve"> is the angle between the polarization direction of the slow wave and the plane of propagation containing the z-axis </w:t>
      </w:r>
      <w:r w:rsidRPr="006F4B80">
        <w:fldChar w:fldCharType="begin"/>
      </w:r>
      <w:r>
        <w:instrText xml:space="preserve"> ADDIN EN.CITE &lt;EndNote&gt;&lt;Cite&gt;&lt;Author&gt;Tzankov&lt;/Author&gt;&lt;Year&gt;2005&lt;/Year&gt;&lt;RecNum&gt;6570&lt;/RecNum&gt;&lt;DisplayText&gt;[4]&lt;/DisplayText&gt;&lt;record&gt;&lt;rec-number&gt;6570&lt;/rec-number&gt;&lt;foreign-keys&gt;&lt;key app="EN" db-id="fptx2zvfxw92wue0wf8vt50nae2vtaxfxs0v" timestamp="1678216623"&gt;6570&lt;/key&gt;&lt;/foreign-keys&gt;&lt;ref-type name="Journal Article"&gt;17&lt;/ref-type&gt;&lt;contributors&gt;&lt;authors&gt;&lt;author&gt;Tzankov, Pancho&lt;/author&gt;&lt;author&gt;Petrov, Valentin&lt;/author&gt;&lt;/authors&gt;&lt;/contributors&gt;&lt;titles&gt;&lt;title&gt;Effective second-order nonlinearity in acentric optical crystals with low symmetry&lt;/title&gt;&lt;secondary-title&gt;Applied optics&lt;/secondary-title&gt;&lt;/titles&gt;&lt;periodical&gt;&lt;full-title&gt;Applied Optics&lt;/full-title&gt;&lt;abbr-1&gt;Appl Optics&lt;/abbr-1&gt;&lt;/periodical&gt;&lt;pages&gt;6971-6985&lt;/pages&gt;&lt;volume&gt;44&lt;/volume&gt;&lt;number&gt;32&lt;/number&gt;&lt;dates&gt;&lt;year&gt;2005&lt;/year&gt;&lt;/dates&gt;&lt;isbn&gt;2155-3165&lt;/isbn&gt;&lt;urls&gt;&lt;/urls&gt;&lt;/record&gt;&lt;/Cite&gt;&lt;/EndNote&gt;</w:instrText>
      </w:r>
      <w:r w:rsidRPr="006F4B80">
        <w:fldChar w:fldCharType="separate"/>
      </w:r>
      <w:r>
        <w:t>[</w:t>
      </w:r>
      <w:hyperlink w:anchor="_ENREF_4" w:tooltip="Tzankov, 2005 #6570" w:history="1">
        <w:r>
          <w:t>4</w:t>
        </w:r>
      </w:hyperlink>
      <w:r>
        <w:t>]</w:t>
      </w:r>
      <w:r w:rsidRPr="006F4B80">
        <w:fldChar w:fldCharType="end"/>
      </w:r>
      <w:r w:rsidRPr="006F4B80">
        <w:t xml:space="preserve">. Using these expressions it is possible to demonstrate that a fundamental beam propagating as an ordinary wave (extra-ordinary wave) incident along the dielectric y </w:t>
      </w:r>
      <w:r w:rsidRPr="006F4B80">
        <w:rPr>
          <w:position w:val="-14"/>
        </w:rPr>
        <w:object w:dxaOrig="1440" w:dyaOrig="400" w14:anchorId="190ED166">
          <v:shape id="_x0000_i1034" type="#_x0000_t75" style="width:49.45pt;height:13.45pt" o:ole="">
            <v:imagedata r:id="rId31" o:title=""/>
          </v:shape>
          <o:OLEObject Type="Embed" ProgID="Equation.DSMT4" ShapeID="_x0000_i1034" DrawAspect="Content" ObjectID="_1740204798" r:id="rId32"/>
        </w:object>
      </w:r>
      <w:r w:rsidRPr="006F4B80">
        <w:t xml:space="preserve"> axis will not generate any extraordinary (ordinary) second harmonic light </w:t>
      </w:r>
      <w:r w:rsidRPr="006F4B80">
        <w:fldChar w:fldCharType="begin"/>
      </w:r>
      <w:r>
        <w:instrText xml:space="preserve"> ADDIN EN.CITE &lt;EndNote&gt;&lt;Cite&gt;&lt;Author&gt;Tzankov&lt;/Author&gt;&lt;Year&gt;2005&lt;/Year&gt;&lt;RecNum&gt;6570&lt;/RecNum&gt;&lt;DisplayText&gt;[4]&lt;/DisplayText&gt;&lt;record&gt;&lt;rec-number&gt;6570&lt;/rec-number&gt;&lt;foreign-keys&gt;&lt;key app="EN" db-id="fptx2zvfxw92wue0wf8vt50nae2vtaxfxs0v" timestamp="1678216623"&gt;6570&lt;/key&gt;&lt;/foreign-keys&gt;&lt;ref-type name="Journal Article"&gt;17&lt;/ref-type&gt;&lt;contributors&gt;&lt;authors&gt;&lt;author&gt;Tzankov, Pancho&lt;/author&gt;&lt;author&gt;Petrov, Valentin&lt;/author&gt;&lt;/authors&gt;&lt;/contributors&gt;&lt;titles&gt;&lt;title&gt;Effective second-order nonlinearity in acentric optical crystals with low symmetry&lt;/title&gt;&lt;secondary-title&gt;Applied optics&lt;/secondary-title&gt;&lt;/titles&gt;&lt;periodical&gt;&lt;full-title&gt;Applied Optics&lt;/full-title&gt;&lt;abbr-1&gt;Appl Optics&lt;/abbr-1&gt;&lt;/periodical&gt;&lt;pages&gt;6971-6985&lt;/pages&gt;&lt;volume&gt;44&lt;/volume&gt;&lt;number&gt;32&lt;/number&gt;&lt;dates&gt;&lt;year&gt;2005&lt;/year&gt;&lt;/dates&gt;&lt;isbn&gt;2155-3165&lt;/isbn&gt;&lt;urls&gt;&lt;/urls&gt;&lt;/record&gt;&lt;/Cite&gt;&lt;/EndNote&gt;</w:instrText>
      </w:r>
      <w:r w:rsidRPr="006F4B80">
        <w:fldChar w:fldCharType="separate"/>
      </w:r>
      <w:r>
        <w:t>[</w:t>
      </w:r>
      <w:hyperlink w:anchor="_ENREF_4" w:tooltip="Tzankov, 2005 #6570" w:history="1">
        <w:r>
          <w:t>4</w:t>
        </w:r>
      </w:hyperlink>
      <w:r>
        <w:t>]</w:t>
      </w:r>
      <w:r w:rsidRPr="006F4B80">
        <w:fldChar w:fldCharType="end"/>
      </w:r>
      <w:r w:rsidRPr="006F4B80">
        <w:t>. This precludes any chance of phase matching for beams travelling along the y dielectric axis due the dispersion between the fundamental and second harmonic waves. For beams that do propagate along or close to the y axis, appreciable second harmonic generation will in general only be observed when the incident beam waist is close to the exit surface.</w:t>
      </w:r>
    </w:p>
    <w:p w14:paraId="5A221EB4" w14:textId="77777777" w:rsidR="001A2F27" w:rsidRPr="006F4B80" w:rsidRDefault="001A2F27" w:rsidP="001A2F27">
      <w:pPr>
        <w:pStyle w:val="MDPI22heading2"/>
        <w:spacing w:before="0" w:after="160"/>
        <w:ind w:left="0"/>
        <w:jc w:val="both"/>
        <w:rPr>
          <w:i w:val="0"/>
        </w:rPr>
      </w:pPr>
      <w:r w:rsidRPr="006F4B80">
        <w:rPr>
          <w:i w:val="0"/>
        </w:rPr>
        <w:t xml:space="preserve">To carry out the fit shown in Figure 15 of the main text, we followed the “double integral method” developed by Wang and Weiner </w:t>
      </w:r>
      <w:r w:rsidRPr="006F4B80">
        <w:rPr>
          <w:i w:val="0"/>
        </w:rPr>
        <w:fldChar w:fldCharType="begin"/>
      </w:r>
      <w:r>
        <w:rPr>
          <w:i w:val="0"/>
        </w:rPr>
        <w:instrText xml:space="preserve"> ADDIN EN.CITE &lt;EndNote&gt;&lt;Cite&gt;&lt;Author&gt;Wang&lt;/Author&gt;&lt;Year&gt;2003&lt;/Year&gt;&lt;RecNum&gt;6572&lt;/RecNum&gt;&lt;DisplayText&gt;[5]&lt;/DisplayText&gt;&lt;record&gt;&lt;rec-number&gt;6572&lt;/rec-number&gt;&lt;foreign-keys&gt;&lt;key app="EN" db-id="fptx2zvfxw92wue0wf8vt50nae2vtaxfxs0v" timestamp="1678217012"&gt;6572&lt;/key&gt;&lt;/foreign-keys&gt;&lt;ref-type name="Journal Article"&gt;17&lt;/ref-type&gt;&lt;contributors&gt;&lt;authors&gt;&lt;author&gt;Wang, Haifeng&lt;/author&gt;&lt;author&gt;Weiner, Andrew M&lt;/author&gt;&lt;/authors&gt;&lt;/contributors&gt;&lt;titles&gt;&lt;title&gt;Efficiency of short-pulse type-I second-harmonic generation with simultaneous spatial walk-off, temporal walk-off, and pump depletion&lt;/title&gt;&lt;secondary-title&gt;IEEE journal of quantum electronics&lt;/secondary-title&gt;&lt;/titles&gt;&lt;periodical&gt;&lt;full-title&gt;Ieee Journal of Quantum Electronics&lt;/full-title&gt;&lt;abbr-1&gt;Ieee J Quantum Elect&lt;/abbr-1&gt;&lt;/periodical&gt;&lt;pages&gt;1600-1618&lt;/pages&gt;&lt;volume&gt;39&lt;/volume&gt;&lt;number&gt;12&lt;/number&gt;&lt;dates&gt;&lt;year&gt;2003&lt;/year&gt;&lt;/dates&gt;&lt;isbn&gt;0018-9197&lt;/isbn&gt;&lt;urls&gt;&lt;/urls&gt;&lt;/record&gt;&lt;/Cite&gt;&lt;/EndNote&gt;</w:instrText>
      </w:r>
      <w:r w:rsidRPr="006F4B80">
        <w:rPr>
          <w:i w:val="0"/>
        </w:rPr>
        <w:fldChar w:fldCharType="separate"/>
      </w:r>
      <w:r>
        <w:rPr>
          <w:i w:val="0"/>
        </w:rPr>
        <w:t>[</w:t>
      </w:r>
      <w:hyperlink w:anchor="_ENREF_5" w:tooltip="Wang, 2003 #6572" w:history="1">
        <w:r>
          <w:rPr>
            <w:i w:val="0"/>
          </w:rPr>
          <w:t>5</w:t>
        </w:r>
      </w:hyperlink>
      <w:r>
        <w:rPr>
          <w:i w:val="0"/>
        </w:rPr>
        <w:t>]</w:t>
      </w:r>
      <w:r w:rsidRPr="006F4B80">
        <w:rPr>
          <w:i w:val="0"/>
        </w:rPr>
        <w:fldChar w:fldCharType="end"/>
      </w:r>
      <w:r w:rsidRPr="006F4B80">
        <w:rPr>
          <w:i w:val="0"/>
        </w:rPr>
        <w:t xml:space="preserve"> to describe second harmonic generation by ultrashort pulses in the simultaneous presence of spatial and temporal walk-off as well as phase mismatch. Assuming Gaussian temporal and spatial profiles with a transverse circular symmetry, Wang and Weiner arrive at the following expression for the energy of the second harmonic wave generated by a crystal of length L: </w:t>
      </w:r>
    </w:p>
    <w:p w14:paraId="6A00CEA8" w14:textId="77777777" w:rsidR="001A2F27" w:rsidRPr="006F4B80" w:rsidRDefault="001A2F27" w:rsidP="001A2F27">
      <w:pPr>
        <w:pStyle w:val="MTDisplayEquation"/>
        <w:ind w:left="567" w:firstLine="0"/>
        <w:jc w:val="center"/>
      </w:pPr>
      <w:r w:rsidRPr="006F4B80">
        <w:rPr>
          <w:position w:val="-80"/>
        </w:rPr>
        <w:object w:dxaOrig="5420" w:dyaOrig="1719" w14:anchorId="688406AD">
          <v:shape id="_x0000_i1035" type="#_x0000_t75" style="width:270.8pt;height:86.5pt" o:ole="">
            <v:imagedata r:id="rId33" o:title=""/>
          </v:shape>
          <o:OLEObject Type="Embed" ProgID="Equation.DSMT4" ShapeID="_x0000_i1035" DrawAspect="Content" ObjectID="_1740204799" r:id="rId34"/>
        </w:object>
      </w:r>
    </w:p>
    <w:p w14:paraId="3C04F91E" w14:textId="77777777" w:rsidR="001A2F27" w:rsidRPr="006F4B80" w:rsidRDefault="001A2F27" w:rsidP="001A2F27">
      <w:pPr>
        <w:spacing w:line="228" w:lineRule="auto"/>
        <w:ind w:left="567"/>
        <w:rPr>
          <w:i/>
        </w:rPr>
      </w:pPr>
    </w:p>
    <w:p w14:paraId="25D5D7EE" w14:textId="77777777" w:rsidR="001A2F27" w:rsidRPr="006F4B80" w:rsidRDefault="001A2F27" w:rsidP="001A2F27">
      <w:pPr>
        <w:pStyle w:val="MDPI22heading2"/>
        <w:ind w:left="0"/>
        <w:jc w:val="both"/>
        <w:rPr>
          <w:i w:val="0"/>
        </w:rPr>
      </w:pPr>
      <w:r w:rsidRPr="006F4B80">
        <w:rPr>
          <w:i w:val="0"/>
        </w:rPr>
        <w:t xml:space="preserve">Here the energies of the fundamental and second harmonic pulses are </w:t>
      </w:r>
      <w:r w:rsidRPr="006F4B80">
        <w:rPr>
          <w:i w:val="0"/>
          <w:position w:val="-12"/>
        </w:rPr>
        <w:object w:dxaOrig="340" w:dyaOrig="360" w14:anchorId="2C0105C6">
          <v:shape id="_x0000_i1036" type="#_x0000_t75" style="width:17.2pt;height:18.25pt" o:ole="">
            <v:imagedata r:id="rId35" o:title=""/>
          </v:shape>
          <o:OLEObject Type="Embed" ProgID="Equation.DSMT4" ShapeID="_x0000_i1036" DrawAspect="Content" ObjectID="_1740204800" r:id="rId36"/>
        </w:object>
      </w:r>
      <w:r w:rsidRPr="006F4B80">
        <w:rPr>
          <w:i w:val="0"/>
        </w:rPr>
        <w:t xml:space="preserve"> and </w:t>
      </w:r>
      <w:r w:rsidRPr="006F4B80">
        <w:rPr>
          <w:i w:val="0"/>
          <w:position w:val="-12"/>
        </w:rPr>
        <w:object w:dxaOrig="420" w:dyaOrig="360" w14:anchorId="3E473820">
          <v:shape id="_x0000_i1037" type="#_x0000_t75" style="width:21.5pt;height:18.25pt" o:ole="">
            <v:imagedata r:id="rId37" o:title=""/>
          </v:shape>
          <o:OLEObject Type="Embed" ProgID="Equation.DSMT4" ShapeID="_x0000_i1037" DrawAspect="Content" ObjectID="_1740204801" r:id="rId38"/>
        </w:object>
      </w:r>
      <w:r w:rsidRPr="006F4B80">
        <w:rPr>
          <w:i w:val="0"/>
        </w:rPr>
        <w:t xml:space="preserve"> respectively, </w:t>
      </w:r>
      <w:r w:rsidRPr="006F4B80">
        <w:rPr>
          <w:i w:val="0"/>
          <w:position w:val="-14"/>
        </w:rPr>
        <w:object w:dxaOrig="240" w:dyaOrig="380" w14:anchorId="4D40EA22">
          <v:shape id="_x0000_i1038" type="#_x0000_t75" style="width:11.8pt;height:18.8pt" o:ole="">
            <v:imagedata r:id="rId39" o:title=""/>
          </v:shape>
          <o:OLEObject Type="Embed" ProgID="Equation.DSMT4" ShapeID="_x0000_i1038" DrawAspect="Content" ObjectID="_1740204802" r:id="rId40"/>
        </w:object>
      </w:r>
      <w:r w:rsidRPr="006F4B80">
        <w:rPr>
          <w:i w:val="0"/>
        </w:rPr>
        <w:t xml:space="preserve"> is the full width half maximum temporal pulse width, </w:t>
      </w:r>
      <w:r w:rsidRPr="006F4B80">
        <w:rPr>
          <w:i w:val="0"/>
          <w:position w:val="-12"/>
        </w:rPr>
        <w:object w:dxaOrig="279" w:dyaOrig="360" w14:anchorId="4E62F145">
          <v:shape id="_x0000_i1039" type="#_x0000_t75" style="width:14.5pt;height:18.25pt" o:ole="">
            <v:imagedata r:id="rId41" o:title=""/>
          </v:shape>
          <o:OLEObject Type="Embed" ProgID="Equation.DSMT4" ShapeID="_x0000_i1039" DrawAspect="Content" ObjectID="_1740204803" r:id="rId42"/>
        </w:object>
      </w:r>
      <w:r w:rsidRPr="006F4B80">
        <w:rPr>
          <w:i w:val="0"/>
        </w:rPr>
        <w:t xml:space="preserve"> and </w:t>
      </w:r>
      <w:r w:rsidRPr="006F4B80">
        <w:rPr>
          <w:i w:val="0"/>
          <w:position w:val="-12"/>
        </w:rPr>
        <w:object w:dxaOrig="260" w:dyaOrig="360" w14:anchorId="44CEB284">
          <v:shape id="_x0000_i1040" type="#_x0000_t75" style="width:11.8pt;height:18.25pt" o:ole="">
            <v:imagedata r:id="rId43" o:title=""/>
          </v:shape>
          <o:OLEObject Type="Embed" ProgID="Equation.DSMT4" ShapeID="_x0000_i1040" DrawAspect="Content" ObjectID="_1740204804" r:id="rId44"/>
        </w:object>
      </w:r>
      <w:r w:rsidRPr="006F4B80">
        <w:rPr>
          <w:i w:val="0"/>
        </w:rPr>
        <w:t xml:space="preserve"> are the fundamental beam’s Rayleigh distance and beam waist position in the crystal, </w:t>
      </w:r>
      <w:r w:rsidRPr="006F4B80">
        <w:rPr>
          <w:i w:val="0"/>
          <w:position w:val="-12"/>
        </w:rPr>
        <w:object w:dxaOrig="300" w:dyaOrig="360" w14:anchorId="48A3529C">
          <v:shape id="_x0000_i1041" type="#_x0000_t75" style="width:15.05pt;height:18.25pt" o:ole="">
            <v:imagedata r:id="rId45" o:title=""/>
          </v:shape>
          <o:OLEObject Type="Embed" ProgID="Equation.DSMT4" ShapeID="_x0000_i1041" DrawAspect="Content" ObjectID="_1740204805" r:id="rId46"/>
        </w:object>
      </w:r>
      <w:r w:rsidRPr="006F4B80">
        <w:rPr>
          <w:i w:val="0"/>
        </w:rPr>
        <w:t xml:space="preserve"> is the vaccum fundamental wavelength, while </w:t>
      </w:r>
      <w:r w:rsidRPr="006F4B80">
        <w:rPr>
          <w:i w:val="0"/>
          <w:position w:val="-12"/>
        </w:rPr>
        <w:object w:dxaOrig="300" w:dyaOrig="360" w14:anchorId="3CA510A6">
          <v:shape id="_x0000_i1042" type="#_x0000_t75" style="width:15.05pt;height:18.25pt" o:ole="">
            <v:imagedata r:id="rId47" o:title=""/>
          </v:shape>
          <o:OLEObject Type="Embed" ProgID="Equation.DSMT4" ShapeID="_x0000_i1042" DrawAspect="Content" ObjectID="_1740204806" r:id="rId48"/>
        </w:object>
      </w:r>
      <w:r w:rsidRPr="006F4B80">
        <w:rPr>
          <w:i w:val="0"/>
        </w:rPr>
        <w:t xml:space="preserve"> and </w:t>
      </w:r>
      <w:r w:rsidRPr="006F4B80">
        <w:rPr>
          <w:i w:val="0"/>
          <w:position w:val="-12"/>
        </w:rPr>
        <w:object w:dxaOrig="360" w:dyaOrig="360" w14:anchorId="237C9250">
          <v:shape id="_x0000_i1043" type="#_x0000_t75" style="width:18.25pt;height:18.25pt" o:ole="">
            <v:imagedata r:id="rId49" o:title=""/>
          </v:shape>
          <o:OLEObject Type="Embed" ProgID="Equation.DSMT4" ShapeID="_x0000_i1043" DrawAspect="Content" ObjectID="_1740204807" r:id="rId50"/>
        </w:object>
      </w:r>
      <w:r w:rsidRPr="006F4B80">
        <w:rPr>
          <w:i w:val="0"/>
        </w:rPr>
        <w:t xml:space="preserve"> are the refracitve indices of the fundamental and second harmonic beams respectively. The parameter </w:t>
      </w:r>
      <w:r w:rsidRPr="006F4B80">
        <w:rPr>
          <w:i w:val="0"/>
          <w:position w:val="-12"/>
        </w:rPr>
        <w:object w:dxaOrig="400" w:dyaOrig="360" w14:anchorId="7D05D103">
          <v:shape id="_x0000_i1044" type="#_x0000_t75" style="width:20.4pt;height:18.25pt" o:ole="">
            <v:imagedata r:id="rId51" o:title=""/>
          </v:shape>
          <o:OLEObject Type="Embed" ProgID="Equation.DSMT4" ShapeID="_x0000_i1044" DrawAspect="Content" ObjectID="_1740204808" r:id="rId52"/>
        </w:object>
      </w:r>
      <w:r w:rsidRPr="006F4B80">
        <w:rPr>
          <w:i w:val="0"/>
        </w:rPr>
        <w:t xml:space="preserve"> represents the combined effects of spatial and temporal walk-off and is given by,</w:t>
      </w:r>
    </w:p>
    <w:p w14:paraId="17C98BBF" w14:textId="77777777" w:rsidR="001A2F27" w:rsidRPr="006F4B80" w:rsidRDefault="001A2F27" w:rsidP="001A2F27">
      <w:pPr>
        <w:pStyle w:val="MDPI22heading2"/>
        <w:ind w:left="0"/>
        <w:jc w:val="both"/>
        <w:rPr>
          <w:i w:val="0"/>
        </w:rPr>
      </w:pPr>
    </w:p>
    <w:p w14:paraId="2A02E066" w14:textId="77777777" w:rsidR="001A2F27" w:rsidRPr="006F4B80" w:rsidRDefault="001A2F27" w:rsidP="001A2F27">
      <w:pPr>
        <w:pStyle w:val="MTDisplayEquation"/>
        <w:ind w:left="567" w:firstLine="0"/>
        <w:jc w:val="center"/>
      </w:pPr>
      <w:r w:rsidRPr="006F4B80">
        <w:rPr>
          <w:position w:val="-38"/>
        </w:rPr>
        <w:object w:dxaOrig="3620" w:dyaOrig="940" w14:anchorId="63306B01">
          <v:shape id="_x0000_i1045" type="#_x0000_t75" style="width:179.45pt;height:47.3pt" o:ole="">
            <v:imagedata r:id="rId53" o:title=""/>
          </v:shape>
          <o:OLEObject Type="Embed" ProgID="Equation.DSMT4" ShapeID="_x0000_i1045" DrawAspect="Content" ObjectID="_1740204809" r:id="rId54"/>
        </w:object>
      </w:r>
    </w:p>
    <w:p w14:paraId="4B6783DE" w14:textId="77777777" w:rsidR="001A2F27" w:rsidRPr="006F4B80" w:rsidRDefault="001A2F27" w:rsidP="001A2F27">
      <w:pPr>
        <w:rPr>
          <w:szCs w:val="16"/>
          <w:lang w:eastAsia="de-DE" w:bidi="en-US"/>
        </w:rPr>
      </w:pPr>
    </w:p>
    <w:p w14:paraId="5D3ABB2E" w14:textId="77777777" w:rsidR="001A2F27" w:rsidRPr="006F4B80" w:rsidRDefault="001A2F27" w:rsidP="001A2F27">
      <w:pPr>
        <w:spacing w:line="228" w:lineRule="auto"/>
      </w:pPr>
      <w:r w:rsidRPr="006F4B80">
        <w:t xml:space="preserve">with </w:t>
      </w:r>
      <w:r w:rsidRPr="006F4B80">
        <w:rPr>
          <w:position w:val="-10"/>
        </w:rPr>
        <w:object w:dxaOrig="240" w:dyaOrig="260" w14:anchorId="5385FC93">
          <v:shape id="_x0000_i1046" type="#_x0000_t75" style="width:11.8pt;height:11.8pt" o:ole="">
            <v:imagedata r:id="rId55" o:title=""/>
          </v:shape>
          <o:OLEObject Type="Embed" ProgID="Equation.DSMT4" ShapeID="_x0000_i1046" DrawAspect="Content" ObjectID="_1740204810" r:id="rId56"/>
        </w:object>
      </w:r>
      <w:r w:rsidRPr="006F4B80">
        <w:t xml:space="preserve"> the spatial walk-off angle in radians, </w:t>
      </w:r>
      <w:r w:rsidRPr="006F4B80">
        <w:rPr>
          <w:position w:val="-6"/>
        </w:rPr>
        <w:object w:dxaOrig="240" w:dyaOrig="220" w14:anchorId="56376CDE">
          <v:shape id="_x0000_i1047" type="#_x0000_t75" style="width:11.8pt;height:11.8pt" o:ole="">
            <v:imagedata r:id="rId57" o:title=""/>
          </v:shape>
          <o:OLEObject Type="Embed" ProgID="Equation.DSMT4" ShapeID="_x0000_i1047" DrawAspect="Content" ObjectID="_1740204811" r:id="rId58"/>
        </w:object>
      </w:r>
      <w:r w:rsidRPr="006F4B80">
        <w:t xml:space="preserve"> characterizes the extent to which a linear chirp has broadened the pulse beyond the Fourier transform limit (</w:t>
      </w:r>
      <w:r w:rsidRPr="006F4B80">
        <w:rPr>
          <w:position w:val="-12"/>
        </w:rPr>
        <w:object w:dxaOrig="220" w:dyaOrig="360" w14:anchorId="275855D8">
          <v:shape id="_x0000_i1048" type="#_x0000_t75" style="width:11.8pt;height:18.25pt" o:ole="">
            <v:imagedata r:id="rId59" o:title=""/>
          </v:shape>
          <o:OLEObject Type="Embed" ProgID="Equation.DSMT4" ShapeID="_x0000_i1048" DrawAspect="Content" ObjectID="_1740204812" r:id="rId60"/>
        </w:object>
      </w:r>
      <w:r w:rsidRPr="006F4B80">
        <w:t xml:space="preserve">), </w:t>
      </w:r>
      <w:r w:rsidRPr="006F4B80">
        <w:rPr>
          <w:position w:val="-16"/>
        </w:rPr>
        <w:object w:dxaOrig="1420" w:dyaOrig="440" w14:anchorId="02E2071B">
          <v:shape id="_x0000_i1049" type="#_x0000_t75" style="width:61.8pt;height:18.8pt" o:ole="">
            <v:imagedata r:id="rId61" o:title=""/>
          </v:shape>
          <o:OLEObject Type="Embed" ProgID="Equation.DSMT4" ShapeID="_x0000_i1049" DrawAspect="Content" ObjectID="_1740204813" r:id="rId62"/>
        </w:object>
      </w:r>
      <w:r w:rsidRPr="006F4B80">
        <w:t xml:space="preserve">,  and </w:t>
      </w:r>
      <w:r w:rsidRPr="006F4B80">
        <w:rPr>
          <w:position w:val="-10"/>
        </w:rPr>
        <w:object w:dxaOrig="240" w:dyaOrig="320" w14:anchorId="34373CCC">
          <v:shape id="_x0000_i1050" type="#_x0000_t75" style="width:11.8pt;height:15.6pt" o:ole="">
            <v:imagedata r:id="rId63" o:title=""/>
          </v:shape>
          <o:OLEObject Type="Embed" ProgID="Equation.DSMT4" ShapeID="_x0000_i1050" DrawAspect="Content" ObjectID="_1740204814" r:id="rId64"/>
        </w:object>
      </w:r>
      <w:r w:rsidRPr="006F4B80">
        <w:t xml:space="preserve"> is the inverse group velocity mismatch between the fundamental and second harmonic beams. A nonlinear least squares minimization </w:t>
      </w:r>
      <w:r w:rsidRPr="00C15C42">
        <w:t xml:space="preserve">routine </w:t>
      </w:r>
      <w:r w:rsidRPr="00C15C42">
        <w:fldChar w:fldCharType="begin"/>
      </w:r>
      <w:r w:rsidRPr="00C15C42">
        <w:instrText xml:space="preserve"> ADDIN EN.CITE &lt;EndNote&gt;&lt;Cite&gt;&lt;Author&gt;D&amp;apos;Errico&lt;/Author&gt;&lt;Year&gt;2023&lt;/Year&gt;&lt;RecNum&gt;6573&lt;/RecNum&gt;&lt;DisplayText&gt;[6]&lt;/DisplayText&gt;&lt;record&gt;&lt;rec-number&gt;6573&lt;/rec-number&gt;&lt;foreign-keys&gt;&lt;key app="EN" db-id="fptx2zvfxw92wue0wf8vt50nae2vtaxfxs0v" timestamp="1678217842"&gt;6573&lt;/key&gt;&lt;/foreign-keys&gt;&lt;ref-type name="Web Page"&gt;12&lt;/ref-type&gt;&lt;contributors&gt;&lt;authors&gt;&lt;author&gt;John D&amp;apos;Errico&lt;/author&gt;&lt;/authors&gt;&lt;/contributors&gt;&lt;titles&gt;&lt;title&gt;Fminspleas available at MATLAB Central File Exchange&lt;/title&gt;&lt;/titles&gt;&lt;volume&gt;2023&lt;/volume&gt;&lt;number&gt;Retrieved March 7&lt;/number&gt;&lt;dates&gt;&lt;year&gt;2023&lt;/year&gt;&lt;/dates&gt;&lt;urls&gt;&lt;/urls&gt;&lt;/record&gt;&lt;/Cite&gt;&lt;/EndNote&gt;</w:instrText>
      </w:r>
      <w:r w:rsidRPr="00C15C42">
        <w:fldChar w:fldCharType="separate"/>
      </w:r>
      <w:r w:rsidRPr="00C15C42">
        <w:t>[</w:t>
      </w:r>
      <w:hyperlink w:anchor="_ENREF_6" w:tooltip="D'Errico, 2023 #6573" w:history="1">
        <w:r w:rsidRPr="00C15C42">
          <w:t>6</w:t>
        </w:r>
      </w:hyperlink>
      <w:r w:rsidRPr="00C15C42">
        <w:t>]</w:t>
      </w:r>
      <w:r w:rsidRPr="00C15C42">
        <w:fldChar w:fldCharType="end"/>
      </w:r>
      <w:r w:rsidRPr="00C15C42">
        <w:t xml:space="preserve"> was used to estimate the values of </w:t>
      </w:r>
      <w:r w:rsidRPr="00C15C42">
        <w:rPr>
          <w:position w:val="-12"/>
        </w:rPr>
        <w:object w:dxaOrig="1060" w:dyaOrig="360" w14:anchorId="46243B79">
          <v:shape id="_x0000_i1051" type="#_x0000_t75" style="width:45.15pt;height:15.6pt" o:ole="">
            <v:imagedata r:id="rId65" o:title=""/>
          </v:shape>
          <o:OLEObject Type="Embed" ProgID="Equation.DSMT4" ShapeID="_x0000_i1051" DrawAspect="Content" ObjectID="_1740204815" r:id="rId66"/>
        </w:object>
      </w:r>
      <w:r w:rsidRPr="00C15C42">
        <w:t xml:space="preserve">and </w:t>
      </w:r>
      <w:r w:rsidRPr="00C15C42">
        <w:rPr>
          <w:position w:val="-12"/>
        </w:rPr>
        <w:object w:dxaOrig="400" w:dyaOrig="360" w14:anchorId="770A67DF">
          <v:shape id="_x0000_i1052" type="#_x0000_t75" style="width:16.65pt;height:15.05pt" o:ole="">
            <v:imagedata r:id="rId67" o:title=""/>
          </v:shape>
          <o:OLEObject Type="Embed" ProgID="Equation.DSMT4" ShapeID="_x0000_i1052" DrawAspect="Content" ObjectID="_1740204816" r:id="rId68"/>
        </w:object>
      </w:r>
      <w:r w:rsidRPr="00C15C42">
        <w:t>. The results corresponding to the fit shown in figure 15</w:t>
      </w:r>
      <w:r w:rsidRPr="006F4B80">
        <w:t xml:space="preserve"> are, </w:t>
      </w:r>
      <w:r w:rsidRPr="006F4B80">
        <w:rPr>
          <w:position w:val="-12"/>
        </w:rPr>
        <w:object w:dxaOrig="1280" w:dyaOrig="360" w14:anchorId="653FCAD3">
          <v:shape id="_x0000_i1053" type="#_x0000_t75" style="width:48.9pt;height:13.45pt" o:ole="">
            <v:imagedata r:id="rId69" o:title=""/>
          </v:shape>
          <o:OLEObject Type="Embed" ProgID="Equation.DSMT4" ShapeID="_x0000_i1053" DrawAspect="Content" ObjectID="_1740204817" r:id="rId70"/>
        </w:object>
      </w:r>
      <w:r w:rsidRPr="006F4B80">
        <w:t>,</w:t>
      </w:r>
      <w:r w:rsidRPr="006F4B80">
        <w:rPr>
          <w:position w:val="-12"/>
        </w:rPr>
        <w:object w:dxaOrig="1340" w:dyaOrig="360" w14:anchorId="5B54E162">
          <v:shape id="_x0000_i1054" type="#_x0000_t75" style="width:45.65pt;height:12.35pt" o:ole="">
            <v:imagedata r:id="rId71" o:title=""/>
          </v:shape>
          <o:OLEObject Type="Embed" ProgID="Equation.DSMT4" ShapeID="_x0000_i1054" DrawAspect="Content" ObjectID="_1740204818" r:id="rId72"/>
        </w:object>
      </w:r>
      <w:r w:rsidRPr="006F4B80">
        <w:t xml:space="preserve">, </w:t>
      </w:r>
      <w:r w:rsidRPr="006F4B80">
        <w:rPr>
          <w:position w:val="-12"/>
        </w:rPr>
        <w:object w:dxaOrig="2260" w:dyaOrig="360" w14:anchorId="6257598C">
          <v:shape id="_x0000_i1055" type="#_x0000_t75" style="width:83.8pt;height:13.45pt" o:ole="">
            <v:imagedata r:id="rId73" o:title=""/>
          </v:shape>
          <o:OLEObject Type="Embed" ProgID="Equation.DSMT4" ShapeID="_x0000_i1055" DrawAspect="Content" ObjectID="_1740204819" r:id="rId74"/>
        </w:object>
      </w:r>
      <w:r w:rsidRPr="006F4B80">
        <w:t xml:space="preserve">with </w:t>
      </w:r>
      <w:r w:rsidRPr="006F4B80">
        <w:rPr>
          <w:position w:val="-12"/>
        </w:rPr>
        <w:object w:dxaOrig="400" w:dyaOrig="360" w14:anchorId="4C132DBE">
          <v:shape id="_x0000_i1056" type="#_x0000_t75" style="width:20.4pt;height:18.25pt" o:ole="">
            <v:imagedata r:id="rId67" o:title=""/>
          </v:shape>
          <o:OLEObject Type="Embed" ProgID="Equation.DSMT4" ShapeID="_x0000_i1056" DrawAspect="Content" ObjectID="_1740204820" r:id="rId75"/>
        </w:object>
      </w:r>
      <w:r w:rsidRPr="006F4B80">
        <w:t xml:space="preserve"> being so large (above 500 </w:t>
      </w:r>
      <w:r w:rsidRPr="006F4B80">
        <w:t>m) that it has a negligible effect.</w:t>
      </w:r>
    </w:p>
    <w:p w14:paraId="312BC441" w14:textId="77777777" w:rsidR="001A2F27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</w:rPr>
      </w:pPr>
      <w:r w:rsidRPr="006F4B80">
        <w:rPr>
          <w:rFonts w:ascii="Palatino Linotype" w:hAnsi="Palatino Linotype"/>
          <w:sz w:val="20"/>
        </w:rPr>
        <w:t xml:space="preserve">We used a 2 mm </w:t>
      </w:r>
      <w:r>
        <w:rPr>
          <w:rFonts w:ascii="Palatino Linotype" w:hAnsi="Palatino Linotype"/>
          <w:sz w:val="20"/>
        </w:rPr>
        <w:t>B</w:t>
      </w:r>
      <w:r w:rsidRPr="00AB619D">
        <w:rPr>
          <w:rFonts w:ascii="Palatino Linotype" w:hAnsi="Palatino Linotype"/>
          <w:sz w:val="20"/>
        </w:rPr>
        <w:t>eta-</w:t>
      </w:r>
      <w:r>
        <w:rPr>
          <w:rFonts w:ascii="Palatino Linotype" w:hAnsi="Palatino Linotype"/>
          <w:sz w:val="20"/>
        </w:rPr>
        <w:t>B</w:t>
      </w:r>
      <w:r w:rsidRPr="00AB619D">
        <w:rPr>
          <w:rFonts w:ascii="Palatino Linotype" w:hAnsi="Palatino Linotype"/>
          <w:sz w:val="20"/>
        </w:rPr>
        <w:t xml:space="preserve">arium </w:t>
      </w:r>
      <w:r>
        <w:rPr>
          <w:rFonts w:ascii="Palatino Linotype" w:hAnsi="Palatino Linotype"/>
          <w:sz w:val="20"/>
        </w:rPr>
        <w:t>B</w:t>
      </w:r>
      <w:r w:rsidRPr="00AB619D">
        <w:rPr>
          <w:rFonts w:ascii="Palatino Linotype" w:hAnsi="Palatino Linotype"/>
          <w:sz w:val="20"/>
        </w:rPr>
        <w:t>orate</w:t>
      </w:r>
      <w:r>
        <w:rPr>
          <w:rFonts w:ascii="Palatino Linotype" w:hAnsi="Palatino Linotype"/>
          <w:sz w:val="20"/>
        </w:rPr>
        <w:t xml:space="preserve"> </w:t>
      </w:r>
      <w:r w:rsidRPr="006F4B80">
        <w:rPr>
          <w:rFonts w:ascii="Palatino Linotype" w:hAnsi="Palatino Linotype"/>
          <w:sz w:val="20"/>
        </w:rPr>
        <w:t xml:space="preserve">(BBO) to calibrate our second harmonic microscope. BBO has a walk-off angle of 68.4 </w:t>
      </w:r>
      <w:proofErr w:type="spellStart"/>
      <w:r w:rsidRPr="006F4B80">
        <w:rPr>
          <w:rFonts w:ascii="Palatino Linotype" w:hAnsi="Palatino Linotype"/>
          <w:sz w:val="20"/>
        </w:rPr>
        <w:t>mrad</w:t>
      </w:r>
      <w:proofErr w:type="spellEnd"/>
      <w:r w:rsidRPr="006F4B80">
        <w:rPr>
          <w:rFonts w:ascii="Palatino Linotype" w:hAnsi="Palatino Linotype"/>
          <w:sz w:val="20"/>
        </w:rPr>
        <w:t xml:space="preserve">, an inverse group velocity mismatch of </w:t>
      </w:r>
      <w:r w:rsidRPr="006F4B80">
        <w:rPr>
          <w:rFonts w:ascii="Palatino Linotype" w:hAnsi="Palatino Linotype"/>
          <w:position w:val="-10"/>
          <w:sz w:val="20"/>
        </w:rPr>
        <w:object w:dxaOrig="1540" w:dyaOrig="320" w14:anchorId="16CEC2B8">
          <v:shape id="_x0000_i1057" type="#_x0000_t75" style="width:67.15pt;height:13.45pt" o:ole="">
            <v:imagedata r:id="rId76" o:title=""/>
          </v:shape>
          <o:OLEObject Type="Embed" ProgID="Equation.DSMT4" ShapeID="_x0000_i1057" DrawAspect="Content" ObjectID="_1740204821" r:id="rId77"/>
        </w:object>
      </w:r>
      <w:r w:rsidRPr="006F4B80">
        <w:rPr>
          <w:rFonts w:ascii="Palatino Linotype" w:hAnsi="Palatino Linotype"/>
          <w:sz w:val="20"/>
        </w:rPr>
        <w:t xml:space="preserve"> and we estimate that the linear chirp after passing through the microscope objective corresponds to a value of </w:t>
      </w:r>
      <w:r w:rsidRPr="006F4B80">
        <w:rPr>
          <w:rFonts w:ascii="Palatino Linotype" w:hAnsi="Palatino Linotype"/>
          <w:position w:val="-6"/>
          <w:sz w:val="20"/>
        </w:rPr>
        <w:object w:dxaOrig="760" w:dyaOrig="279" w14:anchorId="1510C784">
          <v:shape id="_x0000_i1058" type="#_x0000_t75" style="width:28.5pt;height:10.75pt" o:ole="">
            <v:imagedata r:id="rId78" o:title=""/>
          </v:shape>
          <o:OLEObject Type="Embed" ProgID="Equation.DSMT4" ShapeID="_x0000_i1058" DrawAspect="Content" ObjectID="_1740204822" r:id="rId79"/>
        </w:object>
      </w:r>
      <w:r w:rsidRPr="006F4B80">
        <w:rPr>
          <w:rFonts w:ascii="Palatino Linotype" w:hAnsi="Palatino Linotype"/>
          <w:sz w:val="20"/>
        </w:rPr>
        <w:t>. Assuming the same value for the Rayleigh distance as given by the above fit for the glycyl-L-alanine dipeptide crystal, numerical integration of the double integral for BBO gives a peak value of 1560. In contrast, the peak value for the glycyl-L-alanine dipeptide crystal using the above estimated values is only 0.53 due to the large phase mismatch.</w:t>
      </w:r>
    </w:p>
    <w:p w14:paraId="0BFCB3F6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b/>
          <w:bCs/>
          <w:sz w:val="20"/>
        </w:rPr>
      </w:pPr>
      <w:r w:rsidRPr="006F4B80">
        <w:rPr>
          <w:rFonts w:ascii="Palatino Linotype" w:hAnsi="Palatino Linotype"/>
          <w:b/>
          <w:bCs/>
          <w:sz w:val="20"/>
        </w:rPr>
        <w:t>References</w:t>
      </w:r>
    </w:p>
    <w:p w14:paraId="78908D20" w14:textId="77777777" w:rsidR="001A2F27" w:rsidRPr="006F4B80" w:rsidRDefault="001A2F27" w:rsidP="001A2F27">
      <w:pPr>
        <w:pStyle w:val="TAMainText"/>
        <w:spacing w:line="228" w:lineRule="auto"/>
        <w:ind w:firstLine="0"/>
        <w:rPr>
          <w:rFonts w:ascii="Palatino Linotype" w:hAnsi="Palatino Linotype"/>
          <w:sz w:val="20"/>
        </w:rPr>
      </w:pPr>
    </w:p>
    <w:p w14:paraId="5C82FDA2" w14:textId="77777777" w:rsidR="001A2F27" w:rsidRPr="00E27B6D" w:rsidRDefault="001A2F27" w:rsidP="001A2F27">
      <w:pPr>
        <w:pStyle w:val="EndNoteBibliography"/>
        <w:spacing w:after="0" w:line="228" w:lineRule="auto"/>
        <w:ind w:left="720" w:hanging="720"/>
        <w:rPr>
          <w:sz w:val="20"/>
          <w:szCs w:val="16"/>
        </w:rPr>
      </w:pPr>
      <w:r w:rsidRPr="006F4B80">
        <w:rPr>
          <w:sz w:val="20"/>
        </w:rPr>
        <w:fldChar w:fldCharType="begin"/>
      </w:r>
      <w:r w:rsidRPr="006F4B80">
        <w:rPr>
          <w:sz w:val="20"/>
        </w:rPr>
        <w:instrText xml:space="preserve"> ADDIN EN.REFLIST </w:instrText>
      </w:r>
      <w:r w:rsidRPr="006F4B80">
        <w:rPr>
          <w:sz w:val="20"/>
        </w:rPr>
        <w:fldChar w:fldCharType="separate"/>
      </w:r>
      <w:r w:rsidRPr="00974243">
        <w:t>1</w:t>
      </w:r>
      <w:r w:rsidRPr="00E27B6D">
        <w:rPr>
          <w:sz w:val="20"/>
          <w:szCs w:val="16"/>
        </w:rPr>
        <w:t>.</w:t>
      </w:r>
      <w:r w:rsidRPr="00E27B6D">
        <w:rPr>
          <w:sz w:val="20"/>
          <w:szCs w:val="16"/>
        </w:rPr>
        <w:tab/>
        <w:t xml:space="preserve">Kehrer, A.; Dou, S.-q.; Weiss, A. 79,81Br−127I−NQR, and Crystal Structure of Glycyl-l-alanine Hydrobromide Monohydrate and Hydroiodide Monohydrate. </w:t>
      </w:r>
      <w:r w:rsidRPr="0017338B">
        <w:rPr>
          <w:i/>
          <w:iCs/>
          <w:sz w:val="20"/>
          <w:szCs w:val="16"/>
        </w:rPr>
        <w:t>Z. Naturforsch</w:t>
      </w:r>
      <w:r>
        <w:rPr>
          <w:i/>
          <w:iCs/>
          <w:sz w:val="20"/>
          <w:szCs w:val="16"/>
        </w:rPr>
        <w:t>.</w:t>
      </w:r>
      <w:r w:rsidRPr="0017338B">
        <w:rPr>
          <w:i/>
          <w:iCs/>
          <w:sz w:val="20"/>
          <w:szCs w:val="16"/>
        </w:rPr>
        <w:t xml:space="preserve"> A</w:t>
      </w:r>
      <w:r>
        <w:rPr>
          <w:sz w:val="20"/>
          <w:szCs w:val="16"/>
        </w:rPr>
        <w:t xml:space="preserve"> </w:t>
      </w:r>
      <w:r w:rsidRPr="00E27B6D">
        <w:rPr>
          <w:b/>
          <w:sz w:val="20"/>
          <w:szCs w:val="16"/>
        </w:rPr>
        <w:t>1989</w:t>
      </w:r>
      <w:r w:rsidRPr="00E27B6D">
        <w:rPr>
          <w:sz w:val="20"/>
          <w:szCs w:val="16"/>
        </w:rPr>
        <w:t xml:space="preserve">, </w:t>
      </w:r>
      <w:r w:rsidRPr="00E27B6D">
        <w:rPr>
          <w:i/>
          <w:sz w:val="20"/>
          <w:szCs w:val="16"/>
        </w:rPr>
        <w:t>44</w:t>
      </w:r>
      <w:r w:rsidRPr="00E27B6D">
        <w:rPr>
          <w:sz w:val="20"/>
          <w:szCs w:val="16"/>
        </w:rPr>
        <w:t>, 659-668, doi:10.1515/zna-1989-0710.</w:t>
      </w:r>
    </w:p>
    <w:p w14:paraId="2849172E" w14:textId="77777777" w:rsidR="001A2F27" w:rsidRPr="00E27B6D" w:rsidRDefault="001A2F27" w:rsidP="001A2F27">
      <w:pPr>
        <w:pStyle w:val="EndNoteBibliography"/>
        <w:spacing w:after="0" w:line="228" w:lineRule="auto"/>
        <w:ind w:left="720" w:hanging="720"/>
        <w:rPr>
          <w:sz w:val="20"/>
          <w:szCs w:val="16"/>
        </w:rPr>
      </w:pPr>
      <w:r w:rsidRPr="00E27B6D">
        <w:rPr>
          <w:sz w:val="20"/>
          <w:szCs w:val="16"/>
        </w:rPr>
        <w:t>2.</w:t>
      </w:r>
      <w:r w:rsidRPr="00E27B6D">
        <w:rPr>
          <w:sz w:val="20"/>
          <w:szCs w:val="16"/>
        </w:rPr>
        <w:tab/>
        <w:t xml:space="preserve">Capelli, S.C.; Burgi, H.-B.; Dittrich, B.; Grabowsky, S.; Jayatilaka, D. Hirshfeld atom refinement. </w:t>
      </w:r>
      <w:r w:rsidRPr="00E27B6D">
        <w:rPr>
          <w:i/>
          <w:sz w:val="20"/>
          <w:szCs w:val="16"/>
        </w:rPr>
        <w:t xml:space="preserve">IUCrJ </w:t>
      </w:r>
      <w:r w:rsidRPr="00E27B6D">
        <w:rPr>
          <w:b/>
          <w:sz w:val="20"/>
          <w:szCs w:val="16"/>
        </w:rPr>
        <w:t>2014</w:t>
      </w:r>
      <w:r w:rsidRPr="00E27B6D">
        <w:rPr>
          <w:sz w:val="20"/>
          <w:szCs w:val="16"/>
        </w:rPr>
        <w:t xml:space="preserve">, </w:t>
      </w:r>
      <w:r w:rsidRPr="00E27B6D">
        <w:rPr>
          <w:i/>
          <w:sz w:val="20"/>
          <w:szCs w:val="16"/>
        </w:rPr>
        <w:t>1</w:t>
      </w:r>
      <w:r w:rsidRPr="00E27B6D">
        <w:rPr>
          <w:sz w:val="20"/>
          <w:szCs w:val="16"/>
        </w:rPr>
        <w:t>, 361-379, doi:10.1107/S2052252514014845.</w:t>
      </w:r>
    </w:p>
    <w:p w14:paraId="170B05B2" w14:textId="77777777" w:rsidR="001A2F27" w:rsidRPr="00E27B6D" w:rsidRDefault="001A2F27" w:rsidP="001A2F27">
      <w:pPr>
        <w:pStyle w:val="EndNoteBibliography"/>
        <w:spacing w:after="0" w:line="228" w:lineRule="auto"/>
        <w:ind w:left="720" w:hanging="720"/>
        <w:rPr>
          <w:sz w:val="20"/>
          <w:szCs w:val="16"/>
        </w:rPr>
      </w:pPr>
      <w:r w:rsidRPr="00E27B6D">
        <w:rPr>
          <w:sz w:val="20"/>
          <w:szCs w:val="16"/>
        </w:rPr>
        <w:lastRenderedPageBreak/>
        <w:t>3.</w:t>
      </w:r>
      <w:r w:rsidRPr="00E27B6D">
        <w:rPr>
          <w:sz w:val="20"/>
          <w:szCs w:val="16"/>
        </w:rPr>
        <w:tab/>
        <w:t xml:space="preserve">Tulip, P.R.; Bates, S.P. First principles determination of structural, electronic and lattice dynamical properties of a model dipeptide molecular crystal. </w:t>
      </w:r>
      <w:r w:rsidRPr="00E27B6D">
        <w:rPr>
          <w:i/>
          <w:sz w:val="20"/>
          <w:szCs w:val="16"/>
        </w:rPr>
        <w:t>Mol</w:t>
      </w:r>
      <w:r>
        <w:rPr>
          <w:i/>
          <w:sz w:val="20"/>
          <w:szCs w:val="16"/>
        </w:rPr>
        <w:t>.</w:t>
      </w:r>
      <w:r w:rsidRPr="00E27B6D">
        <w:rPr>
          <w:i/>
          <w:sz w:val="20"/>
          <w:szCs w:val="16"/>
        </w:rPr>
        <w:t xml:space="preserve"> Phys</w:t>
      </w:r>
      <w:r>
        <w:rPr>
          <w:i/>
          <w:sz w:val="20"/>
          <w:szCs w:val="16"/>
        </w:rPr>
        <w:t>.</w:t>
      </w:r>
      <w:r w:rsidRPr="00E27B6D">
        <w:rPr>
          <w:i/>
          <w:sz w:val="20"/>
          <w:szCs w:val="16"/>
        </w:rPr>
        <w:t xml:space="preserve"> </w:t>
      </w:r>
      <w:r w:rsidRPr="00E27B6D">
        <w:rPr>
          <w:b/>
          <w:sz w:val="20"/>
          <w:szCs w:val="16"/>
        </w:rPr>
        <w:t>2009</w:t>
      </w:r>
      <w:r w:rsidRPr="00E27B6D">
        <w:rPr>
          <w:sz w:val="20"/>
          <w:szCs w:val="16"/>
        </w:rPr>
        <w:t xml:space="preserve">, </w:t>
      </w:r>
      <w:r w:rsidRPr="00E27B6D">
        <w:rPr>
          <w:i/>
          <w:sz w:val="20"/>
          <w:szCs w:val="16"/>
        </w:rPr>
        <w:t>107</w:t>
      </w:r>
      <w:r w:rsidRPr="00E27B6D">
        <w:rPr>
          <w:sz w:val="20"/>
          <w:szCs w:val="16"/>
        </w:rPr>
        <w:t>, 2201-2212, doi:10.1080/00268970903224955.</w:t>
      </w:r>
    </w:p>
    <w:p w14:paraId="1CE64A2B" w14:textId="77777777" w:rsidR="001A2F27" w:rsidRPr="00E27B6D" w:rsidRDefault="001A2F27" w:rsidP="001A2F27">
      <w:pPr>
        <w:pStyle w:val="EndNoteBibliography"/>
        <w:spacing w:after="0" w:line="228" w:lineRule="auto"/>
        <w:ind w:left="720" w:hanging="720"/>
        <w:rPr>
          <w:sz w:val="20"/>
          <w:szCs w:val="16"/>
        </w:rPr>
      </w:pPr>
      <w:r w:rsidRPr="00E27B6D">
        <w:rPr>
          <w:sz w:val="20"/>
          <w:szCs w:val="16"/>
        </w:rPr>
        <w:t>4.</w:t>
      </w:r>
      <w:r w:rsidRPr="00E27B6D">
        <w:rPr>
          <w:sz w:val="20"/>
          <w:szCs w:val="16"/>
        </w:rPr>
        <w:tab/>
        <w:t xml:space="preserve">Tzankov, P.; Petrov, V. Effective second-order nonlinearity in acentric optical crystals with low symmetry. </w:t>
      </w:r>
      <w:r w:rsidRPr="00E27B6D">
        <w:rPr>
          <w:i/>
          <w:sz w:val="20"/>
          <w:szCs w:val="16"/>
        </w:rPr>
        <w:t>Appl</w:t>
      </w:r>
      <w:r>
        <w:rPr>
          <w:i/>
          <w:sz w:val="20"/>
          <w:szCs w:val="16"/>
        </w:rPr>
        <w:t>.</w:t>
      </w:r>
      <w:r w:rsidRPr="00E27B6D">
        <w:rPr>
          <w:i/>
          <w:sz w:val="20"/>
          <w:szCs w:val="16"/>
        </w:rPr>
        <w:t xml:space="preserve"> Optics </w:t>
      </w:r>
      <w:r w:rsidRPr="00E27B6D">
        <w:rPr>
          <w:b/>
          <w:sz w:val="20"/>
          <w:szCs w:val="16"/>
        </w:rPr>
        <w:t>2005</w:t>
      </w:r>
      <w:r w:rsidRPr="00E27B6D">
        <w:rPr>
          <w:sz w:val="20"/>
          <w:szCs w:val="16"/>
        </w:rPr>
        <w:t xml:space="preserve">, </w:t>
      </w:r>
      <w:r w:rsidRPr="00E27B6D">
        <w:rPr>
          <w:i/>
          <w:sz w:val="20"/>
          <w:szCs w:val="16"/>
        </w:rPr>
        <w:t>44</w:t>
      </w:r>
      <w:r w:rsidRPr="00E27B6D">
        <w:rPr>
          <w:sz w:val="20"/>
          <w:szCs w:val="16"/>
        </w:rPr>
        <w:t>, 6971-6985</w:t>
      </w:r>
      <w:r>
        <w:rPr>
          <w:sz w:val="20"/>
          <w:szCs w:val="16"/>
        </w:rPr>
        <w:t>,</w:t>
      </w:r>
      <w:r w:rsidRPr="005C49A1">
        <w:rPr>
          <w:sz w:val="20"/>
          <w:szCs w:val="16"/>
        </w:rPr>
        <w:t xml:space="preserve"> doi:10.1364/ao.44.006971.</w:t>
      </w:r>
    </w:p>
    <w:p w14:paraId="49B8188E" w14:textId="77777777" w:rsidR="001A2F27" w:rsidRPr="00E27B6D" w:rsidRDefault="001A2F27" w:rsidP="001A2F27">
      <w:pPr>
        <w:pStyle w:val="EndNoteBibliography"/>
        <w:spacing w:after="0" w:line="228" w:lineRule="auto"/>
        <w:ind w:left="720" w:hanging="720"/>
        <w:rPr>
          <w:sz w:val="20"/>
          <w:szCs w:val="16"/>
        </w:rPr>
      </w:pPr>
      <w:r w:rsidRPr="00E27B6D">
        <w:rPr>
          <w:sz w:val="20"/>
          <w:szCs w:val="16"/>
        </w:rPr>
        <w:t>5.</w:t>
      </w:r>
      <w:r w:rsidRPr="00E27B6D">
        <w:rPr>
          <w:sz w:val="20"/>
          <w:szCs w:val="16"/>
        </w:rPr>
        <w:tab/>
        <w:t xml:space="preserve">Wang, H.; Weiner, A.M. Efficiency of short-pulse type-I second-harmonic generation with simultaneous spatial walk-off, temporal walk-off, and pump depletion. </w:t>
      </w:r>
      <w:r w:rsidRPr="00E27B6D">
        <w:rPr>
          <w:i/>
          <w:sz w:val="20"/>
          <w:szCs w:val="16"/>
        </w:rPr>
        <w:t>Ieee J</w:t>
      </w:r>
      <w:r>
        <w:rPr>
          <w:i/>
          <w:sz w:val="20"/>
          <w:szCs w:val="16"/>
        </w:rPr>
        <w:t>.</w:t>
      </w:r>
      <w:r w:rsidRPr="00E27B6D">
        <w:rPr>
          <w:i/>
          <w:sz w:val="20"/>
          <w:szCs w:val="16"/>
        </w:rPr>
        <w:t xml:space="preserve"> Quantum Elect</w:t>
      </w:r>
      <w:r>
        <w:rPr>
          <w:i/>
          <w:sz w:val="20"/>
          <w:szCs w:val="16"/>
        </w:rPr>
        <w:t>.</w:t>
      </w:r>
      <w:r w:rsidRPr="00E27B6D">
        <w:rPr>
          <w:i/>
          <w:sz w:val="20"/>
          <w:szCs w:val="16"/>
        </w:rPr>
        <w:t xml:space="preserve"> </w:t>
      </w:r>
      <w:r w:rsidRPr="00E27B6D">
        <w:rPr>
          <w:b/>
          <w:sz w:val="20"/>
          <w:szCs w:val="16"/>
        </w:rPr>
        <w:t>2003</w:t>
      </w:r>
      <w:r w:rsidRPr="00E27B6D">
        <w:rPr>
          <w:sz w:val="20"/>
          <w:szCs w:val="16"/>
        </w:rPr>
        <w:t xml:space="preserve">, </w:t>
      </w:r>
      <w:r w:rsidRPr="00E27B6D">
        <w:rPr>
          <w:i/>
          <w:sz w:val="20"/>
          <w:szCs w:val="16"/>
        </w:rPr>
        <w:t>39</w:t>
      </w:r>
      <w:r w:rsidRPr="00E27B6D">
        <w:rPr>
          <w:sz w:val="20"/>
          <w:szCs w:val="16"/>
        </w:rPr>
        <w:t>, 1600-1618</w:t>
      </w:r>
      <w:r>
        <w:rPr>
          <w:sz w:val="20"/>
          <w:szCs w:val="16"/>
        </w:rPr>
        <w:t>,</w:t>
      </w:r>
      <w:r w:rsidRPr="005C49A1">
        <w:t xml:space="preserve"> </w:t>
      </w:r>
      <w:r w:rsidRPr="005C49A1">
        <w:rPr>
          <w:sz w:val="20"/>
          <w:szCs w:val="16"/>
        </w:rPr>
        <w:t>doi:10.1109/JQE.2003.819531.</w:t>
      </w:r>
    </w:p>
    <w:p w14:paraId="29586E2A" w14:textId="3692DD9F" w:rsidR="00055DDB" w:rsidRPr="001A2F27" w:rsidRDefault="001A2F27" w:rsidP="001A2F27">
      <w:r w:rsidRPr="00E27B6D">
        <w:rPr>
          <w:szCs w:val="16"/>
        </w:rPr>
        <w:t>6.</w:t>
      </w:r>
      <w:r w:rsidRPr="00E27B6D">
        <w:rPr>
          <w:szCs w:val="16"/>
        </w:rPr>
        <w:tab/>
        <w:t>D'Errico, J. Fminspleas available at MATLAB Central File Exchange. Available online: (accessed on Retrieved March 7).</w:t>
      </w:r>
      <w:r w:rsidRPr="006F4B80">
        <w:fldChar w:fldCharType="end"/>
      </w:r>
    </w:p>
    <w:sectPr w:rsidR="00055DDB" w:rsidRPr="001A2F27" w:rsidSect="00E131E4">
      <w:headerReference w:type="even" r:id="rId80"/>
      <w:headerReference w:type="default" r:id="rId81"/>
      <w:footerReference w:type="default" r:id="rId82"/>
      <w:footerReference w:type="first" r:id="rId83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D6BD" w14:textId="77777777" w:rsidR="00733D97" w:rsidRDefault="00733D97" w:rsidP="00C1340D">
      <w:r>
        <w:separator/>
      </w:r>
    </w:p>
  </w:endnote>
  <w:endnote w:type="continuationSeparator" w:id="0">
    <w:p w14:paraId="4BD0783B" w14:textId="77777777" w:rsidR="00733D97" w:rsidRDefault="00733D9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5BB8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16B45AC8" w14:textId="77777777" w:rsidR="00E27016" w:rsidRDefault="00733D97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200B74D6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3178" w14:textId="77777777" w:rsidR="00733D97" w:rsidRDefault="00733D97" w:rsidP="00C1340D">
      <w:r>
        <w:separator/>
      </w:r>
    </w:p>
  </w:footnote>
  <w:footnote w:type="continuationSeparator" w:id="0">
    <w:p w14:paraId="4D4150FD" w14:textId="77777777" w:rsidR="00733D97" w:rsidRDefault="00733D9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0A2A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CD37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8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9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7"/>
  </w:num>
  <w:num w:numId="11">
    <w:abstractNumId w:val="1"/>
  </w:num>
  <w:num w:numId="12">
    <w:abstractNumId w:val="7"/>
  </w:num>
  <w:num w:numId="13">
    <w:abstractNumId w:val="1"/>
  </w:num>
  <w:num w:numId="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27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FC"/>
    <w:rsid w:val="00004592"/>
    <w:rsid w:val="000045FD"/>
    <w:rsid w:val="000046B6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75F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0E9E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4AE"/>
    <w:rsid w:val="00084560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4DC"/>
    <w:rsid w:val="0009374D"/>
    <w:rsid w:val="0009384B"/>
    <w:rsid w:val="0009389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C2C"/>
    <w:rsid w:val="0009612A"/>
    <w:rsid w:val="000967F9"/>
    <w:rsid w:val="0009686F"/>
    <w:rsid w:val="00096928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A82"/>
    <w:rsid w:val="000C4B5D"/>
    <w:rsid w:val="000C4C6C"/>
    <w:rsid w:val="000C4F3C"/>
    <w:rsid w:val="000C4FB6"/>
    <w:rsid w:val="000C5030"/>
    <w:rsid w:val="000C5862"/>
    <w:rsid w:val="000C58F3"/>
    <w:rsid w:val="000C5979"/>
    <w:rsid w:val="000C5DE9"/>
    <w:rsid w:val="000C5EDA"/>
    <w:rsid w:val="000C5F44"/>
    <w:rsid w:val="000C5F53"/>
    <w:rsid w:val="000C60FA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6B"/>
    <w:rsid w:val="000D017F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0CD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742"/>
    <w:rsid w:val="00105790"/>
    <w:rsid w:val="00105E10"/>
    <w:rsid w:val="00105ED0"/>
    <w:rsid w:val="00105F2E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07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34D"/>
    <w:rsid w:val="0012288D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7E3"/>
    <w:rsid w:val="00130A17"/>
    <w:rsid w:val="00130F88"/>
    <w:rsid w:val="001310AF"/>
    <w:rsid w:val="0013120B"/>
    <w:rsid w:val="00131506"/>
    <w:rsid w:val="001316CD"/>
    <w:rsid w:val="001317A3"/>
    <w:rsid w:val="001317D3"/>
    <w:rsid w:val="0013195C"/>
    <w:rsid w:val="00131973"/>
    <w:rsid w:val="00131BBC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8CB"/>
    <w:rsid w:val="00161E39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63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603"/>
    <w:rsid w:val="00175E42"/>
    <w:rsid w:val="00176081"/>
    <w:rsid w:val="0017609C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1D5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966"/>
    <w:rsid w:val="00186B39"/>
    <w:rsid w:val="00187224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96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2F27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4BF"/>
    <w:rsid w:val="001A5594"/>
    <w:rsid w:val="001A576D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18F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61F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743"/>
    <w:rsid w:val="002368A4"/>
    <w:rsid w:val="00236969"/>
    <w:rsid w:val="00236978"/>
    <w:rsid w:val="00236C0D"/>
    <w:rsid w:val="00236D35"/>
    <w:rsid w:val="00236F94"/>
    <w:rsid w:val="002373E0"/>
    <w:rsid w:val="002379A1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4A3"/>
    <w:rsid w:val="0025354C"/>
    <w:rsid w:val="0025365A"/>
    <w:rsid w:val="00253865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68A"/>
    <w:rsid w:val="0029275A"/>
    <w:rsid w:val="0029287A"/>
    <w:rsid w:val="00292916"/>
    <w:rsid w:val="00293207"/>
    <w:rsid w:val="002932FD"/>
    <w:rsid w:val="002933CB"/>
    <w:rsid w:val="00293DA1"/>
    <w:rsid w:val="00293DC5"/>
    <w:rsid w:val="002941FB"/>
    <w:rsid w:val="0029429E"/>
    <w:rsid w:val="00294346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B68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5AF2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80A"/>
    <w:rsid w:val="003109A0"/>
    <w:rsid w:val="00310A0F"/>
    <w:rsid w:val="00310AA1"/>
    <w:rsid w:val="00310F17"/>
    <w:rsid w:val="003110C7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60DD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497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C65"/>
    <w:rsid w:val="00337CCE"/>
    <w:rsid w:val="00337F1E"/>
    <w:rsid w:val="00337F3A"/>
    <w:rsid w:val="00337F5A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03"/>
    <w:rsid w:val="00356C5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182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05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274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BCF"/>
    <w:rsid w:val="003D20D3"/>
    <w:rsid w:val="003D2366"/>
    <w:rsid w:val="003D2654"/>
    <w:rsid w:val="003D2659"/>
    <w:rsid w:val="003D2888"/>
    <w:rsid w:val="003D2AC1"/>
    <w:rsid w:val="003D2BC8"/>
    <w:rsid w:val="003D2F75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7AF"/>
    <w:rsid w:val="004138A8"/>
    <w:rsid w:val="00413BFF"/>
    <w:rsid w:val="00413EA4"/>
    <w:rsid w:val="0041409E"/>
    <w:rsid w:val="004141D1"/>
    <w:rsid w:val="004144E3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62A"/>
    <w:rsid w:val="00417667"/>
    <w:rsid w:val="004176F9"/>
    <w:rsid w:val="00417769"/>
    <w:rsid w:val="00417A0D"/>
    <w:rsid w:val="004203C1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82"/>
    <w:rsid w:val="00421B73"/>
    <w:rsid w:val="00421CAC"/>
    <w:rsid w:val="00422430"/>
    <w:rsid w:val="004224EA"/>
    <w:rsid w:val="004228C9"/>
    <w:rsid w:val="00422A6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E97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46F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703"/>
    <w:rsid w:val="00447844"/>
    <w:rsid w:val="004479A4"/>
    <w:rsid w:val="00447C2D"/>
    <w:rsid w:val="0045011E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90"/>
    <w:rsid w:val="0047102B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1F6"/>
    <w:rsid w:val="004A59BC"/>
    <w:rsid w:val="004A5CD1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105B"/>
    <w:rsid w:val="004C1134"/>
    <w:rsid w:val="004C11F8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BD"/>
    <w:rsid w:val="004C3999"/>
    <w:rsid w:val="004C3AA1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757"/>
    <w:rsid w:val="005378DA"/>
    <w:rsid w:val="00537927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8B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EF6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2D"/>
    <w:rsid w:val="00591E4D"/>
    <w:rsid w:val="00591E5F"/>
    <w:rsid w:val="00592174"/>
    <w:rsid w:val="00592248"/>
    <w:rsid w:val="0059285C"/>
    <w:rsid w:val="00592A26"/>
    <w:rsid w:val="00592B4C"/>
    <w:rsid w:val="00592EF0"/>
    <w:rsid w:val="00592FCB"/>
    <w:rsid w:val="0059358B"/>
    <w:rsid w:val="005936BA"/>
    <w:rsid w:val="005936FC"/>
    <w:rsid w:val="00593702"/>
    <w:rsid w:val="005938D3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62C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15"/>
    <w:rsid w:val="005D1CEA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308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CE8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9D8"/>
    <w:rsid w:val="00614A25"/>
    <w:rsid w:val="00614AE8"/>
    <w:rsid w:val="00614C58"/>
    <w:rsid w:val="00614D06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963"/>
    <w:rsid w:val="00631C8A"/>
    <w:rsid w:val="00631CBC"/>
    <w:rsid w:val="00631CD4"/>
    <w:rsid w:val="00631E92"/>
    <w:rsid w:val="00631F32"/>
    <w:rsid w:val="006321AA"/>
    <w:rsid w:val="006327AF"/>
    <w:rsid w:val="00632934"/>
    <w:rsid w:val="00632FFC"/>
    <w:rsid w:val="00632FFF"/>
    <w:rsid w:val="00633253"/>
    <w:rsid w:val="006333E5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D5E"/>
    <w:rsid w:val="00664DEB"/>
    <w:rsid w:val="00665026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4B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C6"/>
    <w:rsid w:val="006F115F"/>
    <w:rsid w:val="006F16F9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520"/>
    <w:rsid w:val="007305E2"/>
    <w:rsid w:val="00730813"/>
    <w:rsid w:val="00730A45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61"/>
    <w:rsid w:val="00733839"/>
    <w:rsid w:val="00733B1C"/>
    <w:rsid w:val="00733D97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539"/>
    <w:rsid w:val="007416B5"/>
    <w:rsid w:val="00741B68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29D1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918"/>
    <w:rsid w:val="007B7B5E"/>
    <w:rsid w:val="007B7CC5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30D4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26"/>
    <w:rsid w:val="00837971"/>
    <w:rsid w:val="00837AEB"/>
    <w:rsid w:val="00837B94"/>
    <w:rsid w:val="00837BC3"/>
    <w:rsid w:val="008401E1"/>
    <w:rsid w:val="00840286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664"/>
    <w:rsid w:val="00843790"/>
    <w:rsid w:val="008439EC"/>
    <w:rsid w:val="00843AA3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9A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E51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4DE"/>
    <w:rsid w:val="0089285E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674"/>
    <w:rsid w:val="008B468A"/>
    <w:rsid w:val="008B475E"/>
    <w:rsid w:val="008B4760"/>
    <w:rsid w:val="008B494F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72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641B"/>
    <w:rsid w:val="008E68CD"/>
    <w:rsid w:val="008E6A97"/>
    <w:rsid w:val="008E6E6C"/>
    <w:rsid w:val="008E6FD9"/>
    <w:rsid w:val="008E6FE0"/>
    <w:rsid w:val="008E748E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57B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8CA"/>
    <w:rsid w:val="00946A5E"/>
    <w:rsid w:val="00946B02"/>
    <w:rsid w:val="00946C62"/>
    <w:rsid w:val="0094712F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27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B3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19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25"/>
    <w:rsid w:val="00976E42"/>
    <w:rsid w:val="00976F61"/>
    <w:rsid w:val="0097717F"/>
    <w:rsid w:val="0097793C"/>
    <w:rsid w:val="00977B14"/>
    <w:rsid w:val="00977C27"/>
    <w:rsid w:val="00977D3E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B4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8CF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62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0FFA"/>
    <w:rsid w:val="009E1289"/>
    <w:rsid w:val="009E12E9"/>
    <w:rsid w:val="009E13BD"/>
    <w:rsid w:val="009E14B4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AC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117B"/>
    <w:rsid w:val="00A214E1"/>
    <w:rsid w:val="00A216C3"/>
    <w:rsid w:val="00A2178C"/>
    <w:rsid w:val="00A21A25"/>
    <w:rsid w:val="00A21C0F"/>
    <w:rsid w:val="00A21FD6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A09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4A1"/>
    <w:rsid w:val="00A644DA"/>
    <w:rsid w:val="00A647B6"/>
    <w:rsid w:val="00A64B78"/>
    <w:rsid w:val="00A64DF2"/>
    <w:rsid w:val="00A64E0D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A0A"/>
    <w:rsid w:val="00AC7C2F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11C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C0A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E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67"/>
    <w:rsid w:val="00B46AB8"/>
    <w:rsid w:val="00B46C21"/>
    <w:rsid w:val="00B46CE3"/>
    <w:rsid w:val="00B470BF"/>
    <w:rsid w:val="00B4742F"/>
    <w:rsid w:val="00B477E5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996"/>
    <w:rsid w:val="00B53C22"/>
    <w:rsid w:val="00B53D61"/>
    <w:rsid w:val="00B53F54"/>
    <w:rsid w:val="00B5400D"/>
    <w:rsid w:val="00B5453F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13C"/>
    <w:rsid w:val="00B633AA"/>
    <w:rsid w:val="00B634E3"/>
    <w:rsid w:val="00B6358B"/>
    <w:rsid w:val="00B637D3"/>
    <w:rsid w:val="00B6384A"/>
    <w:rsid w:val="00B63934"/>
    <w:rsid w:val="00B63A78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421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AD"/>
    <w:rsid w:val="00BA459C"/>
    <w:rsid w:val="00BA47BE"/>
    <w:rsid w:val="00BA48EB"/>
    <w:rsid w:val="00BA4BD6"/>
    <w:rsid w:val="00BA4D8A"/>
    <w:rsid w:val="00BA4FD7"/>
    <w:rsid w:val="00BA52F5"/>
    <w:rsid w:val="00BA5522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A41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F8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BE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1CA"/>
    <w:rsid w:val="00C4026B"/>
    <w:rsid w:val="00C4039C"/>
    <w:rsid w:val="00C4060C"/>
    <w:rsid w:val="00C40634"/>
    <w:rsid w:val="00C4065C"/>
    <w:rsid w:val="00C408DD"/>
    <w:rsid w:val="00C4098C"/>
    <w:rsid w:val="00C40CC0"/>
    <w:rsid w:val="00C40F06"/>
    <w:rsid w:val="00C41092"/>
    <w:rsid w:val="00C41194"/>
    <w:rsid w:val="00C41455"/>
    <w:rsid w:val="00C414AD"/>
    <w:rsid w:val="00C4157F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5B1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420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FC7"/>
    <w:rsid w:val="00CB2010"/>
    <w:rsid w:val="00CB2458"/>
    <w:rsid w:val="00CB2471"/>
    <w:rsid w:val="00CB2724"/>
    <w:rsid w:val="00CB275A"/>
    <w:rsid w:val="00CB294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836"/>
    <w:rsid w:val="00CC4852"/>
    <w:rsid w:val="00CC4A45"/>
    <w:rsid w:val="00CC4B9F"/>
    <w:rsid w:val="00CC50F7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652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D4"/>
    <w:rsid w:val="00CF6866"/>
    <w:rsid w:val="00CF68F3"/>
    <w:rsid w:val="00CF69EC"/>
    <w:rsid w:val="00CF6A8E"/>
    <w:rsid w:val="00CF6AE4"/>
    <w:rsid w:val="00CF6B54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033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66B"/>
    <w:rsid w:val="00D7588C"/>
    <w:rsid w:val="00D75A89"/>
    <w:rsid w:val="00D75BE7"/>
    <w:rsid w:val="00D75C71"/>
    <w:rsid w:val="00D75E77"/>
    <w:rsid w:val="00D76018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2D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952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2FB4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598"/>
    <w:rsid w:val="00DC35BD"/>
    <w:rsid w:val="00DC3888"/>
    <w:rsid w:val="00DC398A"/>
    <w:rsid w:val="00DC39DF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736"/>
    <w:rsid w:val="00DE0BE2"/>
    <w:rsid w:val="00DE0C52"/>
    <w:rsid w:val="00DE0CF7"/>
    <w:rsid w:val="00DE0D16"/>
    <w:rsid w:val="00DE126F"/>
    <w:rsid w:val="00DE12C8"/>
    <w:rsid w:val="00DE140E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165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512"/>
    <w:rsid w:val="00DF25FC"/>
    <w:rsid w:val="00DF261F"/>
    <w:rsid w:val="00DF2676"/>
    <w:rsid w:val="00DF2695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075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2F"/>
    <w:rsid w:val="00E438A9"/>
    <w:rsid w:val="00E439BA"/>
    <w:rsid w:val="00E43BAB"/>
    <w:rsid w:val="00E43F16"/>
    <w:rsid w:val="00E4488A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87"/>
    <w:rsid w:val="00E51B19"/>
    <w:rsid w:val="00E51C46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F"/>
    <w:rsid w:val="00E54263"/>
    <w:rsid w:val="00E543E8"/>
    <w:rsid w:val="00E54BB8"/>
    <w:rsid w:val="00E54CEC"/>
    <w:rsid w:val="00E54EA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809"/>
    <w:rsid w:val="00E81A84"/>
    <w:rsid w:val="00E81A92"/>
    <w:rsid w:val="00E81AA4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87E30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A7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EE7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2A21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6D"/>
    <w:rsid w:val="00ED7F7F"/>
    <w:rsid w:val="00EE02F1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0A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4F1B"/>
    <w:rsid w:val="00F05074"/>
    <w:rsid w:val="00F05292"/>
    <w:rsid w:val="00F052C2"/>
    <w:rsid w:val="00F054A3"/>
    <w:rsid w:val="00F0563A"/>
    <w:rsid w:val="00F05756"/>
    <w:rsid w:val="00F05C1B"/>
    <w:rsid w:val="00F05CAA"/>
    <w:rsid w:val="00F05CCD"/>
    <w:rsid w:val="00F05E3E"/>
    <w:rsid w:val="00F05E8B"/>
    <w:rsid w:val="00F0603D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88B"/>
    <w:rsid w:val="00F2389A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208"/>
    <w:rsid w:val="00F33676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A09"/>
    <w:rsid w:val="00F41EE3"/>
    <w:rsid w:val="00F42049"/>
    <w:rsid w:val="00F42411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D3"/>
    <w:rsid w:val="00F4427C"/>
    <w:rsid w:val="00F44374"/>
    <w:rsid w:val="00F444FD"/>
    <w:rsid w:val="00F446D7"/>
    <w:rsid w:val="00F449E8"/>
    <w:rsid w:val="00F44D00"/>
    <w:rsid w:val="00F451AB"/>
    <w:rsid w:val="00F452F8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222D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0B7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84C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15C"/>
    <w:rsid w:val="00FA0301"/>
    <w:rsid w:val="00FA0475"/>
    <w:rsid w:val="00FA04FE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BC3"/>
    <w:rsid w:val="00FC7CAB"/>
    <w:rsid w:val="00FC7DDB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44C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D1FCE5D0-70A0-42BA-8D3B-355B6B9E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27"/>
    <w:rPr>
      <w:rFonts w:eastAsia="宋体"/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eastAsiaTheme="minorEastAsia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eastAsiaTheme="minorEastAsia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rFonts w:eastAsiaTheme="minorEastAsia"/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eastAsiaTheme="minorEastAsia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rFonts w:eastAsiaTheme="minorEastAsia"/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eastAsiaTheme="minorEastAsia"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rFonts w:eastAsiaTheme="minorEastAsia"/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eastAsiaTheme="minorEastAsia"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eastAsiaTheme="min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rsid w:val="007C0926"/>
    <w:rPr>
      <w:rFonts w:eastAsiaTheme="minorEastAsia"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rFonts w:eastAsiaTheme="minorEastAsia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  <w:rPr>
      <w:rFonts w:eastAsiaTheme="minorEastAsia"/>
    </w:rPr>
  </w:style>
  <w:style w:type="table" w:styleId="TableGrid">
    <w:name w:val="Table Grid"/>
    <w:basedOn w:val="TableNormal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  <w:rPr>
      <w:rFonts w:eastAsiaTheme="minorEastAsia"/>
    </w:r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rFonts w:eastAsiaTheme="minorEastAsia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Theme="minorEastAsia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link w:val="MDPI22heading2Char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link w:val="MDPI31textCarter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character" w:customStyle="1" w:styleId="MDPI31textCarter">
    <w:name w:val="MDPI_3.1_text Caráter"/>
    <w:basedOn w:val="DefaultParagraphFont"/>
    <w:link w:val="MDPI31text"/>
    <w:rsid w:val="001A2F27"/>
    <w:rPr>
      <w:rFonts w:eastAsia="Times New Roman"/>
      <w:snapToGrid w:val="0"/>
      <w:szCs w:val="22"/>
      <w:lang w:eastAsia="de-DE" w:bidi="en-US"/>
    </w:rPr>
  </w:style>
  <w:style w:type="paragraph" w:customStyle="1" w:styleId="TAMainText">
    <w:name w:val="TA_Main_Text"/>
    <w:basedOn w:val="Normal"/>
    <w:link w:val="TAMainTextCarter"/>
    <w:rsid w:val="001A2F27"/>
    <w:pPr>
      <w:spacing w:line="480" w:lineRule="auto"/>
      <w:ind w:firstLine="202"/>
    </w:pPr>
    <w:rPr>
      <w:rFonts w:ascii="Times" w:eastAsia="Times New Roman" w:hAnsi="Times"/>
      <w:noProof w:val="0"/>
      <w:color w:val="auto"/>
      <w:sz w:val="24"/>
      <w:lang w:eastAsia="en-US"/>
    </w:rPr>
  </w:style>
  <w:style w:type="character" w:customStyle="1" w:styleId="TAMainTextCarter">
    <w:name w:val="TA_Main_Text Caráter"/>
    <w:basedOn w:val="DefaultParagraphFont"/>
    <w:link w:val="TAMainText"/>
    <w:rsid w:val="001A2F27"/>
    <w:rPr>
      <w:rFonts w:ascii="Times" w:eastAsia="Times New Roman" w:hAnsi="Times"/>
      <w:color w:val="auto"/>
      <w:sz w:val="24"/>
      <w:lang w:eastAsia="en-US"/>
    </w:rPr>
  </w:style>
  <w:style w:type="paragraph" w:customStyle="1" w:styleId="MainText">
    <w:name w:val="Main Text"/>
    <w:basedOn w:val="Normal"/>
    <w:link w:val="MainTextChar"/>
    <w:rsid w:val="001A2F27"/>
    <w:pPr>
      <w:spacing w:line="480" w:lineRule="auto"/>
      <w:jc w:val="left"/>
    </w:pPr>
    <w:rPr>
      <w:rFonts w:ascii="Times New Roman" w:eastAsia="MS Mincho" w:hAnsi="Times New Roman"/>
      <w:noProof w:val="0"/>
      <w:color w:val="auto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1A2F27"/>
    <w:rPr>
      <w:rFonts w:ascii="Times New Roman" w:eastAsia="MS Mincho" w:hAnsi="Times New Roman"/>
      <w:color w:val="auto"/>
      <w:sz w:val="24"/>
      <w:szCs w:val="24"/>
      <w:lang w:eastAsia="ja-JP"/>
    </w:rPr>
  </w:style>
  <w:style w:type="paragraph" w:customStyle="1" w:styleId="MTDisplayEquation">
    <w:name w:val="MTDisplayEquation"/>
    <w:basedOn w:val="MDPI22heading2"/>
    <w:next w:val="Normal"/>
    <w:link w:val="MTDisplayEquationChar"/>
    <w:rsid w:val="001A2F27"/>
    <w:pPr>
      <w:tabs>
        <w:tab w:val="center" w:pos="6520"/>
        <w:tab w:val="right" w:pos="10460"/>
      </w:tabs>
      <w:ind w:firstLine="452"/>
      <w:jc w:val="both"/>
    </w:pPr>
    <w:rPr>
      <w:i w:val="0"/>
    </w:rPr>
  </w:style>
  <w:style w:type="character" w:customStyle="1" w:styleId="MDPI22heading2Char">
    <w:name w:val="MDPI_2.2_heading2 Char"/>
    <w:basedOn w:val="DefaultParagraphFont"/>
    <w:link w:val="MDPI22heading2"/>
    <w:rsid w:val="001A2F27"/>
    <w:rPr>
      <w:rFonts w:eastAsia="Times New Roman"/>
      <w:i/>
      <w:noProof/>
      <w:snapToGrid w:val="0"/>
      <w:szCs w:val="22"/>
      <w:lang w:eastAsia="de-DE" w:bidi="en-US"/>
    </w:rPr>
  </w:style>
  <w:style w:type="character" w:customStyle="1" w:styleId="MTDisplayEquationChar">
    <w:name w:val="MTDisplayEquation Char"/>
    <w:basedOn w:val="MDPI22heading2Char"/>
    <w:link w:val="MTDisplayEquation"/>
    <w:rsid w:val="001A2F27"/>
    <w:rPr>
      <w:rFonts w:eastAsia="Times New Roman"/>
      <w:i w:val="0"/>
      <w:noProof/>
      <w:snapToGrid w:val="0"/>
      <w:szCs w:val="22"/>
      <w:lang w:eastAsia="de-DE" w:bidi="en-US"/>
    </w:rPr>
  </w:style>
  <w:style w:type="paragraph" w:customStyle="1" w:styleId="BCAuthorAddress">
    <w:name w:val="BC_Author_Address"/>
    <w:basedOn w:val="Normal"/>
    <w:next w:val="Normal"/>
    <w:rsid w:val="001A2F27"/>
    <w:pPr>
      <w:spacing w:after="240" w:line="480" w:lineRule="auto"/>
      <w:jc w:val="center"/>
    </w:pPr>
    <w:rPr>
      <w:rFonts w:ascii="Times" w:eastAsia="Times New Roman" w:hAnsi="Times"/>
      <w:noProof w:val="0"/>
      <w:color w:val="auto"/>
      <w:sz w:val="24"/>
      <w:lang w:eastAsia="en-US"/>
    </w:rPr>
  </w:style>
  <w:style w:type="paragraph" w:customStyle="1" w:styleId="EndNoteBibliography">
    <w:name w:val="EndNote Bibliography"/>
    <w:basedOn w:val="Normal"/>
    <w:link w:val="EndNoteBibliographyCarter"/>
    <w:rsid w:val="001A2F27"/>
    <w:pPr>
      <w:spacing w:after="160" w:line="240" w:lineRule="auto"/>
    </w:pPr>
    <w:rPr>
      <w:rFonts w:eastAsiaTheme="minorHAnsi" w:cs="Calibri"/>
      <w:color w:val="auto"/>
      <w:sz w:val="18"/>
      <w:szCs w:val="22"/>
      <w:lang w:eastAsia="en-US"/>
    </w:rPr>
  </w:style>
  <w:style w:type="character" w:customStyle="1" w:styleId="EndNoteBibliographyCarter">
    <w:name w:val="EndNote Bibliography Caráter"/>
    <w:basedOn w:val="DefaultParagraphFont"/>
    <w:link w:val="EndNoteBibliography"/>
    <w:rsid w:val="001A2F27"/>
    <w:rPr>
      <w:rFonts w:eastAsiaTheme="minorHAnsi" w:cs="Calibri"/>
      <w:noProof/>
      <w:color w:val="auto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26" Type="http://schemas.openxmlformats.org/officeDocument/2006/relationships/oleObject" Target="embeddings/oleObject7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76" Type="http://schemas.openxmlformats.org/officeDocument/2006/relationships/image" Target="media/image37.wmf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wmf"/><Relationship Id="rId11" Type="http://schemas.openxmlformats.org/officeDocument/2006/relationships/image" Target="media/image4.e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82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77" Type="http://schemas.openxmlformats.org/officeDocument/2006/relationships/oleObject" Target="embeddings/oleObject33.bin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oleObject" Target="embeddings/oleObject30.bin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png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oleObject" Target="embeddings/oleObject32.bin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image" Target="media/image38.wmf"/><Relationship Id="rId8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27E8A-D7DE-450E-A2CF-85C7B4D9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1744</Words>
  <Characters>10205</Characters>
  <Application>Microsoft Office Word</Application>
  <DocSecurity>0</DocSecurity>
  <Lines>283</Lines>
  <Paragraphs>144</Paragraphs>
  <ScaleCrop>false</ScaleCrop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Bruce Ren</dc:creator>
  <cp:keywords/>
  <dc:description/>
  <cp:lastModifiedBy>Bruce Ren</cp:lastModifiedBy>
  <cp:revision>2</cp:revision>
  <dcterms:created xsi:type="dcterms:W3CDTF">2023-03-13T01:24:00Z</dcterms:created>
  <dcterms:modified xsi:type="dcterms:W3CDTF">2023-03-13T01:26:00Z</dcterms:modified>
</cp:coreProperties>
</file>