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9E1" w:rsidR="001C4A9D" w:rsidP="1988E69E" w:rsidRDefault="001C4A9D" w14:paraId="01F667C5" w14:textId="1B17AA3B">
      <w:pPr>
        <w:jc w:val="both"/>
        <w:rPr>
          <w:rFonts w:ascii="Palatino Linotype" w:hAnsi="Palatino Linotype" w:eastAsia="Times New Roman" w:cs="Times New Roman"/>
          <w:snapToGrid w:val="0"/>
          <w:color w:val="000000"/>
          <w:sz w:val="20"/>
          <w:szCs w:val="20"/>
          <w:lang w:val="en-US" w:eastAsia="de-DE" w:bidi="en-US"/>
        </w:rPr>
      </w:pPr>
      <w:r w:rsidRPr="1988E69E" w:rsidR="001C4A9D">
        <w:rPr>
          <w:rFonts w:ascii="Palatino Linotype" w:hAnsi="Palatino Linotype" w:eastAsia="Times New Roman" w:cs="Times New Roman"/>
          <w:b w:val="1"/>
          <w:bCs w:val="1"/>
          <w:snapToGrid w:val="0"/>
          <w:color w:val="000000"/>
          <w:sz w:val="20"/>
          <w:szCs w:val="20"/>
          <w:lang w:val="en-US" w:eastAsia="de-DE" w:bidi="en-US"/>
        </w:rPr>
        <w:t>Table S1.</w:t>
      </w:r>
      <w:r w:rsidRPr="1988E69E" w:rsidR="001C4A9D">
        <w:rPr>
          <w:rFonts w:ascii="Palatino Linotype" w:hAnsi="Palatino Linotype" w:eastAsia="Times New Roman" w:cs="Times New Roman"/>
          <w:snapToGrid w:val="0"/>
          <w:color w:val="000000"/>
          <w:sz w:val="20"/>
          <w:szCs w:val="20"/>
          <w:lang w:val="en-US" w:eastAsia="de-DE" w:bidi="en-US"/>
        </w:rPr>
        <w:t xml:space="preserve"> </w:t>
      </w:r>
      <w:r w:rsidRPr="1988E69E" w:rsidR="199D206A">
        <w:rPr>
          <w:rFonts w:ascii="Palatino Linotype" w:hAnsi="Palatino Linotype" w:eastAsia="Times New Roman" w:cs="Times New Roman"/>
          <w:color w:val="000000" w:themeColor="text1" w:themeTint="FF" w:themeShade="FF"/>
          <w:sz w:val="20"/>
          <w:szCs w:val="20"/>
          <w:lang w:val="en-US" w:eastAsia="de-DE" w:bidi="en-US"/>
        </w:rPr>
        <w:t>Median ± interquartile range of alpha diversity as richness index (ACE and Chao 1) and diversity estimators (Fisher, Simpson, and Shannon) of ruminal microbial population in Nellore cattle grazing Urochloa brizantha cv. Marandu and supplemented or not with phytogenic compounds during the rainy season.</w:t>
      </w:r>
    </w:p>
    <w:tbl>
      <w:tblPr>
        <w:tblStyle w:val="Tablaconcuadrcula"/>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6"/>
        <w:gridCol w:w="1603"/>
        <w:gridCol w:w="1603"/>
        <w:gridCol w:w="1490"/>
        <w:gridCol w:w="1490"/>
        <w:gridCol w:w="754"/>
        <w:gridCol w:w="754"/>
        <w:gridCol w:w="1260"/>
      </w:tblGrid>
      <w:tr w:rsidRPr="002F29E1" w:rsidR="00413D15" w:rsidTr="00F450B4" w14:paraId="453B16DB" w14:textId="77777777">
        <w:tc>
          <w:tcPr>
            <w:tcW w:w="559" w:type="pct"/>
            <w:vMerge w:val="restart"/>
            <w:tcBorders>
              <w:top w:val="single" w:color="auto" w:sz="4" w:space="0"/>
            </w:tcBorders>
            <w:vAlign w:val="center"/>
          </w:tcPr>
          <w:p w:rsidRPr="002F29E1" w:rsidR="00413D15" w:rsidP="001063B4" w:rsidRDefault="00413D15" w14:paraId="64F7A1F1" w14:textId="77777777">
            <w:pPr>
              <w:rPr>
                <w:rFonts w:ascii="Palatino Linotype" w:hAnsi="Palatino Linotype" w:eastAsia="Times New Roman" w:cs="Times New Roman"/>
                <w:b/>
                <w:bCs/>
                <w:snapToGrid w:val="0"/>
                <w:color w:val="000000"/>
                <w:sz w:val="20"/>
                <w:lang w:val="en-US" w:eastAsia="de-DE" w:bidi="en-US"/>
              </w:rPr>
            </w:pPr>
          </w:p>
        </w:tc>
        <w:tc>
          <w:tcPr>
            <w:tcW w:w="3067" w:type="pct"/>
            <w:gridSpan w:val="4"/>
            <w:tcBorders>
              <w:top w:val="single" w:color="auto" w:sz="4" w:space="0"/>
              <w:bottom w:val="single" w:color="auto" w:sz="4" w:space="0"/>
            </w:tcBorders>
          </w:tcPr>
          <w:p w:rsidRPr="00F450B4" w:rsidR="00413D15" w:rsidP="001063B4" w:rsidRDefault="00413D15" w14:paraId="0B0C8F4C" w14:textId="0D464B0E">
            <w:pPr>
              <w:jc w:val="center"/>
              <w:rPr>
                <w:rFonts w:ascii="Palatino Linotype" w:hAnsi="Palatino Linotype" w:eastAsia="Times New Roman" w:cs="Times New Roman"/>
                <w:b/>
                <w:bCs/>
                <w:snapToGrid w:val="0"/>
                <w:color w:val="000000"/>
                <w:sz w:val="20"/>
                <w:vertAlign w:val="superscript"/>
                <w:lang w:val="en-US" w:eastAsia="de-DE" w:bidi="en-US"/>
              </w:rPr>
            </w:pPr>
            <w:r w:rsidRPr="002F29E1">
              <w:rPr>
                <w:rFonts w:ascii="Palatino Linotype" w:hAnsi="Palatino Linotype" w:eastAsia="Times New Roman" w:cs="Times New Roman"/>
                <w:b/>
                <w:bCs/>
                <w:snapToGrid w:val="0"/>
                <w:color w:val="000000"/>
                <w:sz w:val="20"/>
                <w:lang w:val="en-US" w:eastAsia="de-DE" w:bidi="en-US"/>
              </w:rPr>
              <w:t>Supplements</w:t>
            </w:r>
            <w:r w:rsidR="00F450B4">
              <w:rPr>
                <w:rFonts w:ascii="Palatino Linotype" w:hAnsi="Palatino Linotype" w:eastAsia="Times New Roman" w:cs="Times New Roman"/>
                <w:b/>
                <w:bCs/>
                <w:snapToGrid w:val="0"/>
                <w:color w:val="000000"/>
                <w:sz w:val="20"/>
                <w:vertAlign w:val="superscript"/>
                <w:lang w:val="en-US" w:eastAsia="de-DE" w:bidi="en-US"/>
              </w:rPr>
              <w:t>1</w:t>
            </w:r>
          </w:p>
        </w:tc>
        <w:tc>
          <w:tcPr>
            <w:tcW w:w="1374" w:type="pct"/>
            <w:gridSpan w:val="3"/>
            <w:tcBorders>
              <w:top w:val="single" w:color="auto" w:sz="4" w:space="0"/>
              <w:bottom w:val="single" w:color="auto" w:sz="4" w:space="0"/>
            </w:tcBorders>
            <w:vAlign w:val="center"/>
          </w:tcPr>
          <w:p w:rsidRPr="00F450B4" w:rsidR="00413D15" w:rsidP="001063B4" w:rsidRDefault="00413D15" w14:paraId="2756BA70" w14:textId="5CBA05B7">
            <w:pPr>
              <w:jc w:val="center"/>
              <w:rPr>
                <w:rFonts w:ascii="Palatino Linotype" w:hAnsi="Palatino Linotype" w:eastAsia="Times New Roman" w:cs="Times New Roman"/>
                <w:b/>
                <w:bCs/>
                <w:snapToGrid w:val="0"/>
                <w:color w:val="000000"/>
                <w:sz w:val="20"/>
                <w:vertAlign w:val="superscript"/>
                <w:lang w:val="en-US" w:eastAsia="de-DE" w:bidi="en-US"/>
              </w:rPr>
            </w:pPr>
            <w:r w:rsidRPr="002F29E1">
              <w:rPr>
                <w:rFonts w:ascii="Palatino Linotype" w:hAnsi="Palatino Linotype" w:eastAsia="Times New Roman" w:cs="Times New Roman"/>
                <w:b/>
                <w:bCs/>
                <w:snapToGrid w:val="0"/>
                <w:color w:val="000000"/>
                <w:sz w:val="20"/>
                <w:lang w:val="en-US" w:eastAsia="de-DE" w:bidi="en-US"/>
              </w:rPr>
              <w:t>P-value</w:t>
            </w:r>
            <w:r w:rsidR="00F450B4">
              <w:rPr>
                <w:rFonts w:ascii="Palatino Linotype" w:hAnsi="Palatino Linotype" w:eastAsia="Times New Roman" w:cs="Times New Roman"/>
                <w:b/>
                <w:bCs/>
                <w:snapToGrid w:val="0"/>
                <w:color w:val="000000"/>
                <w:sz w:val="20"/>
                <w:vertAlign w:val="superscript"/>
                <w:lang w:val="en-US" w:eastAsia="de-DE" w:bidi="en-US"/>
              </w:rPr>
              <w:t>2</w:t>
            </w:r>
          </w:p>
        </w:tc>
      </w:tr>
      <w:tr w:rsidRPr="002F29E1" w:rsidR="00EB2667" w:rsidTr="00F450B4" w14:paraId="65D67154" w14:textId="77777777">
        <w:tc>
          <w:tcPr>
            <w:tcW w:w="559" w:type="pct"/>
            <w:vMerge/>
            <w:tcBorders>
              <w:bottom w:val="single" w:color="auto" w:sz="4" w:space="0"/>
            </w:tcBorders>
            <w:vAlign w:val="center"/>
          </w:tcPr>
          <w:p w:rsidRPr="002F29E1" w:rsidR="00EB2667" w:rsidP="001063B4" w:rsidRDefault="00EB2667" w14:paraId="06E8A3EF" w14:textId="77777777">
            <w:pPr>
              <w:rPr>
                <w:rFonts w:ascii="Palatino Linotype" w:hAnsi="Palatino Linotype" w:eastAsia="Times New Roman" w:cs="Times New Roman"/>
                <w:b/>
                <w:bCs/>
                <w:snapToGrid w:val="0"/>
                <w:color w:val="000000"/>
                <w:sz w:val="20"/>
                <w:lang w:val="en-US" w:eastAsia="de-DE" w:bidi="en-US"/>
              </w:rPr>
            </w:pPr>
          </w:p>
        </w:tc>
        <w:tc>
          <w:tcPr>
            <w:tcW w:w="795" w:type="pct"/>
            <w:tcBorders>
              <w:top w:val="single" w:color="auto" w:sz="4" w:space="0"/>
              <w:bottom w:val="single" w:color="auto" w:sz="4" w:space="0"/>
            </w:tcBorders>
            <w:vAlign w:val="center"/>
          </w:tcPr>
          <w:p w:rsidRPr="002F29E1" w:rsidR="00EB2667" w:rsidP="001063B4" w:rsidRDefault="00EB2667" w14:paraId="25E5A92B"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EW</w:t>
            </w:r>
          </w:p>
        </w:tc>
        <w:tc>
          <w:tcPr>
            <w:tcW w:w="795" w:type="pct"/>
            <w:tcBorders>
              <w:top w:val="single" w:color="auto" w:sz="4" w:space="0"/>
              <w:bottom w:val="single" w:color="auto" w:sz="4" w:space="0"/>
            </w:tcBorders>
            <w:vAlign w:val="center"/>
          </w:tcPr>
          <w:p w:rsidRPr="002F29E1" w:rsidR="00EB2667" w:rsidP="001063B4" w:rsidRDefault="00EB2667" w14:paraId="7697A9F0"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EPHA</w:t>
            </w:r>
          </w:p>
        </w:tc>
        <w:tc>
          <w:tcPr>
            <w:tcW w:w="739" w:type="pct"/>
            <w:tcBorders>
              <w:top w:val="single" w:color="auto" w:sz="4" w:space="0"/>
              <w:bottom w:val="single" w:color="auto" w:sz="4" w:space="0"/>
            </w:tcBorders>
            <w:vAlign w:val="center"/>
          </w:tcPr>
          <w:p w:rsidRPr="002F29E1" w:rsidR="00EB2667" w:rsidP="001063B4" w:rsidRDefault="00EB2667" w14:paraId="6C513B1B"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MW</w:t>
            </w:r>
          </w:p>
        </w:tc>
        <w:tc>
          <w:tcPr>
            <w:tcW w:w="739" w:type="pct"/>
            <w:tcBorders>
              <w:top w:val="single" w:color="auto" w:sz="4" w:space="0"/>
              <w:bottom w:val="single" w:color="auto" w:sz="4" w:space="0"/>
            </w:tcBorders>
            <w:vAlign w:val="center"/>
          </w:tcPr>
          <w:p w:rsidRPr="002F29E1" w:rsidR="00EB2667" w:rsidP="001063B4" w:rsidRDefault="00EB2667" w14:paraId="03557C24"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MPHA</w:t>
            </w:r>
          </w:p>
        </w:tc>
        <w:tc>
          <w:tcPr>
            <w:tcW w:w="374" w:type="pct"/>
            <w:tcBorders>
              <w:top w:val="single" w:color="auto" w:sz="4" w:space="0"/>
              <w:bottom w:val="single" w:color="auto" w:sz="4" w:space="0"/>
            </w:tcBorders>
            <w:vAlign w:val="center"/>
          </w:tcPr>
          <w:p w:rsidRPr="002F29E1" w:rsidR="00EB2667" w:rsidP="001063B4" w:rsidRDefault="00EB2667" w14:paraId="5C264D54"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ST</w:t>
            </w:r>
          </w:p>
        </w:tc>
        <w:tc>
          <w:tcPr>
            <w:tcW w:w="374" w:type="pct"/>
            <w:tcBorders>
              <w:top w:val="single" w:color="auto" w:sz="4" w:space="0"/>
              <w:bottom w:val="single" w:color="auto" w:sz="4" w:space="0"/>
            </w:tcBorders>
            <w:vAlign w:val="center"/>
          </w:tcPr>
          <w:p w:rsidRPr="002F29E1" w:rsidR="00EB2667" w:rsidP="001063B4" w:rsidRDefault="00EB2667" w14:paraId="4471817C" w14:textId="77777777">
            <w:pPr>
              <w:jc w:val="cente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PHA</w:t>
            </w:r>
          </w:p>
        </w:tc>
        <w:tc>
          <w:tcPr>
            <w:tcW w:w="626" w:type="pct"/>
            <w:tcBorders>
              <w:top w:val="single" w:color="auto" w:sz="4" w:space="0"/>
              <w:bottom w:val="single" w:color="auto" w:sz="4" w:space="0"/>
            </w:tcBorders>
            <w:vAlign w:val="center"/>
          </w:tcPr>
          <w:p w:rsidRPr="002F29E1" w:rsidR="00EB2667" w:rsidP="001063B4" w:rsidRDefault="00EB2667" w14:paraId="51813B8D" w14:textId="77777777">
            <w:pPr>
              <w:rPr>
                <w:rFonts w:ascii="Palatino Linotype" w:hAnsi="Palatino Linotype" w:eastAsia="Times New Roman" w:cs="Times New Roman"/>
                <w:b/>
                <w:bCs/>
                <w:snapToGrid w:val="0"/>
                <w:color w:val="000000"/>
                <w:sz w:val="20"/>
                <w:lang w:val="en-US" w:eastAsia="de-DE" w:bidi="en-US"/>
              </w:rPr>
            </w:pPr>
            <w:r w:rsidRPr="002F29E1">
              <w:rPr>
                <w:rFonts w:ascii="Palatino Linotype" w:hAnsi="Palatino Linotype" w:eastAsia="Times New Roman" w:cs="Times New Roman"/>
                <w:b/>
                <w:bCs/>
                <w:snapToGrid w:val="0"/>
                <w:color w:val="000000"/>
                <w:sz w:val="20"/>
                <w:lang w:val="en-US" w:eastAsia="de-DE" w:bidi="en-US"/>
              </w:rPr>
              <w:t>ST × PHA</w:t>
            </w:r>
          </w:p>
        </w:tc>
      </w:tr>
      <w:tr w:rsidRPr="002F29E1" w:rsidR="00EB2667" w:rsidTr="00F450B4" w14:paraId="641FD09D" w14:textId="77777777">
        <w:trPr>
          <w:trHeight w:val="102"/>
        </w:trPr>
        <w:tc>
          <w:tcPr>
            <w:tcW w:w="559" w:type="pct"/>
          </w:tcPr>
          <w:p w:rsidRPr="002F29E1" w:rsidR="00EB2667" w:rsidP="00560D47" w:rsidRDefault="00EB2667" w14:paraId="7188979D" w14:textId="40210D65">
            <w:pPr>
              <w:jc w:val="both"/>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ACE</w:t>
            </w:r>
          </w:p>
        </w:tc>
        <w:tc>
          <w:tcPr>
            <w:tcW w:w="795" w:type="pct"/>
            <w:vAlign w:val="center"/>
          </w:tcPr>
          <w:p w:rsidRPr="002F29E1" w:rsidR="00EB2667" w:rsidP="00560D47" w:rsidRDefault="00EB2667" w14:paraId="202D4B89" w14:textId="5F277E86">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103.78 ± 45.96</w:t>
            </w:r>
          </w:p>
        </w:tc>
        <w:tc>
          <w:tcPr>
            <w:tcW w:w="795" w:type="pct"/>
            <w:vAlign w:val="center"/>
          </w:tcPr>
          <w:p w:rsidRPr="002F29E1" w:rsidR="00EB2667" w:rsidP="00560D47" w:rsidRDefault="00EB2667" w14:paraId="04B79706" w14:textId="76DACCCE">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120.11 ± 38.86</w:t>
            </w:r>
          </w:p>
        </w:tc>
        <w:tc>
          <w:tcPr>
            <w:tcW w:w="739" w:type="pct"/>
            <w:vAlign w:val="center"/>
          </w:tcPr>
          <w:p w:rsidRPr="002F29E1" w:rsidR="00EB2667" w:rsidP="00560D47" w:rsidRDefault="00EB2667" w14:paraId="58C3E15A" w14:textId="6A13F4F1">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89.32 ± 67.53</w:t>
            </w:r>
          </w:p>
        </w:tc>
        <w:tc>
          <w:tcPr>
            <w:tcW w:w="739" w:type="pct"/>
            <w:vAlign w:val="center"/>
          </w:tcPr>
          <w:p w:rsidRPr="002F29E1" w:rsidR="00EB2667" w:rsidP="00560D47" w:rsidRDefault="00EB2667" w14:paraId="6DA924B1" w14:textId="082C3675">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98.35 ± 39.41</w:t>
            </w:r>
          </w:p>
        </w:tc>
        <w:tc>
          <w:tcPr>
            <w:tcW w:w="374" w:type="pct"/>
            <w:vAlign w:val="center"/>
          </w:tcPr>
          <w:p w:rsidRPr="002F29E1" w:rsidR="00EB2667" w:rsidP="00560D47" w:rsidRDefault="00EB2667" w14:paraId="2834C17B" w14:textId="495C312D">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0.363</w:t>
            </w:r>
          </w:p>
        </w:tc>
        <w:tc>
          <w:tcPr>
            <w:tcW w:w="374" w:type="pct"/>
            <w:vAlign w:val="center"/>
          </w:tcPr>
          <w:p w:rsidRPr="002F29E1" w:rsidR="00EB2667" w:rsidP="00560D47" w:rsidRDefault="00EB2667" w14:paraId="0AEF4395" w14:textId="129F509F">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0.813</w:t>
            </w:r>
          </w:p>
        </w:tc>
        <w:tc>
          <w:tcPr>
            <w:tcW w:w="626" w:type="pct"/>
            <w:vAlign w:val="center"/>
          </w:tcPr>
          <w:p w:rsidRPr="002F29E1" w:rsidR="00EB2667" w:rsidP="00EB2667" w:rsidRDefault="00EB2667" w14:paraId="180071F0" w14:textId="510F0AE2">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0.729</w:t>
            </w:r>
          </w:p>
        </w:tc>
      </w:tr>
      <w:tr w:rsidRPr="002F29E1" w:rsidR="00EB2667" w:rsidTr="00F450B4" w14:paraId="5C07A67A" w14:textId="77777777">
        <w:tc>
          <w:tcPr>
            <w:tcW w:w="559" w:type="pct"/>
          </w:tcPr>
          <w:p w:rsidRPr="002F29E1" w:rsidR="00EB2667" w:rsidP="00560D47" w:rsidRDefault="00EB2667" w14:paraId="3392FB5D" w14:textId="099E5776">
            <w:pPr>
              <w:jc w:val="both"/>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Chao1</w:t>
            </w:r>
          </w:p>
        </w:tc>
        <w:tc>
          <w:tcPr>
            <w:tcW w:w="795" w:type="pct"/>
            <w:vAlign w:val="center"/>
          </w:tcPr>
          <w:p w:rsidRPr="002F29E1" w:rsidR="00EB2667" w:rsidP="00560D47" w:rsidRDefault="00EB2667" w14:paraId="28C200F1" w14:textId="0EE2CA2D">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100.50 ± 45.75</w:t>
            </w:r>
          </w:p>
        </w:tc>
        <w:tc>
          <w:tcPr>
            <w:tcW w:w="795" w:type="pct"/>
            <w:vAlign w:val="center"/>
          </w:tcPr>
          <w:p w:rsidRPr="002F29E1" w:rsidR="00EB2667" w:rsidP="00560D47" w:rsidRDefault="00EB2667" w14:paraId="35AAF571" w14:textId="3F662355">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116.50 ± 39.50</w:t>
            </w:r>
          </w:p>
        </w:tc>
        <w:tc>
          <w:tcPr>
            <w:tcW w:w="739" w:type="pct"/>
            <w:vAlign w:val="center"/>
          </w:tcPr>
          <w:p w:rsidRPr="002F29E1" w:rsidR="00EB2667" w:rsidP="00560D47" w:rsidRDefault="00EB2667" w14:paraId="062ADD3C" w14:textId="39B245CC">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86.50 ± 66.50</w:t>
            </w:r>
          </w:p>
        </w:tc>
        <w:tc>
          <w:tcPr>
            <w:tcW w:w="739" w:type="pct"/>
            <w:vAlign w:val="center"/>
          </w:tcPr>
          <w:p w:rsidRPr="002F29E1" w:rsidR="00EB2667" w:rsidP="00560D47" w:rsidRDefault="00EB2667" w14:paraId="35760B5B" w14:textId="12ADCBA6">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95.00 ± 38.00</w:t>
            </w:r>
          </w:p>
        </w:tc>
        <w:tc>
          <w:tcPr>
            <w:tcW w:w="374" w:type="pct"/>
            <w:vAlign w:val="center"/>
          </w:tcPr>
          <w:p w:rsidRPr="002F29E1" w:rsidR="00EB2667" w:rsidP="00560D47" w:rsidRDefault="00EB2667" w14:paraId="382C0AE8" w14:textId="7BD97E99">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0.363</w:t>
            </w:r>
          </w:p>
        </w:tc>
        <w:tc>
          <w:tcPr>
            <w:tcW w:w="374" w:type="pct"/>
            <w:vAlign w:val="center"/>
          </w:tcPr>
          <w:p w:rsidRPr="002F29E1" w:rsidR="00EB2667" w:rsidP="00560D47" w:rsidRDefault="00EB2667" w14:paraId="0CAB3D34" w14:textId="1DD9BBA6">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0.782</w:t>
            </w:r>
          </w:p>
        </w:tc>
        <w:tc>
          <w:tcPr>
            <w:tcW w:w="626" w:type="pct"/>
            <w:vAlign w:val="center"/>
          </w:tcPr>
          <w:p w:rsidRPr="002F29E1" w:rsidR="00EB2667" w:rsidP="00EB2667" w:rsidRDefault="00EB2667" w14:paraId="20579BFB" w14:textId="41E7CA55">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0.723</w:t>
            </w:r>
          </w:p>
        </w:tc>
      </w:tr>
      <w:tr w:rsidRPr="002F29E1" w:rsidR="00EB2667" w:rsidTr="00F450B4" w14:paraId="3FB889A6" w14:textId="77777777">
        <w:tc>
          <w:tcPr>
            <w:tcW w:w="559" w:type="pct"/>
          </w:tcPr>
          <w:p w:rsidRPr="002F29E1" w:rsidR="00EB2667" w:rsidP="00560D47" w:rsidRDefault="00EB2667" w14:paraId="2C8A7C4D" w14:textId="6BB23537">
            <w:pPr>
              <w:jc w:val="both"/>
              <w:rPr>
                <w:rFonts w:ascii="Palatino Linotype" w:hAnsi="Palatino Linotype" w:eastAsia="Times New Roman" w:cs="Times New Roman"/>
                <w:snapToGrid w:val="0"/>
                <w:color w:val="000000"/>
                <w:sz w:val="20"/>
                <w:lang w:val="en-US" w:eastAsia="de-DE" w:bidi="en-US"/>
              </w:rPr>
            </w:pPr>
          </w:p>
        </w:tc>
        <w:tc>
          <w:tcPr>
            <w:tcW w:w="795" w:type="pct"/>
            <w:vAlign w:val="center"/>
          </w:tcPr>
          <w:p w:rsidRPr="002F29E1" w:rsidR="00EB2667" w:rsidP="00560D47" w:rsidRDefault="00EB2667" w14:paraId="57CF519D" w14:textId="3744F686">
            <w:pPr>
              <w:jc w:val="center"/>
              <w:rPr>
                <w:rFonts w:ascii="Palatino Linotype" w:hAnsi="Palatino Linotype" w:eastAsia="Times New Roman" w:cs="Times New Roman"/>
                <w:snapToGrid w:val="0"/>
                <w:color w:val="000000"/>
                <w:sz w:val="20"/>
                <w:lang w:val="en-US" w:eastAsia="de-DE" w:bidi="en-US"/>
              </w:rPr>
            </w:pPr>
          </w:p>
        </w:tc>
        <w:tc>
          <w:tcPr>
            <w:tcW w:w="795" w:type="pct"/>
            <w:vAlign w:val="center"/>
          </w:tcPr>
          <w:p w:rsidRPr="002F29E1" w:rsidR="00EB2667" w:rsidP="00560D47" w:rsidRDefault="00EB2667" w14:paraId="477AE45A" w14:textId="185E13EA">
            <w:pPr>
              <w:jc w:val="center"/>
              <w:rPr>
                <w:rFonts w:ascii="Palatino Linotype" w:hAnsi="Palatino Linotype" w:eastAsia="Times New Roman" w:cs="Times New Roman"/>
                <w:snapToGrid w:val="0"/>
                <w:color w:val="000000"/>
                <w:sz w:val="20"/>
                <w:lang w:val="en-US" w:eastAsia="de-DE" w:bidi="en-US"/>
              </w:rPr>
            </w:pPr>
          </w:p>
        </w:tc>
        <w:tc>
          <w:tcPr>
            <w:tcW w:w="739" w:type="pct"/>
            <w:vAlign w:val="center"/>
          </w:tcPr>
          <w:p w:rsidRPr="002F29E1" w:rsidR="00EB2667" w:rsidP="00560D47" w:rsidRDefault="00EB2667" w14:paraId="53E2A8F2" w14:textId="479C72E9">
            <w:pPr>
              <w:jc w:val="center"/>
              <w:rPr>
                <w:rFonts w:ascii="Palatino Linotype" w:hAnsi="Palatino Linotype" w:eastAsia="Times New Roman" w:cs="Times New Roman"/>
                <w:snapToGrid w:val="0"/>
                <w:color w:val="000000"/>
                <w:sz w:val="20"/>
                <w:lang w:val="en-US" w:eastAsia="de-DE" w:bidi="en-US"/>
              </w:rPr>
            </w:pPr>
          </w:p>
        </w:tc>
        <w:tc>
          <w:tcPr>
            <w:tcW w:w="739" w:type="pct"/>
            <w:vAlign w:val="center"/>
          </w:tcPr>
          <w:p w:rsidRPr="002F29E1" w:rsidR="00EB2667" w:rsidP="00560D47" w:rsidRDefault="00EB2667" w14:paraId="39783DCE" w14:textId="19E4D04D">
            <w:pPr>
              <w:jc w:val="center"/>
              <w:rPr>
                <w:rFonts w:ascii="Palatino Linotype" w:hAnsi="Palatino Linotype" w:eastAsia="Times New Roman" w:cs="Times New Roman"/>
                <w:snapToGrid w:val="0"/>
                <w:color w:val="000000"/>
                <w:sz w:val="20"/>
                <w:lang w:val="en-US" w:eastAsia="de-DE" w:bidi="en-US"/>
              </w:rPr>
            </w:pPr>
          </w:p>
        </w:tc>
        <w:tc>
          <w:tcPr>
            <w:tcW w:w="374" w:type="pct"/>
            <w:vAlign w:val="center"/>
          </w:tcPr>
          <w:p w:rsidRPr="002F29E1" w:rsidR="00EB2667" w:rsidP="00560D47" w:rsidRDefault="00EB2667" w14:paraId="5F53754F" w14:textId="372614E5">
            <w:pPr>
              <w:jc w:val="center"/>
              <w:rPr>
                <w:rFonts w:ascii="Palatino Linotype" w:hAnsi="Palatino Linotype" w:eastAsia="Times New Roman" w:cs="Times New Roman"/>
                <w:snapToGrid w:val="0"/>
                <w:color w:val="000000"/>
                <w:sz w:val="20"/>
                <w:lang w:val="en-US" w:eastAsia="de-DE" w:bidi="en-US"/>
              </w:rPr>
            </w:pPr>
          </w:p>
        </w:tc>
        <w:tc>
          <w:tcPr>
            <w:tcW w:w="374" w:type="pct"/>
            <w:vAlign w:val="center"/>
          </w:tcPr>
          <w:p w:rsidRPr="002F29E1" w:rsidR="00EB2667" w:rsidP="00560D47" w:rsidRDefault="00EB2667" w14:paraId="1FC85176" w14:textId="01230291">
            <w:pPr>
              <w:jc w:val="center"/>
              <w:rPr>
                <w:rFonts w:ascii="Palatino Linotype" w:hAnsi="Palatino Linotype" w:eastAsia="Times New Roman" w:cs="Times New Roman"/>
                <w:snapToGrid w:val="0"/>
                <w:color w:val="000000"/>
                <w:sz w:val="20"/>
                <w:lang w:val="en-US" w:eastAsia="de-DE" w:bidi="en-US"/>
              </w:rPr>
            </w:pPr>
          </w:p>
        </w:tc>
        <w:tc>
          <w:tcPr>
            <w:tcW w:w="626" w:type="pct"/>
            <w:vAlign w:val="center"/>
          </w:tcPr>
          <w:p w:rsidRPr="002F29E1" w:rsidR="00EB2667" w:rsidP="00EB2667" w:rsidRDefault="00EB2667" w14:paraId="62E9D5B6" w14:textId="45B663E4">
            <w:pPr>
              <w:jc w:val="center"/>
              <w:rPr>
                <w:rFonts w:ascii="Palatino Linotype" w:hAnsi="Palatino Linotype" w:eastAsia="Times New Roman" w:cs="Times New Roman"/>
                <w:snapToGrid w:val="0"/>
                <w:color w:val="000000"/>
                <w:sz w:val="20"/>
                <w:lang w:val="en-US" w:eastAsia="de-DE" w:bidi="en-US"/>
              </w:rPr>
            </w:pPr>
          </w:p>
        </w:tc>
      </w:tr>
      <w:tr w:rsidRPr="002F29E1" w:rsidR="00EB2667" w:rsidTr="00F450B4" w14:paraId="7EE331B2" w14:textId="77777777">
        <w:tc>
          <w:tcPr>
            <w:tcW w:w="559" w:type="pct"/>
          </w:tcPr>
          <w:p w:rsidRPr="002F29E1" w:rsidR="00EB2667" w:rsidP="00560D47" w:rsidRDefault="00EB2667" w14:paraId="258579AD" w14:textId="358902CE">
            <w:pPr>
              <w:jc w:val="both"/>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Fisher</w:t>
            </w:r>
          </w:p>
        </w:tc>
        <w:tc>
          <w:tcPr>
            <w:tcW w:w="795" w:type="pct"/>
            <w:vAlign w:val="center"/>
          </w:tcPr>
          <w:p w:rsidRPr="002F29E1" w:rsidR="00EB2667" w:rsidP="00560D47" w:rsidRDefault="00EB2667" w14:paraId="0C99A98F" w14:textId="231D503A">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13.35 ± 4.13</w:t>
            </w:r>
          </w:p>
        </w:tc>
        <w:tc>
          <w:tcPr>
            <w:tcW w:w="795" w:type="pct"/>
            <w:vAlign w:val="center"/>
          </w:tcPr>
          <w:p w:rsidRPr="002F29E1" w:rsidR="00EB2667" w:rsidP="00560D47" w:rsidRDefault="00EB2667" w14:paraId="7E0A7FE7" w14:textId="5996BECB">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15.27 ± 2.92</w:t>
            </w:r>
          </w:p>
        </w:tc>
        <w:tc>
          <w:tcPr>
            <w:tcW w:w="739" w:type="pct"/>
            <w:vAlign w:val="center"/>
          </w:tcPr>
          <w:p w:rsidRPr="002F29E1" w:rsidR="00EB2667" w:rsidP="00560D47" w:rsidRDefault="00EB2667" w14:paraId="03BB950C" w14:textId="3393F5D4">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11.61 ± 6.38</w:t>
            </w:r>
          </w:p>
        </w:tc>
        <w:tc>
          <w:tcPr>
            <w:tcW w:w="739" w:type="pct"/>
            <w:vAlign w:val="center"/>
          </w:tcPr>
          <w:p w:rsidRPr="002F29E1" w:rsidR="00EB2667" w:rsidP="00560D47" w:rsidRDefault="00EB2667" w14:paraId="4E51A209" w14:textId="72532842">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13.27 ± 4.98</w:t>
            </w:r>
          </w:p>
        </w:tc>
        <w:tc>
          <w:tcPr>
            <w:tcW w:w="374" w:type="pct"/>
            <w:vAlign w:val="center"/>
          </w:tcPr>
          <w:p w:rsidRPr="002F29E1" w:rsidR="00EB2667" w:rsidP="00560D47" w:rsidRDefault="00EB2667" w14:paraId="29BA7126" w14:textId="54B09941">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0.236</w:t>
            </w:r>
          </w:p>
        </w:tc>
        <w:tc>
          <w:tcPr>
            <w:tcW w:w="374" w:type="pct"/>
            <w:vAlign w:val="center"/>
          </w:tcPr>
          <w:p w:rsidRPr="002F29E1" w:rsidR="00EB2667" w:rsidP="00560D47" w:rsidRDefault="00EB2667" w14:paraId="70939305" w14:textId="55A4956E">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0.937</w:t>
            </w:r>
          </w:p>
        </w:tc>
        <w:tc>
          <w:tcPr>
            <w:tcW w:w="626" w:type="pct"/>
            <w:vAlign w:val="center"/>
          </w:tcPr>
          <w:p w:rsidRPr="002F29E1" w:rsidR="00EB2667" w:rsidP="00EB2667" w:rsidRDefault="00EB2667" w14:paraId="687C2D50" w14:textId="3B18A33B">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0.639</w:t>
            </w:r>
          </w:p>
        </w:tc>
      </w:tr>
      <w:tr w:rsidRPr="002F29E1" w:rsidR="00EB2667" w:rsidTr="00F450B4" w14:paraId="6382138F" w14:textId="77777777">
        <w:tc>
          <w:tcPr>
            <w:tcW w:w="559" w:type="pct"/>
          </w:tcPr>
          <w:p w:rsidRPr="002F29E1" w:rsidR="00EB2667" w:rsidP="00560D47" w:rsidRDefault="00EB2667" w14:paraId="6CF67F7C" w14:textId="35F7DEDD">
            <w:pPr>
              <w:jc w:val="both"/>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Shannon</w:t>
            </w:r>
          </w:p>
        </w:tc>
        <w:tc>
          <w:tcPr>
            <w:tcW w:w="795" w:type="pct"/>
            <w:vAlign w:val="center"/>
          </w:tcPr>
          <w:p w:rsidRPr="002F29E1" w:rsidR="00EB2667" w:rsidP="00560D47" w:rsidRDefault="00EB2667" w14:paraId="4785A1C5" w14:textId="1F2D6B3D">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3.61 ± 0.27</w:t>
            </w:r>
          </w:p>
        </w:tc>
        <w:tc>
          <w:tcPr>
            <w:tcW w:w="795" w:type="pct"/>
            <w:vAlign w:val="center"/>
          </w:tcPr>
          <w:p w:rsidRPr="002F29E1" w:rsidR="00EB2667" w:rsidP="00560D47" w:rsidRDefault="00EB2667" w14:paraId="6C9BE7CB" w14:textId="298268D7">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3.59 ± 0.25</w:t>
            </w:r>
          </w:p>
        </w:tc>
        <w:tc>
          <w:tcPr>
            <w:tcW w:w="739" w:type="pct"/>
            <w:vAlign w:val="center"/>
          </w:tcPr>
          <w:p w:rsidRPr="002F29E1" w:rsidR="00EB2667" w:rsidP="00560D47" w:rsidRDefault="00EB2667" w14:paraId="21544210" w14:textId="3AD7F83D">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3.52 ± 0.40</w:t>
            </w:r>
          </w:p>
        </w:tc>
        <w:tc>
          <w:tcPr>
            <w:tcW w:w="739" w:type="pct"/>
            <w:vAlign w:val="center"/>
          </w:tcPr>
          <w:p w:rsidRPr="002F29E1" w:rsidR="00EB2667" w:rsidP="00560D47" w:rsidRDefault="00EB2667" w14:paraId="38772832" w14:textId="04917C42">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3.46 ± 0.24</w:t>
            </w:r>
          </w:p>
        </w:tc>
        <w:tc>
          <w:tcPr>
            <w:tcW w:w="374" w:type="pct"/>
            <w:vAlign w:val="center"/>
          </w:tcPr>
          <w:p w:rsidRPr="002F29E1" w:rsidR="00EB2667" w:rsidP="00560D47" w:rsidRDefault="00EB2667" w14:paraId="1983BB79" w14:textId="50975E66">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0.144</w:t>
            </w:r>
          </w:p>
        </w:tc>
        <w:tc>
          <w:tcPr>
            <w:tcW w:w="374" w:type="pct"/>
            <w:vAlign w:val="center"/>
          </w:tcPr>
          <w:p w:rsidRPr="002F29E1" w:rsidR="00EB2667" w:rsidP="00560D47" w:rsidRDefault="00EB2667" w14:paraId="6DBBD49D" w14:textId="48D52055">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0.693</w:t>
            </w:r>
          </w:p>
        </w:tc>
        <w:tc>
          <w:tcPr>
            <w:tcW w:w="626" w:type="pct"/>
            <w:vAlign w:val="center"/>
          </w:tcPr>
          <w:p w:rsidRPr="002F29E1" w:rsidR="00EB2667" w:rsidP="00EB2667" w:rsidRDefault="00EB2667" w14:paraId="59D88C0F" w14:textId="26A58E6A">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0.429</w:t>
            </w:r>
          </w:p>
        </w:tc>
      </w:tr>
      <w:tr w:rsidRPr="002F29E1" w:rsidR="00EB2667" w:rsidTr="00F450B4" w14:paraId="7E6104C3" w14:textId="77777777">
        <w:tc>
          <w:tcPr>
            <w:tcW w:w="559" w:type="pct"/>
            <w:tcBorders>
              <w:bottom w:val="single" w:color="auto" w:sz="4" w:space="0"/>
            </w:tcBorders>
          </w:tcPr>
          <w:p w:rsidRPr="002F29E1" w:rsidR="00EB2667" w:rsidP="00560D47" w:rsidRDefault="00EB2667" w14:paraId="7C31608A" w14:textId="7C205F88">
            <w:pPr>
              <w:jc w:val="both"/>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Simpson</w:t>
            </w:r>
          </w:p>
        </w:tc>
        <w:tc>
          <w:tcPr>
            <w:tcW w:w="795" w:type="pct"/>
            <w:tcBorders>
              <w:bottom w:val="single" w:color="auto" w:sz="4" w:space="0"/>
            </w:tcBorders>
            <w:vAlign w:val="center"/>
          </w:tcPr>
          <w:p w:rsidRPr="002F29E1" w:rsidR="00EB2667" w:rsidP="00560D47" w:rsidRDefault="00EB2667" w14:paraId="0D517BC2" w14:textId="49DBB1F5">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0.95 ± 0.012</w:t>
            </w:r>
          </w:p>
        </w:tc>
        <w:tc>
          <w:tcPr>
            <w:tcW w:w="795" w:type="pct"/>
            <w:tcBorders>
              <w:bottom w:val="single" w:color="auto" w:sz="4" w:space="0"/>
            </w:tcBorders>
            <w:vAlign w:val="center"/>
          </w:tcPr>
          <w:p w:rsidRPr="002F29E1" w:rsidR="00EB2667" w:rsidP="00560D47" w:rsidRDefault="00EB2667" w14:paraId="0A056B11" w14:textId="60CED0C8">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0.95 ± 0.012</w:t>
            </w:r>
          </w:p>
        </w:tc>
        <w:tc>
          <w:tcPr>
            <w:tcW w:w="739" w:type="pct"/>
            <w:tcBorders>
              <w:bottom w:val="single" w:color="auto" w:sz="4" w:space="0"/>
            </w:tcBorders>
            <w:vAlign w:val="center"/>
          </w:tcPr>
          <w:p w:rsidRPr="002F29E1" w:rsidR="00EB2667" w:rsidP="00560D47" w:rsidRDefault="00EB2667" w14:paraId="6532EAE2" w14:textId="7127AE6B">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0.95 ± 0.016</w:t>
            </w:r>
          </w:p>
        </w:tc>
        <w:tc>
          <w:tcPr>
            <w:tcW w:w="739" w:type="pct"/>
            <w:tcBorders>
              <w:bottom w:val="single" w:color="auto" w:sz="4" w:space="0"/>
            </w:tcBorders>
            <w:vAlign w:val="center"/>
          </w:tcPr>
          <w:p w:rsidRPr="002F29E1" w:rsidR="00EB2667" w:rsidP="00560D47" w:rsidRDefault="00EB2667" w14:paraId="6D69C999" w14:textId="2EF504FE">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0.94 ± 0.011</w:t>
            </w:r>
          </w:p>
        </w:tc>
        <w:tc>
          <w:tcPr>
            <w:tcW w:w="374" w:type="pct"/>
            <w:tcBorders>
              <w:bottom w:val="single" w:color="auto" w:sz="4" w:space="0"/>
            </w:tcBorders>
            <w:vAlign w:val="center"/>
          </w:tcPr>
          <w:p w:rsidRPr="002F29E1" w:rsidR="00EB2667" w:rsidP="00560D47" w:rsidRDefault="00EB2667" w14:paraId="4369EB52" w14:textId="478C8822">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0.198</w:t>
            </w:r>
          </w:p>
        </w:tc>
        <w:tc>
          <w:tcPr>
            <w:tcW w:w="374" w:type="pct"/>
            <w:tcBorders>
              <w:bottom w:val="single" w:color="auto" w:sz="4" w:space="0"/>
            </w:tcBorders>
            <w:vAlign w:val="center"/>
          </w:tcPr>
          <w:p w:rsidRPr="002F29E1" w:rsidR="00EB2667" w:rsidP="00560D47" w:rsidRDefault="00EB2667" w14:paraId="51757F8E" w14:textId="7F77C4A7">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0.621</w:t>
            </w:r>
          </w:p>
        </w:tc>
        <w:tc>
          <w:tcPr>
            <w:tcW w:w="626" w:type="pct"/>
            <w:tcBorders>
              <w:bottom w:val="single" w:color="auto" w:sz="4" w:space="0"/>
            </w:tcBorders>
            <w:vAlign w:val="center"/>
          </w:tcPr>
          <w:p w:rsidRPr="002F29E1" w:rsidR="00EB2667" w:rsidP="00EB2667" w:rsidRDefault="00EB2667" w14:paraId="23AB5177" w14:textId="576BE81B">
            <w:pPr>
              <w:jc w:val="center"/>
              <w:rPr>
                <w:rFonts w:ascii="Palatino Linotype" w:hAnsi="Palatino Linotype" w:eastAsia="Times New Roman" w:cs="Times New Roman"/>
                <w:snapToGrid w:val="0"/>
                <w:color w:val="000000"/>
                <w:sz w:val="20"/>
                <w:lang w:val="en-US" w:eastAsia="de-DE" w:bidi="en-US"/>
              </w:rPr>
            </w:pPr>
            <w:r w:rsidRPr="002F29E1">
              <w:rPr>
                <w:rFonts w:ascii="Palatino Linotype" w:hAnsi="Palatino Linotype" w:eastAsia="Times New Roman" w:cs="Times New Roman"/>
                <w:snapToGrid w:val="0"/>
                <w:color w:val="000000"/>
                <w:sz w:val="20"/>
                <w:lang w:val="en-US" w:eastAsia="de-DE" w:bidi="en-US"/>
              </w:rPr>
              <w:t>0.498</w:t>
            </w:r>
          </w:p>
        </w:tc>
      </w:tr>
    </w:tbl>
    <w:p w:rsidR="002C5A9C" w:rsidP="00F450B4" w:rsidRDefault="00F450B4" w14:paraId="438FC77A" w14:textId="40CBDC7A">
      <w:pPr>
        <w:spacing w:line="240" w:lineRule="auto"/>
        <w:jc w:val="both"/>
        <w:rPr>
          <w:rFonts w:ascii="Palatino Linotype" w:hAnsi="Palatino Linotype" w:eastAsia="Times New Roman" w:cs="Times New Roman"/>
          <w:snapToGrid w:val="0"/>
          <w:color w:val="000000"/>
          <w:sz w:val="18"/>
          <w:szCs w:val="18"/>
          <w:lang w:val="en-US" w:eastAsia="de-DE" w:bidi="en-US"/>
        </w:rPr>
      </w:pPr>
      <w:r w:rsidRPr="00F450B4" w:rsidR="00F450B4">
        <w:rPr>
          <w:rFonts w:ascii="Palatino Linotype" w:hAnsi="Palatino Linotype" w:eastAsia="Times New Roman" w:cs="Times New Roman"/>
          <w:snapToGrid w:val="0"/>
          <w:color w:val="000000"/>
          <w:sz w:val="18"/>
          <w:szCs w:val="18"/>
          <w:vertAlign w:val="superscript"/>
          <w:lang w:val="en-US" w:eastAsia="de-DE" w:bidi="en-US"/>
        </w:rPr>
        <w:t xml:space="preserve">1 </w:t>
      </w:r>
      <w:r w:rsidRPr="00F450B4" w:rsidR="00F450B4">
        <w:rPr>
          <w:rFonts w:ascii="Palatino Linotype" w:hAnsi="Palatino Linotype" w:eastAsia="Times New Roman" w:cs="Times New Roman"/>
          <w:snapToGrid w:val="0"/>
          <w:color w:val="000000"/>
          <w:sz w:val="18"/>
          <w:szCs w:val="18"/>
          <w:lang w:val="en-US" w:eastAsia="de-DE" w:bidi="en-US"/>
        </w:rPr>
        <w:t xml:space="preserve">EW= energy supplement without phytogenic </w:t>
      </w:r>
      <w:r w:rsidRPr="1988E69E" w:rsidR="77C4CAC2">
        <w:rPr>
          <w:rFonts w:ascii="Palatino Linotype" w:hAnsi="Palatino Linotype" w:eastAsia="Times New Roman" w:cs="Times New Roman"/>
          <w:color w:val="000000" w:themeColor="text1" w:themeTint="FF" w:themeShade="FF"/>
          <w:sz w:val="18"/>
          <w:szCs w:val="18"/>
          <w:lang w:val="en-US" w:eastAsia="de-DE" w:bidi="en-US"/>
        </w:rPr>
        <w:t xml:space="preserve">compounds </w:t>
      </w:r>
      <w:r w:rsidRPr="00F450B4" w:rsidR="00F450B4">
        <w:rPr>
          <w:rFonts w:ascii="Palatino Linotype" w:hAnsi="Palatino Linotype" w:eastAsia="Times New Roman" w:cs="Times New Roman"/>
          <w:snapToGrid w:val="0"/>
          <w:color w:val="000000"/>
          <w:sz w:val="18"/>
          <w:szCs w:val="18"/>
          <w:lang w:val="en-US" w:eastAsia="de-DE" w:bidi="en-US"/>
        </w:rPr>
        <w:t xml:space="preserve">addition. EPHA= energy supplement with phytogenic </w:t>
      </w:r>
      <w:r w:rsidRPr="1988E69E" w:rsidR="152DDAAE">
        <w:rPr>
          <w:rFonts w:ascii="Palatino Linotype" w:hAnsi="Palatino Linotype" w:eastAsia="Times New Roman" w:cs="Times New Roman"/>
          <w:color w:val="000000" w:themeColor="text1" w:themeTint="FF" w:themeShade="FF"/>
          <w:sz w:val="18"/>
          <w:szCs w:val="18"/>
          <w:lang w:val="en-US" w:eastAsia="de-DE" w:bidi="en-US"/>
        </w:rPr>
        <w:t xml:space="preserve">compounds </w:t>
      </w:r>
      <w:r w:rsidRPr="00F450B4" w:rsidR="00F450B4">
        <w:rPr>
          <w:rFonts w:ascii="Palatino Linotype" w:hAnsi="Palatino Linotype" w:eastAsia="Times New Roman" w:cs="Times New Roman"/>
          <w:snapToGrid w:val="0"/>
          <w:color w:val="000000"/>
          <w:sz w:val="18"/>
          <w:szCs w:val="18"/>
          <w:lang w:val="en-US" w:eastAsia="de-DE" w:bidi="en-US"/>
        </w:rPr>
        <w:t xml:space="preserve">addition. MW= mineral supplement without phytogenic </w:t>
      </w:r>
      <w:r w:rsidRPr="1988E69E" w:rsidR="50EF8E43">
        <w:rPr>
          <w:rFonts w:ascii="Palatino Linotype" w:hAnsi="Palatino Linotype" w:eastAsia="Times New Roman" w:cs="Times New Roman"/>
          <w:color w:val="000000" w:themeColor="text1" w:themeTint="FF" w:themeShade="FF"/>
          <w:sz w:val="18"/>
          <w:szCs w:val="18"/>
          <w:lang w:val="en-US" w:eastAsia="de-DE" w:bidi="en-US"/>
        </w:rPr>
        <w:t xml:space="preserve">compounds </w:t>
      </w:r>
      <w:r w:rsidRPr="00F450B4" w:rsidR="00F450B4">
        <w:rPr>
          <w:rFonts w:ascii="Palatino Linotype" w:hAnsi="Palatino Linotype" w:eastAsia="Times New Roman" w:cs="Times New Roman"/>
          <w:snapToGrid w:val="0"/>
          <w:color w:val="000000"/>
          <w:sz w:val="18"/>
          <w:szCs w:val="18"/>
          <w:lang w:val="en-US" w:eastAsia="de-DE" w:bidi="en-US"/>
        </w:rPr>
        <w:t xml:space="preserve">addition. MPHA = mineral supplement with phytogenic </w:t>
      </w:r>
      <w:r w:rsidRPr="1988E69E" w:rsidR="07BD801D">
        <w:rPr>
          <w:rFonts w:ascii="Palatino Linotype" w:hAnsi="Palatino Linotype" w:eastAsia="Times New Roman" w:cs="Times New Roman"/>
          <w:color w:val="000000" w:themeColor="text1" w:themeTint="FF" w:themeShade="FF"/>
          <w:sz w:val="18"/>
          <w:szCs w:val="18"/>
          <w:lang w:val="en-US" w:eastAsia="de-DE" w:bidi="en-US"/>
        </w:rPr>
        <w:t xml:space="preserve">compounds </w:t>
      </w:r>
      <w:r w:rsidRPr="00F450B4" w:rsidR="00F450B4">
        <w:rPr>
          <w:rFonts w:ascii="Palatino Linotype" w:hAnsi="Palatino Linotype" w:eastAsia="Times New Roman" w:cs="Times New Roman"/>
          <w:snapToGrid w:val="0"/>
          <w:color w:val="000000"/>
          <w:sz w:val="18"/>
          <w:szCs w:val="18"/>
          <w:lang w:val="en-US" w:eastAsia="de-DE" w:bidi="en-US"/>
        </w:rPr>
        <w:t xml:space="preserve">addition. </w:t>
      </w:r>
      <w:r w:rsidRPr="00F450B4" w:rsidR="00F450B4">
        <w:rPr>
          <w:rFonts w:ascii="Palatino Linotype" w:hAnsi="Palatino Linotype" w:eastAsia="Times New Roman" w:cs="Times New Roman"/>
          <w:snapToGrid w:val="0"/>
          <w:color w:val="000000"/>
          <w:sz w:val="18"/>
          <w:szCs w:val="18"/>
          <w:vertAlign w:val="superscript"/>
          <w:lang w:val="en-US" w:eastAsia="de-DE" w:bidi="en-US"/>
        </w:rPr>
        <w:t xml:space="preserve">2 </w:t>
      </w:r>
      <w:r w:rsidRPr="00F450B4" w:rsidR="00F450B4">
        <w:rPr>
          <w:rFonts w:ascii="Palatino Linotype" w:hAnsi="Palatino Linotype" w:eastAsia="Times New Roman" w:cs="Times New Roman"/>
          <w:snapToGrid w:val="0"/>
          <w:color w:val="000000"/>
          <w:sz w:val="18"/>
          <w:szCs w:val="18"/>
          <w:lang w:val="en-US" w:eastAsia="de-DE" w:bidi="en-US"/>
        </w:rPr>
        <w:t xml:space="preserve">ST = effect of the type of supplement as mineral or energy supplement by a Friedman test. PHA = effect of the addition of phytogenic </w:t>
      </w:r>
      <w:r w:rsidRPr="1988E69E" w:rsidR="7D4156F3">
        <w:rPr>
          <w:rFonts w:ascii="Palatino Linotype" w:hAnsi="Palatino Linotype" w:eastAsia="Times New Roman" w:cs="Times New Roman"/>
          <w:color w:val="000000" w:themeColor="text1" w:themeTint="FF" w:themeShade="FF"/>
          <w:sz w:val="18"/>
          <w:szCs w:val="18"/>
          <w:lang w:val="en-US" w:eastAsia="de-DE" w:bidi="en-US"/>
        </w:rPr>
        <w:t xml:space="preserve">compounds </w:t>
      </w:r>
      <w:r w:rsidRPr="00F450B4" w:rsidR="00F450B4">
        <w:rPr>
          <w:rFonts w:ascii="Palatino Linotype" w:hAnsi="Palatino Linotype" w:eastAsia="Times New Roman" w:cs="Times New Roman"/>
          <w:snapToGrid w:val="0"/>
          <w:color w:val="000000"/>
          <w:sz w:val="18"/>
          <w:szCs w:val="18"/>
          <w:lang w:val="en-US" w:eastAsia="de-DE" w:bidi="en-US"/>
        </w:rPr>
        <w:t xml:space="preserve">blend </w:t>
      </w:r>
      <w:r w:rsidRPr="00F450B4" w:rsidR="00F450B4">
        <w:rPr>
          <w:rFonts w:ascii="Palatino Linotype" w:hAnsi="Palatino Linotype" w:eastAsia="Times New Roman" w:cs="Times New Roman"/>
          <w:snapToGrid w:val="0"/>
          <w:color w:val="000000"/>
          <w:sz w:val="18"/>
          <w:szCs w:val="18"/>
          <w:lang w:val="en-US" w:eastAsia="de-DE" w:bidi="en-US"/>
        </w:rPr>
        <w:t xml:space="preserve">containing</w:t>
      </w:r>
      <w:r w:rsidRPr="00F450B4" w:rsidR="00F450B4">
        <w:rPr>
          <w:rFonts w:ascii="Palatino Linotype" w:hAnsi="Palatino Linotype" w:eastAsia="Times New Roman" w:cs="Times New Roman"/>
          <w:snapToGrid w:val="0"/>
          <w:color w:val="000000"/>
          <w:sz w:val="18"/>
          <w:szCs w:val="18"/>
          <w:lang w:val="en-US" w:eastAsia="de-DE" w:bidi="en-US"/>
        </w:rPr>
        <w:t xml:space="preserve"> 10</w:t>
      </w:r>
      <w:r w:rsidRPr="00F450B4" w:rsidR="00F450B4">
        <w:rPr>
          <w:rFonts w:ascii="Palatino Linotype" w:hAnsi="Palatino Linotype" w:eastAsia="Times New Roman" w:cs="Times New Roman"/>
          <w:snapToGrid w:val="0"/>
          <w:color w:val="000000"/>
          <w:sz w:val="18"/>
          <w:szCs w:val="18"/>
          <w:lang w:val="en-US" w:eastAsia="de-DE" w:bidi="en-US"/>
        </w:rPr>
        <w:t xml:space="preserve">% of</w:t>
      </w:r>
      <w:r w:rsidRPr="00F450B4" w:rsidR="00F450B4">
        <w:rPr>
          <w:rFonts w:ascii="Palatino Linotype" w:hAnsi="Palatino Linotype" w:eastAsia="Times New Roman" w:cs="Times New Roman"/>
          <w:snapToGrid w:val="0"/>
          <w:color w:val="000000"/>
          <w:sz w:val="18"/>
          <w:szCs w:val="18"/>
          <w:lang w:val="en-US" w:eastAsia="de-DE" w:bidi="en-US"/>
        </w:rPr>
        <w:t xml:space="preserve"> carvacrol and cinnamaldehyde oil and 90% </w:t>
      </w:r>
      <w:r w:rsidRPr="00F450B4" w:rsidR="00F450B4">
        <w:rPr>
          <w:rFonts w:ascii="Palatino Linotype" w:hAnsi="Palatino Linotype" w:eastAsia="Times New Roman" w:cs="Times New Roman"/>
          <w:snapToGrid w:val="0"/>
          <w:color w:val="000000"/>
          <w:sz w:val="18"/>
          <w:szCs w:val="18"/>
          <w:lang w:val="en-US" w:eastAsia="de-DE" w:bidi="en-US"/>
        </w:rPr>
        <w:t>hydrolyzable</w:t>
      </w:r>
      <w:r w:rsidRPr="00F450B4" w:rsidR="00F450B4">
        <w:rPr>
          <w:rFonts w:ascii="Palatino Linotype" w:hAnsi="Palatino Linotype" w:eastAsia="Times New Roman" w:cs="Times New Roman"/>
          <w:snapToGrid w:val="0"/>
          <w:color w:val="000000"/>
          <w:sz w:val="18"/>
          <w:szCs w:val="18"/>
          <w:lang w:val="en-US" w:eastAsia="de-DE" w:bidi="en-US"/>
        </w:rPr>
        <w:t xml:space="preserve"> tannins extracted from berries and grapes at a dose of 1.5 g/kg of ingested dry matter by a Friedman test.</w:t>
      </w:r>
    </w:p>
    <w:p w:rsidRPr="001C4A9D" w:rsidR="004C401F" w:rsidP="00F450B4" w:rsidRDefault="004C401F" w14:paraId="155B25F0" w14:textId="77777777">
      <w:pPr>
        <w:spacing w:line="240" w:lineRule="auto"/>
        <w:jc w:val="both"/>
        <w:rPr>
          <w:lang w:val="en-US"/>
        </w:rPr>
      </w:pPr>
    </w:p>
    <w:sectPr w:rsidRPr="001C4A9D" w:rsidR="004C401F" w:rsidSect="00F450B4">
      <w:pgSz w:w="12240" w:h="15840"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CB"/>
    <w:rsid w:val="000D4B91"/>
    <w:rsid w:val="001A6375"/>
    <w:rsid w:val="001C4A9D"/>
    <w:rsid w:val="00224302"/>
    <w:rsid w:val="0026696B"/>
    <w:rsid w:val="00281923"/>
    <w:rsid w:val="002C5A9C"/>
    <w:rsid w:val="002F29E1"/>
    <w:rsid w:val="00377ADC"/>
    <w:rsid w:val="00413D15"/>
    <w:rsid w:val="004C401F"/>
    <w:rsid w:val="00560D47"/>
    <w:rsid w:val="00587E48"/>
    <w:rsid w:val="0087402C"/>
    <w:rsid w:val="00B67D5A"/>
    <w:rsid w:val="00C25A21"/>
    <w:rsid w:val="00D06D11"/>
    <w:rsid w:val="00DB6052"/>
    <w:rsid w:val="00E33FCB"/>
    <w:rsid w:val="00E63EE5"/>
    <w:rsid w:val="00E81516"/>
    <w:rsid w:val="00EB2667"/>
    <w:rsid w:val="00F450B4"/>
    <w:rsid w:val="07BD801D"/>
    <w:rsid w:val="152DDAAE"/>
    <w:rsid w:val="1988E69E"/>
    <w:rsid w:val="199D206A"/>
    <w:rsid w:val="199E090C"/>
    <w:rsid w:val="50EF8E43"/>
    <w:rsid w:val="77C4CAC2"/>
    <w:rsid w:val="7D415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FC9F"/>
  <w15:chartTrackingRefBased/>
  <w15:docId w15:val="{CDF1A8F8-0295-41F2-8911-9F7E15BB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A9D"/>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C4A9D"/>
    <w:pPr>
      <w:spacing w:after="0" w:line="240" w:lineRule="auto"/>
    </w:pPr>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Yury Tatiana Granja Salcedo</dc:creator>
  <keywords/>
  <dc:description/>
  <lastModifiedBy>Yury Tatiana Granja Salcedo</lastModifiedBy>
  <revision>21</revision>
  <dcterms:created xsi:type="dcterms:W3CDTF">2022-10-07T19:25:00.0000000Z</dcterms:created>
  <dcterms:modified xsi:type="dcterms:W3CDTF">2023-02-27T19:46:08.8800667Z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d937b9e3d38013ff1bbad0847dcca59fa9df6d71935b32153d1ba92978df9d9a</vt:lpwstr>
  </property>
</Properties>
</file>