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6B" w:rsidRPr="00CC04B0" w:rsidRDefault="0099576B" w:rsidP="0099576B">
      <w:pPr>
        <w:adjustRightInd w:val="0"/>
        <w:snapToGrid w:val="0"/>
        <w:spacing w:before="240" w:after="60" w:line="228" w:lineRule="auto"/>
        <w:rPr>
          <w:b/>
          <w:bCs/>
          <w:szCs w:val="18"/>
          <w:rtl/>
        </w:rPr>
      </w:pPr>
      <w:r w:rsidRPr="00CC04B0">
        <w:rPr>
          <w:rStyle w:val="Emphasis"/>
          <w:rFonts w:ascii="Helvetica" w:hAnsi="Helvetica"/>
          <w:b/>
          <w:bCs/>
          <w:color w:val="222222"/>
          <w:sz w:val="18"/>
          <w:szCs w:val="18"/>
          <w:shd w:val="clear" w:color="auto" w:fill="FFFFFF"/>
        </w:rPr>
        <w:t>Supplementary Material</w:t>
      </w:r>
    </w:p>
    <w:p w:rsidR="0099576B" w:rsidRDefault="0099576B" w:rsidP="0099576B">
      <w:pPr>
        <w:spacing w:line="240" w:lineRule="auto"/>
        <w:jc w:val="left"/>
        <w:rPr>
          <w:rFonts w:cstheme="majorBidi"/>
          <w:sz w:val="18"/>
          <w:szCs w:val="18"/>
        </w:rPr>
      </w:pPr>
      <w:r w:rsidRPr="00CC04B0">
        <w:rPr>
          <w:rFonts w:cstheme="majorBidi"/>
          <w:b/>
          <w:bCs/>
          <w:sz w:val="18"/>
          <w:szCs w:val="18"/>
        </w:rPr>
        <w:t>Table S1</w:t>
      </w:r>
      <w:r w:rsidR="008A5747">
        <w:rPr>
          <w:rFonts w:cstheme="majorBidi"/>
          <w:b/>
          <w:bCs/>
          <w:sz w:val="18"/>
          <w:szCs w:val="18"/>
        </w:rPr>
        <w:t>:</w:t>
      </w:r>
      <w:bookmarkStart w:id="0" w:name="_GoBack"/>
      <w:bookmarkEnd w:id="0"/>
      <w:r w:rsidRPr="001C6465">
        <w:rPr>
          <w:rFonts w:cstheme="majorBidi"/>
          <w:sz w:val="18"/>
          <w:szCs w:val="18"/>
        </w:rPr>
        <w:t xml:space="preserve"> List of ground-dwelling beetles and their abundance along the rural-urban gradient in Wadi Hanifa, Riyadh, Saudi Arabia.</w:t>
      </w:r>
    </w:p>
    <w:tbl>
      <w:tblPr>
        <w:tblW w:w="14365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3816"/>
        <w:gridCol w:w="523"/>
        <w:gridCol w:w="680"/>
        <w:gridCol w:w="443"/>
        <w:gridCol w:w="443"/>
        <w:gridCol w:w="443"/>
        <w:gridCol w:w="443"/>
        <w:gridCol w:w="50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548"/>
      </w:tblGrid>
      <w:tr w:rsidR="00FD2906" w:rsidRPr="0099576B" w:rsidTr="00FD2906">
        <w:trPr>
          <w:cantSplit/>
          <w:trHeight w:val="300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Rural</w:t>
            </w:r>
          </w:p>
        </w:tc>
        <w:tc>
          <w:tcPr>
            <w:tcW w:w="2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Suburban</w:t>
            </w:r>
          </w:p>
        </w:tc>
        <w:tc>
          <w:tcPr>
            <w:tcW w:w="2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Urban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906" w:rsidRPr="0099576B" w:rsidRDefault="00FD2906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A97707" w:rsidRPr="0099576B" w:rsidTr="00FD2906">
        <w:trPr>
          <w:trHeight w:val="672"/>
          <w:jc w:val="center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97707" w:rsidRPr="0099576B" w:rsidRDefault="00A97707" w:rsidP="00A97707">
            <w:pPr>
              <w:spacing w:line="240" w:lineRule="auto"/>
              <w:ind w:left="-57" w:right="-57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  <w:tc>
          <w:tcPr>
            <w:tcW w:w="3816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97707" w:rsidRPr="0099576B" w:rsidRDefault="00A97707" w:rsidP="00A97707">
            <w:pPr>
              <w:spacing w:line="240" w:lineRule="auto"/>
              <w:ind w:left="-57" w:right="-57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707" w:rsidRPr="0099576B" w:rsidRDefault="00A97707" w:rsidP="00A97707">
            <w:pPr>
              <w:spacing w:line="240" w:lineRule="auto"/>
              <w:ind w:left="-57" w:right="-57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WHR1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WHR2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WHR3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WHR4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WHR5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WHR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WHS1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WHS2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WHS3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WHS4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WHS5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WHS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WHU1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WHU2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WHU3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WHU4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WHU5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A97707" w:rsidRPr="0099576B" w:rsidRDefault="00A97707" w:rsidP="00FD290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99576B">
              <w:rPr>
                <w:rFonts w:eastAsia="Times New Roman" w:cs="Calibri"/>
                <w:b/>
                <w:bCs/>
                <w:sz w:val="16"/>
                <w:szCs w:val="16"/>
              </w:rPr>
              <w:t>WHU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707" w:rsidRPr="0099576B" w:rsidRDefault="00A97707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Anthicidae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Anthelephila caeruleipennis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(La Ferté-Sénectère, 1847)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34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210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32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330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331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Anthicidae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Anthelephila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ionica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(LaFerté-Sénectère, 1849)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Anthicidae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Anthelephila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Anthicidae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Anthicus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crinitus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LaFerté-Sénectère, 1849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143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Anthicidae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Endomia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lefebvrei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(LaFerté-Sénectère, 1849)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Anthicidae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Omonadus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floralis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(Linnaeus, 1758)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Anthia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duodecimguttata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Bonelli, 1813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Apristus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striatipennis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(Lucas, 1846)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Bembidion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wittmeri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(Basilewsky, 1979)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188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Calosoma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olivieri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Dejean, 1831_Sp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Eremolestes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sulcatus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(Chaudoir, 1876)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Masoreus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wetterhallii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(Gyllenhal, 1813)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Mesolestes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quadriguttatus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(Mateu, 1979)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Metadromius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arabicus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Mateu, 1979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Microlestes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discoidalis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(Fairmaire, 1892)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Microlestes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infuscatus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(Motschulsky, 1859)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Carabidae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Stenolophus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marginatus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Dejean, 1829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Dermestidae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Anthrenus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malkini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Mroczkowski, 1980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Dermestidae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Attagenus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lobatus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Rosenhauer, 1856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Dermestidae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Attagenus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lynx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(Mulsant et Rey, 1868)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Dermestidae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Phradonoma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nobile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(Reitter, 1881)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Dermestidae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Thorictus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hanifahensis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Háva &amp; Abdel-Dayem, 2021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Dermestidae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Thorictus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riyadhensis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Háva &amp; Abdel-Dayem, 2021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lastRenderedPageBreak/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Aeoloides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grisescens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(Germar, 1844)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Craspedostethus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dilutus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(Erichson, 1840)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Dicronychus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brancuccii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Platia &amp; Schimmel, 1997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Dicronychus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latifae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Al Dhafer &amp; Platia, 2013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Dicronychus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SP29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Dieronychus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talhouki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Platia &amp; Schimmel 1997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14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19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Drasterius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aegyptiacus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Buysson, 1905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19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19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Heteroderes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gallagheri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Platia &amp; Schimmel, 1997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Heteroderes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musculus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(Germar, 1844)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17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Heteroderes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omanensis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Platia &amp; Schimmel, 1997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Heteroderes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ruteri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Chassain, 1979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17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79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Elateridae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Heteroderes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Glaresidae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Glaresis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arabica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Paulian, 1980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Atholus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bimaculatus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(Linnaeus, 1758)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19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sp.1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sp.2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SP39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sp.4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sp.5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Histeridae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Saprinus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sp.7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Ablaberoides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abyssinicus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(Brenske, 1902)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Adoretus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granulifrons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Fairmaire, 1882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Aphodius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lividus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Olivier, 1789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Aphodius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saoudi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Paulian, 1980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Aphodius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SP49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Maladera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insanabilis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(Brenske, 1894)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Onthophagus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sellatus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Klug, 1845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Pentodon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algerinus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(Füessly, 1778)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lastRenderedPageBreak/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Phaeadoritus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iranicus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Machatschke, 1960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Platytomus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yadai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(Ochi, Kawahara &amp; Inagaki, 2006)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Rhyssemus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saudi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Pittion, 1984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17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Scarabaeus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cristatus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(Fabricius, 1775)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Schizonycha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SP59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Scarabaeidae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Sphaerotrochalus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Adelostoma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subtile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Reitter, 1900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Adesmia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cancellata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Solier, 1835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106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142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Adesmia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stoeckleini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Koch, 1940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24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207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212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Akis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spinosa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(Linnaeus, 1764)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37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44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Apentanodes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arabicus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(Kirchsberg, 877)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Blaps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kollari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kollari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Seidlitz, 1896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Cheirodes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brevicollis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Wollaston, 1864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Cheirodes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sardous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Gené, 1839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Erodius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servillei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Solier, 1834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SP69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Gonocephalum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besnardi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Kaszab, 1982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Gonocephalum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patruele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(Erichson, 1843)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Gonocephalum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prolixum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(Erichson, 1843)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56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130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Gonocephalum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rusticum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(Olivier, 1811)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69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Gonocephalum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setulosum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(Fladermann, 1837)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Gonocephalum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soricinum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(Reiche &amp; Saulcy, 1857)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17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Mesostena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puncticollis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Solier, 1835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26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25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59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129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258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392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Micipsa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arabica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Kaszab, 1981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Microdera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marginata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evansi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Blair, 1923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Mycetocharina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vanharteni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Novák, 2008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SP79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Opatroides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punctulatus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Brullé, 1832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Opatroides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vicinus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(Fairmaire, 1896)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Oxycara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saudarabica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Kaszab, 1979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28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59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Pimelia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nazarenoides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Kaszab, 1982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lastRenderedPageBreak/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Pimelia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thomasi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thomasi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Blair, 1931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Platynomus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SP85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Scleropatroides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sp.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SP86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18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18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Sclerum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orientalis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(Fabricius, 1775)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SP87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Sclerum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sulcatum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Baudi, 1876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SP88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Sepidium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tricuspidatum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Fabricius, 1775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SP89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Tentyrina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deserta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deserta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Kaszab, 1981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SP90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27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40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Tentyrina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palmeri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(Crotch, 1872)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SP91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Thraustocolus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arabicus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Kaszab, 1979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SP92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Thriptera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kraatzi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(Haag-Rutenberg, 1876)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SP93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19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39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53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Trachyderma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philistina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Reiche &amp; Saulcy, 1857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SP94</w:t>
            </w:r>
          </w:p>
        </w:tc>
        <w:tc>
          <w:tcPr>
            <w:tcW w:w="680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8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23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19</w:t>
            </w:r>
          </w:p>
        </w:tc>
        <w:tc>
          <w:tcPr>
            <w:tcW w:w="44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503" w:type="dxa"/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67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11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443" w:type="dxa"/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28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96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Zophosis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complanata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Solier, 1834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SP18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</w:t>
            </w:r>
          </w:p>
        </w:tc>
      </w:tr>
      <w:tr w:rsidR="00A97707" w:rsidRPr="0099576B" w:rsidTr="00FD2906">
        <w:trPr>
          <w:trHeight w:val="300"/>
          <w:jc w:val="center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Tenebrionidae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Zophosis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99576B">
              <w:rPr>
                <w:rFonts w:eastAsia="Times New Roman" w:cs="Calibri"/>
                <w:i/>
                <w:iCs/>
                <w:sz w:val="16"/>
                <w:szCs w:val="16"/>
              </w:rPr>
              <w:t>punctata</w:t>
            </w:r>
            <w:r w:rsidRPr="0099576B">
              <w:rPr>
                <w:rFonts w:eastAsia="Times New Roman" w:cs="Calibri"/>
                <w:sz w:val="16"/>
                <w:szCs w:val="16"/>
              </w:rPr>
              <w:t xml:space="preserve"> Brullé , 1832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SP95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76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95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28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237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76B" w:rsidRPr="0099576B" w:rsidRDefault="0099576B" w:rsidP="00A97707">
            <w:pPr>
              <w:spacing w:line="240" w:lineRule="auto"/>
              <w:ind w:left="-57" w:right="-57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99576B">
              <w:rPr>
                <w:rFonts w:eastAsia="Times New Roman" w:cs="Calibri"/>
                <w:sz w:val="16"/>
                <w:szCs w:val="16"/>
              </w:rPr>
              <w:t>237</w:t>
            </w:r>
          </w:p>
        </w:tc>
      </w:tr>
    </w:tbl>
    <w:p w:rsidR="000F441A" w:rsidRDefault="000F441A"/>
    <w:sectPr w:rsidR="000F441A" w:rsidSect="0099576B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30A"/>
    <w:multiLevelType w:val="hybridMultilevel"/>
    <w:tmpl w:val="D248D48C"/>
    <w:lvl w:ilvl="0" w:tplc="4CEC7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7957"/>
    <w:multiLevelType w:val="multilevel"/>
    <w:tmpl w:val="B10E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468F5"/>
    <w:multiLevelType w:val="hybridMultilevel"/>
    <w:tmpl w:val="2C5045A6"/>
    <w:lvl w:ilvl="0" w:tplc="470CF81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3890080"/>
    <w:multiLevelType w:val="hybridMultilevel"/>
    <w:tmpl w:val="4E9AF442"/>
    <w:lvl w:ilvl="0" w:tplc="7472B99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0026AA"/>
    <w:multiLevelType w:val="multilevel"/>
    <w:tmpl w:val="093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C1549BC"/>
    <w:multiLevelType w:val="multilevel"/>
    <w:tmpl w:val="E498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526E6"/>
    <w:multiLevelType w:val="hybridMultilevel"/>
    <w:tmpl w:val="3962BF1A"/>
    <w:lvl w:ilvl="0" w:tplc="B6961E4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11DBC"/>
    <w:multiLevelType w:val="hybridMultilevel"/>
    <w:tmpl w:val="766A2AA8"/>
    <w:lvl w:ilvl="0" w:tplc="2010879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"/>
  </w:num>
  <w:num w:numId="8">
    <w:abstractNumId w:val="14"/>
  </w:num>
  <w:num w:numId="9">
    <w:abstractNumId w:val="2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"/>
  </w:num>
  <w:num w:numId="15">
    <w:abstractNumId w:val="9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6B"/>
    <w:rsid w:val="000F441A"/>
    <w:rsid w:val="008A5747"/>
    <w:rsid w:val="008D4E62"/>
    <w:rsid w:val="0099576B"/>
    <w:rsid w:val="00A97707"/>
    <w:rsid w:val="00B02E26"/>
    <w:rsid w:val="00FB43FD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DC1A"/>
  <w15:chartTrackingRefBased/>
  <w15:docId w15:val="{51E0C2D9-486B-4EC2-A7C4-60A71B3C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76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9576B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99576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99576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9576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9576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9576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99576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19line">
    <w:name w:val="MDPI_1.9_line"/>
    <w:qFormat/>
    <w:rsid w:val="0099576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paragraph" w:styleId="Footer">
    <w:name w:val="footer"/>
    <w:basedOn w:val="Normal"/>
    <w:link w:val="FooterChar"/>
    <w:uiPriority w:val="99"/>
    <w:rsid w:val="0099576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576B"/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paragraph" w:styleId="Header">
    <w:name w:val="header"/>
    <w:basedOn w:val="Normal"/>
    <w:link w:val="HeaderChar"/>
    <w:uiPriority w:val="99"/>
    <w:rsid w:val="00995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576B"/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paragraph" w:customStyle="1" w:styleId="MDPIheaderjournallogo">
    <w:name w:val="MDPI_header_journal_logo"/>
    <w:qFormat/>
    <w:rsid w:val="0099576B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99576B"/>
    <w:pPr>
      <w:ind w:firstLine="0"/>
    </w:pPr>
  </w:style>
  <w:style w:type="paragraph" w:customStyle="1" w:styleId="MDPI31text">
    <w:name w:val="MDPI_3.1_text"/>
    <w:link w:val="MDPI31textChar"/>
    <w:qFormat/>
    <w:rsid w:val="0099576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99576B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3textspaceafter">
    <w:name w:val="MDPI_3.3_text_space_after"/>
    <w:qFormat/>
    <w:rsid w:val="0099576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99576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99576B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99576B"/>
    <w:pPr>
      <w:numPr>
        <w:numId w:val="1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99576B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99576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99576B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tablecaption">
    <w:name w:val="MDPI_4.1_table_caption"/>
    <w:qFormat/>
    <w:rsid w:val="0099576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99576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99576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figurecaption">
    <w:name w:val="MDPI_5.1_figure_caption"/>
    <w:qFormat/>
    <w:rsid w:val="0099576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99576B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23heading3">
    <w:name w:val="MDPI_2.3_heading3"/>
    <w:qFormat/>
    <w:rsid w:val="0099576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qFormat/>
    <w:rsid w:val="0099576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99576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71References">
    <w:name w:val="MDPI_7.1_References"/>
    <w:qFormat/>
    <w:rsid w:val="0099576B"/>
    <w:pPr>
      <w:numPr>
        <w:numId w:val="1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99576B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576B"/>
    <w:rPr>
      <w:rFonts w:ascii="Palatino Linotype" w:eastAsia="SimSun" w:hAnsi="Palatino Linotype" w:cs="Tahoma"/>
      <w:noProof/>
      <w:color w:val="000000"/>
      <w:sz w:val="20"/>
      <w:szCs w:val="18"/>
      <w:lang w:eastAsia="zh-CN"/>
    </w:rPr>
  </w:style>
  <w:style w:type="character" w:styleId="LineNumber">
    <w:name w:val="line number"/>
    <w:uiPriority w:val="99"/>
    <w:rsid w:val="0099576B"/>
    <w:rPr>
      <w:rFonts w:ascii="Palatino Linotype" w:hAnsi="Palatino Linotype"/>
      <w:sz w:val="16"/>
    </w:rPr>
  </w:style>
  <w:style w:type="character" w:styleId="Hyperlink">
    <w:name w:val="Hyperlink"/>
    <w:uiPriority w:val="99"/>
    <w:rsid w:val="0099576B"/>
    <w:rPr>
      <w:color w:val="0000FF"/>
      <w:u w:val="single"/>
    </w:rPr>
  </w:style>
  <w:style w:type="paragraph" w:customStyle="1" w:styleId="MDPI34textspacebefore">
    <w:name w:val="MDPI_3.4_text_space_before"/>
    <w:qFormat/>
    <w:rsid w:val="0099576B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81theorem">
    <w:name w:val="MDPI_8.1_theorem"/>
    <w:qFormat/>
    <w:rsid w:val="0099576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99576B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61Citation">
    <w:name w:val="MDPI_6.1_Citation"/>
    <w:qFormat/>
    <w:rsid w:val="0099576B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2BackMatter">
    <w:name w:val="MDPI_6.2_BackMatter"/>
    <w:qFormat/>
    <w:rsid w:val="0099576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99576B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15academiceditor">
    <w:name w:val="MDPI_1.5_academic_editor"/>
    <w:qFormat/>
    <w:rsid w:val="0099576B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9classification">
    <w:name w:val="MDPI_1.9_classification"/>
    <w:qFormat/>
    <w:rsid w:val="0099576B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99576B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99576B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99576B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99576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equationFram">
    <w:name w:val="MDPI_equationFram"/>
    <w:qFormat/>
    <w:rsid w:val="0099576B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99576B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99576B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99576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99576B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99576B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paragraph" w:customStyle="1" w:styleId="MDPItext">
    <w:name w:val="MDPI_text"/>
    <w:qFormat/>
    <w:rsid w:val="0099576B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99576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99576B"/>
  </w:style>
  <w:style w:type="paragraph" w:styleId="BodyText">
    <w:name w:val="Body Text"/>
    <w:link w:val="BodyTextChar"/>
    <w:rsid w:val="0099576B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99576B"/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styleId="CommentReference">
    <w:name w:val="annotation reference"/>
    <w:uiPriority w:val="99"/>
    <w:rsid w:val="0099576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99576B"/>
  </w:style>
  <w:style w:type="character" w:customStyle="1" w:styleId="CommentTextChar">
    <w:name w:val="Comment Text Char"/>
    <w:basedOn w:val="DefaultParagraphFont"/>
    <w:link w:val="CommentText"/>
    <w:uiPriority w:val="99"/>
    <w:rsid w:val="0099576B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95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576B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eastAsia="zh-CN"/>
    </w:rPr>
  </w:style>
  <w:style w:type="character" w:styleId="EndnoteReference">
    <w:name w:val="endnote reference"/>
    <w:rsid w:val="0099576B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9576B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99576B"/>
    <w:pPr>
      <w:spacing w:line="240" w:lineRule="auto"/>
    </w:pPr>
  </w:style>
  <w:style w:type="character" w:styleId="FollowedHyperlink">
    <w:name w:val="FollowedHyperlink"/>
    <w:uiPriority w:val="99"/>
    <w:rsid w:val="0099576B"/>
    <w:rPr>
      <w:color w:val="954F72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9576B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99576B"/>
    <w:pPr>
      <w:spacing w:line="240" w:lineRule="auto"/>
    </w:pPr>
  </w:style>
  <w:style w:type="paragraph" w:styleId="NormalWeb">
    <w:name w:val="Normal (Web)"/>
    <w:basedOn w:val="Normal"/>
    <w:uiPriority w:val="99"/>
    <w:rsid w:val="0099576B"/>
    <w:rPr>
      <w:szCs w:val="24"/>
    </w:rPr>
  </w:style>
  <w:style w:type="paragraph" w:customStyle="1" w:styleId="MsoFootnoteText0">
    <w:name w:val="MsoFootnoteText"/>
    <w:basedOn w:val="NormalWeb"/>
    <w:qFormat/>
    <w:rsid w:val="0099576B"/>
    <w:rPr>
      <w:rFonts w:ascii="Times New Roman" w:hAnsi="Times New Roman"/>
    </w:rPr>
  </w:style>
  <w:style w:type="character" w:styleId="PageNumber">
    <w:name w:val="page number"/>
    <w:rsid w:val="0099576B"/>
  </w:style>
  <w:style w:type="paragraph" w:customStyle="1" w:styleId="MDPI71FootNotes">
    <w:name w:val="MDPI_7.1_FootNotes"/>
    <w:qFormat/>
    <w:rsid w:val="0099576B"/>
    <w:pPr>
      <w:numPr>
        <w:numId w:val="11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99576B"/>
    <w:pPr>
      <w:jc w:val="center"/>
    </w:pPr>
    <w:rPr>
      <w:sz w:val="18"/>
      <w:lang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99576B"/>
    <w:rPr>
      <w:rFonts w:ascii="Palatino Linotype" w:eastAsia="SimSun" w:hAnsi="Palatino Linotype" w:cs="Times New Roman"/>
      <w:noProof/>
      <w:snapToGrid/>
      <w:color w:val="000000"/>
      <w:sz w:val="18"/>
      <w:szCs w:val="20"/>
      <w:lang w:eastAsia="zh-CN" w:bidi="en-US"/>
    </w:rPr>
  </w:style>
  <w:style w:type="paragraph" w:customStyle="1" w:styleId="EndNoteBibliography">
    <w:name w:val="EndNote Bibliography"/>
    <w:basedOn w:val="Normal"/>
    <w:link w:val="EndNoteBibliographyChar"/>
    <w:rsid w:val="0099576B"/>
    <w:pPr>
      <w:spacing w:line="240" w:lineRule="atLeast"/>
    </w:pPr>
    <w:rPr>
      <w:sz w:val="18"/>
      <w:lang w:bidi="en-US"/>
    </w:rPr>
  </w:style>
  <w:style w:type="character" w:customStyle="1" w:styleId="EndNoteBibliographyChar">
    <w:name w:val="EndNote Bibliography Char"/>
    <w:basedOn w:val="MDPI31textChar"/>
    <w:link w:val="EndNoteBibliography"/>
    <w:rsid w:val="0099576B"/>
    <w:rPr>
      <w:rFonts w:ascii="Palatino Linotype" w:eastAsia="SimSun" w:hAnsi="Palatino Linotype" w:cs="Times New Roman"/>
      <w:noProof/>
      <w:snapToGrid/>
      <w:color w:val="000000"/>
      <w:sz w:val="18"/>
      <w:szCs w:val="20"/>
      <w:lang w:eastAsia="zh-CN" w:bidi="en-US"/>
    </w:rPr>
  </w:style>
  <w:style w:type="character" w:styleId="Emphasis">
    <w:name w:val="Emphasis"/>
    <w:basedOn w:val="DefaultParagraphFont"/>
    <w:uiPriority w:val="20"/>
    <w:qFormat/>
    <w:rsid w:val="0099576B"/>
    <w:rPr>
      <w:i/>
      <w:iCs/>
    </w:rPr>
  </w:style>
  <w:style w:type="character" w:styleId="Strong">
    <w:name w:val="Strong"/>
    <w:basedOn w:val="DefaultParagraphFont"/>
    <w:uiPriority w:val="22"/>
    <w:qFormat/>
    <w:rsid w:val="0099576B"/>
    <w:rPr>
      <w:b/>
      <w:bCs/>
    </w:rPr>
  </w:style>
  <w:style w:type="paragraph" w:styleId="ListParagraph">
    <w:name w:val="List Paragraph"/>
    <w:basedOn w:val="Normal"/>
    <w:uiPriority w:val="34"/>
    <w:qFormat/>
    <w:rsid w:val="0099576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character" w:styleId="HTMLTypewriter">
    <w:name w:val="HTML Typewriter"/>
    <w:basedOn w:val="DefaultParagraphFont"/>
    <w:rsid w:val="0099576B"/>
    <w:rPr>
      <w:rFonts w:ascii="Courier New" w:eastAsia="Arial Unicode MS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9957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yn">
    <w:name w:val="syn"/>
    <w:basedOn w:val="DefaultParagraphFont"/>
    <w:rsid w:val="0099576B"/>
  </w:style>
  <w:style w:type="character" w:customStyle="1" w:styleId="element-citation">
    <w:name w:val="element-citation"/>
    <w:basedOn w:val="DefaultParagraphFont"/>
    <w:rsid w:val="0099576B"/>
  </w:style>
  <w:style w:type="character" w:customStyle="1" w:styleId="ref-journal">
    <w:name w:val="ref-journal"/>
    <w:basedOn w:val="DefaultParagraphFont"/>
    <w:rsid w:val="0099576B"/>
  </w:style>
  <w:style w:type="character" w:customStyle="1" w:styleId="ref-vol">
    <w:name w:val="ref-vol"/>
    <w:basedOn w:val="DefaultParagraphFont"/>
    <w:rsid w:val="0099576B"/>
  </w:style>
  <w:style w:type="paragraph" w:customStyle="1" w:styleId="ref">
    <w:name w:val="ref"/>
    <w:basedOn w:val="Normal"/>
    <w:rsid w:val="009957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S. Abdel-Dayem</dc:creator>
  <cp:keywords/>
  <dc:description/>
  <cp:lastModifiedBy>Mahmoud S. Abdel-Dayem</cp:lastModifiedBy>
  <cp:revision>4</cp:revision>
  <dcterms:created xsi:type="dcterms:W3CDTF">2023-01-24T07:58:00Z</dcterms:created>
  <dcterms:modified xsi:type="dcterms:W3CDTF">2023-01-24T08:25:00Z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2ee142ca-2017-4672-91ad-7c145713404b</vt:lpwstr>
  </property>
</Properties>
</file>