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7E463" w14:textId="10C06A2E" w:rsidR="00400208" w:rsidRDefault="005C0733" w:rsidP="00DC2F1F">
      <w:pPr>
        <w:spacing w:after="240" w:line="260" w:lineRule="atLeast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Supplementary </w:t>
      </w:r>
      <w:r w:rsidR="00463020">
        <w:rPr>
          <w:rFonts w:ascii="Palatino Linotype" w:hAnsi="Palatino Linotype"/>
          <w:b/>
          <w:bCs/>
          <w:sz w:val="20"/>
          <w:szCs w:val="20"/>
        </w:rPr>
        <w:t>Materials</w:t>
      </w:r>
    </w:p>
    <w:p w14:paraId="1E52A006" w14:textId="62D1CFE8" w:rsidR="0029615E" w:rsidRDefault="0029615E" w:rsidP="00DC2F1F">
      <w:pPr>
        <w:spacing w:before="120" w:after="240" w:line="260" w:lineRule="atLeast"/>
        <w:ind w:left="432" w:right="432"/>
        <w:jc w:val="center"/>
        <w:rPr>
          <w:rFonts w:ascii="Palatino Linotype" w:hAnsi="Palatino Linotype"/>
          <w:sz w:val="18"/>
          <w:szCs w:val="18"/>
        </w:rPr>
      </w:pPr>
    </w:p>
    <w:p w14:paraId="2621ED4C" w14:textId="0A0EFB21" w:rsidR="0029615E" w:rsidRDefault="0029615E" w:rsidP="00DC2F1F">
      <w:pPr>
        <w:spacing w:before="120" w:after="240" w:line="260" w:lineRule="atLeast"/>
        <w:ind w:left="432" w:right="432"/>
        <w:jc w:val="center"/>
        <w:rPr>
          <w:rFonts w:ascii="Palatino Linotype" w:hAnsi="Palatino Linotype"/>
          <w:sz w:val="18"/>
          <w:szCs w:val="18"/>
        </w:rPr>
      </w:pPr>
    </w:p>
    <w:p w14:paraId="1796057E" w14:textId="43BD1A39" w:rsidR="00DC557E" w:rsidRPr="00DC557E" w:rsidRDefault="00BA31EE" w:rsidP="00DC557E">
      <w:pPr>
        <w:jc w:val="center"/>
        <w:rPr>
          <w:lang w:eastAsia="de-DE" w:bidi="en-US"/>
        </w:rPr>
      </w:pPr>
      <w:r w:rsidRPr="00BA31EE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  <w:t>Stress-inducible SCAN transcrip</w:t>
      </w:r>
      <w:r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  <w:t>tion factors suppress stress re</w:t>
      </w:r>
      <w:r w:rsidRPr="00BA31EE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  <w:t>sponse and are biomarkers for better prognoses in cancer</w:t>
      </w:r>
      <w:r w:rsidR="00250C2D">
        <w:rPr>
          <w:rFonts w:ascii="Palatino Linotype" w:eastAsia="Times New Roman" w:hAnsi="Palatino Linotype" w:cs="Times New Roman"/>
          <w:b/>
          <w:snapToGrid w:val="0"/>
          <w:color w:val="000000"/>
          <w:kern w:val="0"/>
          <w:sz w:val="36"/>
          <w:szCs w:val="20"/>
          <w:lang w:eastAsia="de-DE" w:bidi="en-US"/>
        </w:rPr>
        <w:t>s</w:t>
      </w:r>
    </w:p>
    <w:p w14:paraId="5357DE9B" w14:textId="77777777" w:rsidR="00BA31EE" w:rsidRDefault="00BA31EE" w:rsidP="008B35A0">
      <w:pPr>
        <w:spacing w:before="120" w:after="240" w:line="260" w:lineRule="atLeast"/>
        <w:ind w:left="432" w:right="432"/>
        <w:jc w:val="center"/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lang w:eastAsia="de-DE" w:bidi="en-US"/>
        </w:rPr>
      </w:pPr>
    </w:p>
    <w:p w14:paraId="574F602D" w14:textId="00DEB50D" w:rsidR="008B35A0" w:rsidRDefault="008B35A0" w:rsidP="008B35A0">
      <w:pPr>
        <w:spacing w:before="120" w:after="240" w:line="260" w:lineRule="atLeast"/>
        <w:ind w:left="432" w:right="432"/>
        <w:jc w:val="center"/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lang w:eastAsia="de-DE" w:bidi="en-US"/>
        </w:rPr>
      </w:pPr>
      <w:r w:rsidRPr="008B35A0"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lang w:eastAsia="de-DE" w:bidi="en-US"/>
        </w:rPr>
        <w:t xml:space="preserve">Takanori Eguchi </w:t>
      </w:r>
      <w:r w:rsidRPr="008B35A0"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vertAlign w:val="superscript"/>
          <w:lang w:eastAsia="de-DE" w:bidi="en-US"/>
        </w:rPr>
        <w:t>1,</w:t>
      </w:r>
      <w:r w:rsidRPr="008B35A0"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lang w:eastAsia="de-DE" w:bidi="en-US"/>
        </w:rPr>
        <w:t xml:space="preserve">*, </w:t>
      </w:r>
      <w:r w:rsidR="004A26D3" w:rsidRPr="004A26D3"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lang w:eastAsia="de-DE" w:bidi="en-US"/>
        </w:rPr>
        <w:t xml:space="preserve">Mona Sheta </w:t>
      </w:r>
      <w:r w:rsidR="004A26D3" w:rsidRPr="004A26D3"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vertAlign w:val="superscript"/>
          <w:lang w:eastAsia="de-DE" w:bidi="en-US"/>
        </w:rPr>
        <w:t>1,</w:t>
      </w:r>
      <w:r w:rsidR="00BA31EE"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vertAlign w:val="superscript"/>
          <w:lang w:eastAsia="de-DE" w:bidi="en-US"/>
        </w:rPr>
        <w:t>2</w:t>
      </w:r>
      <w:r w:rsidR="004A26D3" w:rsidRPr="004A26D3"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lang w:eastAsia="de-DE" w:bidi="en-US"/>
        </w:rPr>
        <w:t xml:space="preserve">, </w:t>
      </w:r>
      <w:r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lang w:eastAsia="de-DE" w:bidi="en-US"/>
        </w:rPr>
        <w:t xml:space="preserve">and Stuart K. </w:t>
      </w:r>
      <w:r w:rsidRPr="008B35A0"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lang w:eastAsia="de-DE" w:bidi="en-US"/>
        </w:rPr>
        <w:t xml:space="preserve">Calderwood </w:t>
      </w:r>
      <w:r w:rsidR="00BA31EE"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vertAlign w:val="superscript"/>
          <w:lang w:eastAsia="de-DE" w:bidi="en-US"/>
        </w:rPr>
        <w:t>3</w:t>
      </w:r>
    </w:p>
    <w:p w14:paraId="3B113555" w14:textId="77777777" w:rsidR="0076285B" w:rsidRDefault="0076285B" w:rsidP="008B35A0">
      <w:pPr>
        <w:spacing w:before="120" w:after="240" w:line="260" w:lineRule="atLeast"/>
        <w:ind w:left="432" w:right="432"/>
        <w:jc w:val="center"/>
        <w:rPr>
          <w:rFonts w:ascii="Palatino Linotype" w:eastAsia="Times New Roman" w:hAnsi="Palatino Linotype" w:cs="Times New Roman"/>
          <w:b/>
          <w:color w:val="000000"/>
          <w:kern w:val="0"/>
          <w:sz w:val="20"/>
          <w:szCs w:val="21"/>
          <w:lang w:eastAsia="de-DE" w:bidi="en-US"/>
        </w:rPr>
      </w:pPr>
    </w:p>
    <w:p w14:paraId="471CBB9A" w14:textId="4798840B" w:rsidR="0076285B" w:rsidRPr="0076285B" w:rsidRDefault="0076285B" w:rsidP="0076285B">
      <w:pPr>
        <w:widowControl/>
        <w:adjustRightInd w:val="0"/>
        <w:snapToGrid w:val="0"/>
        <w:spacing w:line="200" w:lineRule="atLeast"/>
        <w:ind w:left="993" w:hanging="198"/>
        <w:jc w:val="left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</w:pPr>
      <w:r w:rsidRPr="0076285B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vertAlign w:val="superscript"/>
          <w:lang w:eastAsia="de-DE" w:bidi="en-US"/>
        </w:rPr>
        <w:t>1</w:t>
      </w:r>
      <w:r w:rsidRPr="0076285B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ab/>
        <w:t>Department of Dent</w:t>
      </w:r>
      <w:r w:rsidR="00153AB7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>al Pharmacology, Faculty</w:t>
      </w:r>
      <w:r w:rsidRPr="0076285B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 xml:space="preserve"> of Medicine, Dentistry and Pharmaceutical Sciences, Okayama University, Okayama 700-8525, Jap</w:t>
      </w:r>
      <w:r w:rsidR="00BF12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>an; m</w:t>
      </w:r>
      <w:r w:rsidR="00BF125F" w:rsidRPr="00BF12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 xml:space="preserve">ona.anas@nci.cu.edu.eg </w:t>
      </w:r>
      <w:r w:rsidR="00BF125F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>(M.S.)</w:t>
      </w:r>
    </w:p>
    <w:p w14:paraId="03DDDE4B" w14:textId="5A5D552F" w:rsidR="0076285B" w:rsidRPr="0076285B" w:rsidRDefault="0076285B" w:rsidP="0076285B">
      <w:pPr>
        <w:widowControl/>
        <w:adjustRightInd w:val="0"/>
        <w:snapToGrid w:val="0"/>
        <w:spacing w:line="200" w:lineRule="atLeast"/>
        <w:ind w:left="993" w:hanging="198"/>
        <w:jc w:val="left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</w:pPr>
      <w:r w:rsidRPr="0076285B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vertAlign w:val="superscript"/>
          <w:lang w:eastAsia="de-DE" w:bidi="en-US"/>
        </w:rPr>
        <w:t xml:space="preserve">2 </w:t>
      </w:r>
      <w:r w:rsidRPr="0076285B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ab/>
        <w:t>Department of Cancer Biology, National Cancer Institute, Cairo University, Cairo 11796, Egypt.</w:t>
      </w:r>
    </w:p>
    <w:p w14:paraId="4AF5711D" w14:textId="1689E71B" w:rsidR="0076285B" w:rsidRPr="0076285B" w:rsidRDefault="00BF125F" w:rsidP="0076285B">
      <w:pPr>
        <w:widowControl/>
        <w:adjustRightInd w:val="0"/>
        <w:snapToGrid w:val="0"/>
        <w:spacing w:line="200" w:lineRule="atLeast"/>
        <w:ind w:left="993" w:hanging="198"/>
        <w:jc w:val="left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vertAlign w:val="superscript"/>
          <w:lang w:eastAsia="de-DE" w:bidi="en-US"/>
        </w:rPr>
        <w:t>3</w:t>
      </w:r>
      <w:r w:rsidR="0076285B" w:rsidRPr="0076285B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vertAlign w:val="superscript"/>
          <w:lang w:eastAsia="de-DE" w:bidi="en-US"/>
        </w:rPr>
        <w:t xml:space="preserve"> </w:t>
      </w:r>
      <w:r w:rsidR="0076285B" w:rsidRPr="0076285B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ab/>
        <w:t>Department of Radiation Oncology, Beth Israel Deaconess Medical Center, Harvard Medical School, Boston, MA 02115, USA; scalderw@bidmc.harvard.edu</w:t>
      </w:r>
    </w:p>
    <w:p w14:paraId="1EB26888" w14:textId="77777777" w:rsidR="00B94D39" w:rsidRDefault="0076285B" w:rsidP="0076285B">
      <w:pPr>
        <w:widowControl/>
        <w:adjustRightInd w:val="0"/>
        <w:snapToGrid w:val="0"/>
        <w:spacing w:line="200" w:lineRule="atLeast"/>
        <w:ind w:left="993" w:hanging="198"/>
        <w:jc w:val="left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</w:pPr>
      <w:r w:rsidRPr="0076285B">
        <w:rPr>
          <w:rFonts w:ascii="Palatino Linotype" w:eastAsia="Times New Roman" w:hAnsi="Palatino Linotype" w:cs="Times New Roman"/>
          <w:b/>
          <w:color w:val="000000"/>
          <w:kern w:val="0"/>
          <w:sz w:val="16"/>
          <w:szCs w:val="18"/>
          <w:lang w:eastAsia="de-DE" w:bidi="en-US"/>
        </w:rPr>
        <w:t>*</w:t>
      </w:r>
      <w:r w:rsidRPr="0076285B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ab/>
        <w:t>Correspondence: eguchi@okayama-u.ac.jp; Phone: +81 86</w:t>
      </w:r>
      <w:r w:rsidR="00B94D39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 xml:space="preserve"> 235 6661, Fax +81 86 235 6664</w:t>
      </w:r>
    </w:p>
    <w:p w14:paraId="4C116D37" w14:textId="77777777" w:rsidR="00B94D39" w:rsidRDefault="00B94D39">
      <w:pPr>
        <w:widowControl/>
        <w:jc w:val="left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br w:type="page"/>
      </w:r>
      <w:bookmarkStart w:id="0" w:name="_GoBack"/>
      <w:bookmarkEnd w:id="0"/>
    </w:p>
    <w:p w14:paraId="25A880A0" w14:textId="092E649A" w:rsidR="004E4DB0" w:rsidRDefault="00B94D39" w:rsidP="00B94D39">
      <w:pPr>
        <w:spacing w:before="120" w:after="240" w:line="260" w:lineRule="atLeast"/>
        <w:ind w:right="432"/>
        <w:jc w:val="left"/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</w:pPr>
      <w:r>
        <w:rPr>
          <w:rFonts w:ascii="Palatino Linotype" w:eastAsia="Times New Roman" w:hAnsi="Palatino Linotype" w:cs="Cordia New"/>
          <w:b/>
          <w:noProof/>
          <w:color w:val="000000"/>
          <w:kern w:val="0"/>
          <w:sz w:val="18"/>
        </w:rPr>
        <w:lastRenderedPageBreak/>
        <w:drawing>
          <wp:anchor distT="0" distB="0" distL="114300" distR="114300" simplePos="0" relativeHeight="251661312" behindDoc="0" locked="0" layoutInCell="1" allowOverlap="1" wp14:anchorId="349BDB38" wp14:editId="6973C147">
            <wp:simplePos x="0" y="0"/>
            <wp:positionH relativeFrom="column">
              <wp:posOffset>54864</wp:posOffset>
            </wp:positionH>
            <wp:positionV relativeFrom="paragraph">
              <wp:posOffset>76</wp:posOffset>
            </wp:positionV>
            <wp:extent cx="6480000" cy="4974838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974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</w:rPr>
        <w:t>Figure</w:t>
      </w:r>
      <w:r w:rsidRPr="008B35A0"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</w:rPr>
        <w:t xml:space="preserve"> </w:t>
      </w:r>
      <w:r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</w:rPr>
        <w:t>S</w:t>
      </w:r>
      <w:r w:rsidRPr="008B35A0"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</w:rPr>
        <w:t xml:space="preserve">1. </w:t>
      </w:r>
      <w:r w:rsidR="00054551"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 xml:space="preserve">Protein structures of MZF1(ZSCAN6), SCAND1, and SCAND2. 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 xml:space="preserve">Post-translational modifications (PTM) and hotspot mutation </w:t>
      </w:r>
      <w:r w:rsidR="00054551"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>were mapped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>. SCAN, SCAN domain. zf, zinc finger domain. Phospho, phosphorylation site. SUMO, sumoylation site. SIM, SUMO interaction motif. Ub, ubiquitination site. Some PTMs were shown in a ref. (Eguchi T et al., 2015, J Cell Biochem 116). This figure was shown as a supplemental item in ref. (Eguchi T et al</w:t>
      </w:r>
      <w:r w:rsidR="00054551"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>.</w:t>
      </w:r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>, 2022, Cells 11).</w:t>
      </w:r>
    </w:p>
    <w:p w14:paraId="53D61820" w14:textId="77777777" w:rsidR="004E4DB0" w:rsidRDefault="004E4DB0">
      <w:pPr>
        <w:widowControl/>
        <w:jc w:val="left"/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</w:pPr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br w:type="page"/>
      </w:r>
    </w:p>
    <w:p w14:paraId="58A89D7B" w14:textId="734A6014" w:rsidR="004E4DB0" w:rsidRPr="000678C6" w:rsidRDefault="000678C6" w:rsidP="00B94D39">
      <w:pPr>
        <w:spacing w:before="120" w:after="240" w:line="260" w:lineRule="atLeast"/>
        <w:ind w:right="432"/>
        <w:jc w:val="left"/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</w:pPr>
      <w:r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lastRenderedPageBreak/>
        <w:t>Table S1. Co-expression correlation of SCAN-TF genes vs. HSPs in prostate adenocarcinoma specimens.</w:t>
      </w:r>
    </w:p>
    <w:tbl>
      <w:tblPr>
        <w:tblW w:w="10902" w:type="dxa"/>
        <w:tblLook w:val="04A0" w:firstRow="1" w:lastRow="0" w:firstColumn="1" w:lastColumn="0" w:noHBand="0" w:noVBand="1"/>
      </w:tblPr>
      <w:tblGrid>
        <w:gridCol w:w="992"/>
        <w:gridCol w:w="973"/>
        <w:gridCol w:w="821"/>
        <w:gridCol w:w="821"/>
        <w:gridCol w:w="978"/>
        <w:gridCol w:w="973"/>
        <w:gridCol w:w="930"/>
        <w:gridCol w:w="821"/>
        <w:gridCol w:w="978"/>
        <w:gridCol w:w="973"/>
        <w:gridCol w:w="821"/>
        <w:gridCol w:w="821"/>
      </w:tblGrid>
      <w:tr w:rsidR="004E4DB0" w:rsidRPr="004E4DB0" w14:paraId="2989EB7F" w14:textId="77777777" w:rsidTr="00446D10">
        <w:trPr>
          <w:trHeight w:val="285"/>
        </w:trPr>
        <w:tc>
          <w:tcPr>
            <w:tcW w:w="36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87C9A" w14:textId="77777777" w:rsidR="004E4DB0" w:rsidRPr="004E4DB0" w:rsidRDefault="004E4DB0" w:rsidP="004E4DB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vs MZF1</w:t>
            </w:r>
          </w:p>
        </w:tc>
        <w:tc>
          <w:tcPr>
            <w:tcW w:w="3702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0ECE6" w14:textId="77777777" w:rsidR="004E4DB0" w:rsidRPr="004E4DB0" w:rsidRDefault="004E4DB0" w:rsidP="004E4DB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vs SCAND1</w:t>
            </w:r>
          </w:p>
        </w:tc>
        <w:tc>
          <w:tcPr>
            <w:tcW w:w="359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ECFBF0" w14:textId="77777777" w:rsidR="004E4DB0" w:rsidRPr="004E4DB0" w:rsidRDefault="004E4DB0" w:rsidP="004E4DB0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vs SCAND2</w:t>
            </w:r>
          </w:p>
        </w:tc>
      </w:tr>
      <w:tr w:rsidR="004E4DB0" w:rsidRPr="004E4DB0" w14:paraId="3133B035" w14:textId="77777777" w:rsidTr="00446D10">
        <w:trPr>
          <w:trHeight w:val="29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C41A7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Correlated Gene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F675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Spearman's Correlation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BDC2E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A276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q-Value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742DC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Correlated Gene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CE26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Spearman's Correlation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5E288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4AD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q-Value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3958A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Correlated Gene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C7F89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Spearman's Correlation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591A6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p-Value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14FEB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q-Value</w:t>
            </w:r>
          </w:p>
        </w:tc>
      </w:tr>
      <w:tr w:rsidR="004E4DB0" w:rsidRPr="004E4DB0" w14:paraId="6861B5AE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9FD2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HSPBP1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087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0.504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0D649A8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8.89E-33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788994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2.82E-31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7AF9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HSPBP1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A84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0.778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5462958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2.90E-100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50ECE1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1.81E-97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C3E5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HSPBP1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D2C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F02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4.34E-04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00C3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1.54E-03</w:t>
            </w:r>
          </w:p>
        </w:tc>
      </w:tr>
      <w:tr w:rsidR="004E4DB0" w:rsidRPr="004E4DB0" w14:paraId="3645DFE6" w14:textId="77777777" w:rsidTr="00DE1CEB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783BF4A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HSPA13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44E1CA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  <w:t>-0.448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23ADF0E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  <w:t>1.75E-25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300D87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  <w:t>3.29E-24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27E212E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  <w:t>HSPA13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BCBBF8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  <w:t>-0.572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427F3B0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  <w:t>7.79E-44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608D3C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  <w:t>1.05E-42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BB1A81A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  <w:t>HSPA13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298ABE5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  <w:t>-0.357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4AB5FC9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  <w:t>4.18E-16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42A7B13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  <w:t>9.13E-15</w:t>
            </w:r>
          </w:p>
        </w:tc>
      </w:tr>
      <w:tr w:rsidR="004E4DB0" w:rsidRPr="004E4DB0" w14:paraId="6D32F57D" w14:textId="77777777" w:rsidTr="00DE1CEB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1AB436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HSPA4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1244F5B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  <w:t>-0.358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7A937BF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  <w:t>3.41E-16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708AB8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  <w:t>2.70E-15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2A9DF77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  <w:t>HSPA4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79EECE9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  <w:t>-0.303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59795CF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  <w:t>7.97E-12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FEF3F6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  <w:t>2.47E-11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3861031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  <w:t>HSPA4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7CBFDED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  <w:t>-0.394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67D5EB3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  <w:t>1.52E-19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14ADDE3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  <w:t>4.80E-18</w:t>
            </w:r>
          </w:p>
        </w:tc>
      </w:tr>
      <w:tr w:rsidR="004E4DB0" w:rsidRPr="004E4DB0" w14:paraId="6DC1E335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B2DF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HSPBAP1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F59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0.354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7B0CA73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6.99E-16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F78423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5.37E-15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682F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HSPBAP1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9BC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0.347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13D91C4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2.94E-15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B1F59A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1.09E-14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ADBD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HSPBAP1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F83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0.281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081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2.62E-10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527B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2.80E-09</w:t>
            </w:r>
          </w:p>
        </w:tc>
      </w:tr>
      <w:tr w:rsidR="004E4DB0" w:rsidRPr="004E4DB0" w14:paraId="53047477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663E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CA3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0.352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6F34762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1.08E-15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AA5654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8.16E-15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F830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32A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0.516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03EC71F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1.36E-34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20DC763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1.20E-33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9D8E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HSPB11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234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0.248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558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2.99E-08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609D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2.35E-07</w:t>
            </w:r>
          </w:p>
        </w:tc>
      </w:tr>
      <w:tr w:rsidR="004E4DB0" w:rsidRPr="004E4DB0" w14:paraId="2555B642" w14:textId="77777777" w:rsidTr="00DE1CEB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CF4E0B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HSPA4L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095D53A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  <w:t>-0.326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5C5FD81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  <w:t>1.58E-13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3F26FD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  <w:t>9.53E-13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6B9FB8C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  <w:t>HSPA4L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07F425A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  <w:t>-0.411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3C54E11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  <w:t>2.66E-21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1F4CFBE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  <w:t>1.32E-20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11F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HSPA4L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72F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-0.0341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3A5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0.452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FDAB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0.571</w:t>
            </w:r>
          </w:p>
        </w:tc>
      </w:tr>
      <w:tr w:rsidR="004E4DB0" w:rsidRPr="004E4DB0" w14:paraId="58E51326" w14:textId="77777777" w:rsidTr="00DE1CEB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43DCDEA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HSP90AA1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32117A9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  <w:t>-0.321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6398B64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  <w:t>3.63E-13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496210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  <w:t>2.11E-12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015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HSP90AA1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9E9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-0.188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3E6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2.86E-05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DC8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5.87E-05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01E5D7DB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  <w:t>HSP90AA1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9969CB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  <w:t>-0.32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5207D0A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  <w:t>4.34E-13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10DBBCC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  <w:t>6.62E-12</w:t>
            </w:r>
          </w:p>
        </w:tc>
      </w:tr>
      <w:tr w:rsidR="004E4DB0" w:rsidRPr="004E4DB0" w14:paraId="27E3DB20" w14:textId="77777777" w:rsidTr="00DE1CEB">
        <w:trPr>
          <w:trHeight w:val="29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71C8D3E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HSPH1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14:paraId="4D6367B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  <w:t>-0.3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14:paraId="798E389B" w14:textId="77777777" w:rsidR="004E4DB0" w:rsidRPr="00DE1CEB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color w:val="9C6500"/>
                <w:kern w:val="0"/>
                <w:sz w:val="16"/>
                <w:szCs w:val="16"/>
              </w:rPr>
            </w:pPr>
            <w:r w:rsidRPr="00DE1CEB">
              <w:rPr>
                <w:rFonts w:ascii="Calibri" w:eastAsia="Times New Roman" w:hAnsi="Calibri" w:cs="Calibri"/>
                <w:b/>
                <w:color w:val="9C6500"/>
                <w:kern w:val="0"/>
                <w:sz w:val="16"/>
                <w:szCs w:val="16"/>
              </w:rPr>
              <w:t>1.42E-11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01E98CE" w14:textId="77777777" w:rsidR="004E4DB0" w:rsidRPr="00DE1CEB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color w:val="006100"/>
                <w:kern w:val="0"/>
                <w:sz w:val="16"/>
                <w:szCs w:val="16"/>
              </w:rPr>
            </w:pPr>
            <w:r w:rsidRPr="00DE1CEB">
              <w:rPr>
                <w:rFonts w:ascii="Calibri" w:eastAsia="Times New Roman" w:hAnsi="Calibri" w:cs="Calibri"/>
                <w:b/>
                <w:color w:val="006100"/>
                <w:kern w:val="0"/>
                <w:sz w:val="16"/>
                <w:szCs w:val="16"/>
              </w:rPr>
              <w:t>6.96E-11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8F27A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HSPH1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AEB6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62B1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2.20E-05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9BE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4.55E-05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6D7D77AA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sz w:val="16"/>
                <w:szCs w:val="16"/>
              </w:rPr>
              <w:t>HSPH1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7CE"/>
            <w:noWrap/>
            <w:vAlign w:val="bottom"/>
            <w:hideMark/>
          </w:tcPr>
          <w:p w14:paraId="016497E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0006"/>
                <w:kern w:val="0"/>
                <w:sz w:val="16"/>
                <w:szCs w:val="16"/>
              </w:rPr>
              <w:t>-0.312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14:paraId="0B23C54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9C6500"/>
                <w:kern w:val="0"/>
                <w:sz w:val="16"/>
                <w:szCs w:val="16"/>
              </w:rPr>
              <w:t>1.67E-12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bottom"/>
            <w:hideMark/>
          </w:tcPr>
          <w:p w14:paraId="7654A25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color w:val="006100"/>
                <w:kern w:val="0"/>
                <w:sz w:val="16"/>
                <w:szCs w:val="16"/>
              </w:rPr>
              <w:t>2.37E-11</w:t>
            </w:r>
          </w:p>
        </w:tc>
      </w:tr>
      <w:tr w:rsidR="004E4DB0" w:rsidRPr="004E4DB0" w14:paraId="620DA5C8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26D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627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4A1D513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1.69E-11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61C1351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8.21E-11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C790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C41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0.241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8BF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7.45E-08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1B8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1.84E-07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0EF8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EFC9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0.277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EA3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4.54E-10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4376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4.67E-09</w:t>
            </w:r>
          </w:p>
        </w:tc>
      </w:tr>
      <w:tr w:rsidR="004E4DB0" w:rsidRPr="004E4DB0" w14:paraId="2C9C3606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DB2C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07F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0.278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840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4.05E-10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452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1.70E-09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F1FC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0AD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0.342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127E1F1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7.59E-15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B7BED7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2.76E-14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D015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748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5EC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1.64E-09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4166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1.56E-08</w:t>
            </w:r>
          </w:p>
        </w:tc>
      </w:tr>
      <w:tr w:rsidR="004E4DB0" w:rsidRPr="004E4DB0" w14:paraId="003F6326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5E77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HSP90B3P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F6B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-0.246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8B2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3.47E-08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DAE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1.20E-07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1FFF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HSP90B3P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52073D1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  <w:t>-0.403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7ABEC7A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1.78E-20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03FE7C5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8.51E-20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8081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HSP90B3P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BFB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-0.242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83B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6.29E-08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B816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4.72E-07</w:t>
            </w:r>
          </w:p>
        </w:tc>
      </w:tr>
      <w:tr w:rsidR="004E4DB0" w:rsidRPr="004E4DB0" w14:paraId="63D9C4E9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547E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HSPE1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154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332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1.38E-06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9B1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3.98E-06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8A1C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HSPE1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3C5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0.392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4E45020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2.07E-19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486CE55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9.38E-19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506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HSPE1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C39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-0.124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ACE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6.20E-03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A541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0.0161</w:t>
            </w:r>
          </w:p>
        </w:tc>
      </w:tr>
      <w:tr w:rsidR="004E4DB0" w:rsidRPr="004E4DB0" w14:paraId="7B46C293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F975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DD0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92D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2.79E-06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08C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7.77E-06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BF78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495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-0.0333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6EC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0.463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4A5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0.528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DB97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2BD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0.0593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886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911A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0.293</w:t>
            </w:r>
          </w:p>
        </w:tc>
      </w:tr>
      <w:tr w:rsidR="004E4DB0" w:rsidRPr="004E4DB0" w14:paraId="7607E0A4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8739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7F6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-0.203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841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6.01E-06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2EC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1.61E-05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F411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E22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-0.0237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D1E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0.602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502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0.66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E1CE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HSPB7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87A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0.0263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207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0.563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AF07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0.672</w:t>
            </w:r>
          </w:p>
        </w:tc>
      </w:tr>
      <w:tr w:rsidR="004E4DB0" w:rsidRPr="004E4DB0" w14:paraId="4E765D95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E47F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HSPA12A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ABC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-0.203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1B1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6.43E-06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BF0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1.72E-05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7DE9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HSPA12A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0B9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-0.149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7A2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9.59E-04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D8C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1.69E-03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231E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HSPA12A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E5E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0.0673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B68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61A9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0.225</w:t>
            </w:r>
          </w:p>
        </w:tc>
      </w:tr>
      <w:tr w:rsidR="004E4DB0" w:rsidRPr="004E4DB0" w14:paraId="0AC8E32D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F15A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HSP90AB4P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C37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0.184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87C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4.27E-05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4F3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1.03E-04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9E7E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HSP90AB4P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1E9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0.189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5AE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2.55E-05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4EA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5.25E-05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C34C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HSP90AB4P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17E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0.149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8B8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9.91E-04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B892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3.21E-03</w:t>
            </w:r>
          </w:p>
        </w:tc>
      </w:tr>
      <w:tr w:rsidR="004E4DB0" w:rsidRPr="004E4DB0" w14:paraId="671751C3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F88F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HSPA1B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5D2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FE9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9.23E-05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6A6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2.14E-04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D352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HSPA1B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C0B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0.274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E53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7.90E-10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E8B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2.19E-09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9DFB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HSPA1B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767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-0.0374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486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0.41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F8D9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0.531</w:t>
            </w:r>
          </w:p>
        </w:tc>
      </w:tr>
      <w:tr w:rsidR="004E4DB0" w:rsidRPr="004E4DB0" w14:paraId="3B8AE847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8E5E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HSPA5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6E8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550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1.11E-04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11B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2.54E-04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721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2AD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-0.212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DE6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2.41E-06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277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5.40E-06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216F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HSPA5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7817612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  <w:t>-0.29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33F83B5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6.94E-11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853F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8.09E-10</w:t>
            </w:r>
          </w:p>
        </w:tc>
      </w:tr>
      <w:tr w:rsidR="004E4DB0" w:rsidRPr="004E4DB0" w14:paraId="32E5009A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BDB0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HSPA8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F73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7AA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5.07E-04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724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1.06E-03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A8D7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73332FF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  <w:t>-0.352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0DC444A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1.07E-15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D8A11A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4.07E-15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32B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HSPA8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3206EBD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  <w:t>-0.274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B02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7.08E-10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DD86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7.10E-09</w:t>
            </w:r>
          </w:p>
        </w:tc>
      </w:tr>
      <w:tr w:rsidR="004E4DB0" w:rsidRPr="004E4DB0" w14:paraId="19B05F90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EB8A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HSPG2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CD9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3BF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7.93E-04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827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1.62E-03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11E0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HSPG2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14439CA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  <w:t>-0.282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E00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2.42E-10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129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6.88E-10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A8A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HSPG2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62E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-0.0246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EB8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0.587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BED0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0.693</w:t>
            </w:r>
          </w:p>
        </w:tc>
      </w:tr>
      <w:tr w:rsidR="004E4DB0" w:rsidRPr="004E4DB0" w14:paraId="6B1ECCB0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D847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HSP90AB2P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E1C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5BC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8.69E-04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660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1.76E-03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9207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HSP90AB2P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506D152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  <w:t>-0.268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11C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1.92E-09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BC2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5.20E-09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511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HSP90AB2P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0EE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-0.202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CAC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6.80E-06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7CADA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3.55E-05</w:t>
            </w:r>
          </w:p>
        </w:tc>
      </w:tr>
      <w:tr w:rsidR="004E4DB0" w:rsidRPr="004E4DB0" w14:paraId="4BF02D48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60CB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121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0.145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5EC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1.36E-03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421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2.69E-03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B2D0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9C3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0.163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F53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2.94E-04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6BB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5.49E-04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ECB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945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0.0642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135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2B1E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0.25</w:t>
            </w:r>
          </w:p>
        </w:tc>
      </w:tr>
      <w:tr w:rsidR="004E4DB0" w:rsidRPr="004E4DB0" w14:paraId="13150C38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03BD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48A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AE3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2.49E-03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96E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4.72E-03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0AF6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608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0.279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CB4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3.51E-10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41C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9.90E-10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158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HSPA1A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E82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-0.0836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13E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0.0651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F5D9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0.121</w:t>
            </w:r>
          </w:p>
        </w:tc>
      </w:tr>
      <w:tr w:rsidR="004E4DB0" w:rsidRPr="004E4DB0" w14:paraId="2437ABB0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8EF2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A22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432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2.95E-03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F81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5.54E-03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E6B7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028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AFA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0.0244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01C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0.0364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BE4F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B65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0.0603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FE3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4838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0.283</w:t>
            </w:r>
          </w:p>
        </w:tc>
      </w:tr>
      <w:tr w:rsidR="004E4DB0" w:rsidRPr="004E4DB0" w14:paraId="795CF6B7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5542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820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BB4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9.41E-03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B5F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0.0163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4FD2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6BF60C2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  <w:t>-0.277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589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5.08E-10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0DA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1.42E-09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5CE5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6AA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-0.0762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2C2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0.0928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F2AE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0.163</w:t>
            </w:r>
          </w:p>
        </w:tc>
      </w:tr>
      <w:tr w:rsidR="004E4DB0" w:rsidRPr="004E4DB0" w14:paraId="668D5694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C9C8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HSP90B1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EED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CC8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0.0132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706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0.0223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B21B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HSP90B1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8B9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-0.167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6BF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2.04E-04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E1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3.87E-04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CEE6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F17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17C7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0.454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13AE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0.572</w:t>
            </w:r>
          </w:p>
        </w:tc>
      </w:tr>
      <w:tr w:rsidR="004E4DB0" w:rsidRPr="004E4DB0" w14:paraId="6E781D71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617A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6CD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-0.112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81E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0.0137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3B0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7481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72B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0.0262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FDF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0.563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BF5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0.625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F359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848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-0.0508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4DB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E1AD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0.377</w:t>
            </w:r>
          </w:p>
        </w:tc>
      </w:tr>
      <w:tr w:rsidR="004E4DB0" w:rsidRPr="004E4DB0" w14:paraId="14827070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5D82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F59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0.0931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09B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0.0397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586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0.0615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AC2D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3A1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0.0935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C5A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233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0.0564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A723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CA9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241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5.28E-04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1CF1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1.84E-03</w:t>
            </w:r>
          </w:p>
        </w:tc>
      </w:tr>
      <w:tr w:rsidR="004E4DB0" w:rsidRPr="004E4DB0" w14:paraId="61F46617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2C50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HSP90AB1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D8A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-0.0746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0FA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0.0996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88D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0.142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F1BA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HSP90AB1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35C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-0.11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D88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0.0155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869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0.0238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16A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HSP90AB1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44B3458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  <w:t>-0.276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E3AF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5.67E-10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9963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5.76E-09</w:t>
            </w:r>
          </w:p>
        </w:tc>
      </w:tr>
      <w:tr w:rsidR="004E4DB0" w:rsidRPr="004E4DB0" w14:paraId="5AD030F4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5D57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C7D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-0.0639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73D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603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0.215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DEF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2F0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0.177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D1AB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8.44E-05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7AD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1.66E-04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7AC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9F0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742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0.0159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1485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0.0366</w:t>
            </w:r>
          </w:p>
        </w:tc>
      </w:tr>
      <w:tr w:rsidR="004E4DB0" w:rsidRPr="004E4DB0" w14:paraId="1EAB2EC9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DF32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8A3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0.0573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F5A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34A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0.271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9440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542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0.45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52B16F8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9.36E-26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7C0F9F4C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5.66E-25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14FA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HSP90B1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AA1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-0.244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042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4.93E-08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2372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3.74E-07</w:t>
            </w:r>
          </w:p>
        </w:tc>
      </w:tr>
      <w:tr w:rsidR="004E4DB0" w:rsidRPr="004E4DB0" w14:paraId="3D448664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9768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481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-0.0491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CBD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0.279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766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0.351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41D1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991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-0.208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AB2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3.71E-06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D04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8.17E-06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0678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040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-0.246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89F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3.54E-08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1812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2.76E-07</w:t>
            </w:r>
          </w:p>
        </w:tc>
      </w:tr>
      <w:tr w:rsidR="004E4DB0" w:rsidRPr="004E4DB0" w14:paraId="09ACDF61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8047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D50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079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0.354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1A5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0.431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9F1DE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93F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0.204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14B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5.40E-06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995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1.18E-05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DD7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50D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-0.0254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BCDE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0.576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9610D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0.684</w:t>
            </w:r>
          </w:p>
        </w:tc>
      </w:tr>
      <w:tr w:rsidR="004E4DB0" w:rsidRPr="004E4DB0" w14:paraId="6BCFA582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53CB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HSPD1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7E7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-0.0358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2894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0.43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688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0.508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6AFE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HSPD1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6059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-0.0162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1A83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0.721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E7C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0.767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D05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HSPD1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7C43287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0006"/>
                <w:kern w:val="0"/>
                <w:sz w:val="16"/>
                <w:szCs w:val="16"/>
              </w:rPr>
              <w:t>-0.26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4FB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5.75E-09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50EA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5.05E-08</w:t>
            </w:r>
          </w:p>
        </w:tc>
      </w:tr>
      <w:tr w:rsidR="004E4DB0" w:rsidRPr="004E4DB0" w14:paraId="0E1B4BD7" w14:textId="77777777" w:rsidTr="00446D10">
        <w:trPr>
          <w:trHeight w:val="285"/>
        </w:trPr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56B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HSPB1P1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EF3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0.0191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D0D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0.675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D8D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0.736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6DB2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HSPB1P1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2B5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0.406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4546951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9C6500"/>
                <w:kern w:val="0"/>
                <w:sz w:val="16"/>
                <w:szCs w:val="16"/>
              </w:rPr>
              <w:t>9.63E-21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FCE"/>
            <w:noWrap/>
            <w:vAlign w:val="bottom"/>
            <w:hideMark/>
          </w:tcPr>
          <w:p w14:paraId="3FD2E0E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6100"/>
                <w:kern w:val="0"/>
                <w:sz w:val="16"/>
                <w:szCs w:val="16"/>
              </w:rPr>
              <w:t>4.65E-20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A2129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HSPB1P1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DA5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0.0196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26A6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0.665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1843F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0.757</w:t>
            </w:r>
          </w:p>
        </w:tc>
      </w:tr>
      <w:tr w:rsidR="004E4DB0" w:rsidRPr="004E4DB0" w14:paraId="05363811" w14:textId="77777777" w:rsidTr="00446D10">
        <w:trPr>
          <w:trHeight w:val="293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9409C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HSPA12B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081C7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0.0161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F98B8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0.723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9420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0.778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95BD4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HSPA12B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4A371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0.0806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EEE3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0.0754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3E05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92CB1" w14:textId="77777777" w:rsidR="004E4DB0" w:rsidRPr="004E4DB0" w:rsidRDefault="004E4DB0" w:rsidP="004E4DB0">
            <w:pPr>
              <w:widowControl/>
              <w:jc w:val="lef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HSPA12B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46B34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0.135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168C2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2.77E-03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C9D2A" w14:textId="77777777" w:rsidR="004E4DB0" w:rsidRPr="004E4DB0" w:rsidRDefault="004E4DB0" w:rsidP="004E4DB0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4E4DB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7.98E-03</w:t>
            </w:r>
          </w:p>
        </w:tc>
      </w:tr>
    </w:tbl>
    <w:p w14:paraId="7F38E502" w14:textId="7EB216BB" w:rsidR="00B94D39" w:rsidRDefault="00446D10" w:rsidP="00446D10">
      <w:pPr>
        <w:widowControl/>
        <w:jc w:val="left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</w:pPr>
      <w:r w:rsidRPr="00446D10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 xml:space="preserve">Spearman’s </w:t>
      </w:r>
      <w:r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>correlation &lt; -0.25 were shown in red</w:t>
      </w:r>
      <w:r w:rsidRPr="00446D10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>.</w:t>
      </w:r>
      <w:r w:rsidRPr="00446D10">
        <w:t xml:space="preserve"> </w:t>
      </w:r>
      <w:r w:rsidRPr="00446D10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>p-Value</w:t>
      </w:r>
      <w:r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 xml:space="preserve">s &lt; 1E-10 were shown in yellow. </w:t>
      </w:r>
      <w:r w:rsidRPr="00446D10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>q-Value</w:t>
      </w:r>
      <w:r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>s &lt; 1E-10 were shown in green.</w:t>
      </w:r>
    </w:p>
    <w:p w14:paraId="4F89E884" w14:textId="14786FB5" w:rsidR="00D0203C" w:rsidRDefault="00EE7714" w:rsidP="0076285B">
      <w:pPr>
        <w:widowControl/>
        <w:adjustRightInd w:val="0"/>
        <w:snapToGrid w:val="0"/>
        <w:spacing w:line="200" w:lineRule="atLeast"/>
        <w:ind w:left="993" w:hanging="198"/>
        <w:jc w:val="left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</w:pPr>
      <w:r>
        <w:rPr>
          <w:rFonts w:ascii="Palatino Linotype" w:eastAsia="Times New Roman" w:hAnsi="Palatino Linotype" w:cs="Times New Roman"/>
          <w:noProof/>
          <w:color w:val="000000"/>
          <w:kern w:val="0"/>
          <w:sz w:val="16"/>
          <w:szCs w:val="18"/>
        </w:rPr>
        <w:lastRenderedPageBreak/>
        <w:drawing>
          <wp:anchor distT="0" distB="0" distL="114300" distR="114300" simplePos="0" relativeHeight="251660288" behindDoc="0" locked="0" layoutInCell="1" allowOverlap="1" wp14:anchorId="7B8B7319" wp14:editId="213992F3">
            <wp:simplePos x="0" y="0"/>
            <wp:positionH relativeFrom="column">
              <wp:posOffset>75565</wp:posOffset>
            </wp:positionH>
            <wp:positionV relativeFrom="paragraph">
              <wp:posOffset>31432</wp:posOffset>
            </wp:positionV>
            <wp:extent cx="6480000" cy="6410542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410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85B" w:rsidRPr="0076285B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br/>
      </w:r>
    </w:p>
    <w:p w14:paraId="27FF737E" w14:textId="5D9DCEED" w:rsidR="00E84D9E" w:rsidRPr="00EE7714" w:rsidRDefault="00E84D9E">
      <w:pPr>
        <w:widowControl/>
        <w:jc w:val="left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</w:pPr>
      <w:r w:rsidRPr="00A71375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18"/>
          <w:lang w:eastAsia="de-DE" w:bidi="en-US"/>
        </w:rPr>
        <w:t xml:space="preserve">Figure </w:t>
      </w:r>
      <w:r w:rsidR="00EE7714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18"/>
          <w:lang w:eastAsia="de-DE" w:bidi="en-US"/>
        </w:rPr>
        <w:t>S2</w:t>
      </w:r>
      <w:r w:rsidRPr="00A71375">
        <w:rPr>
          <w:rFonts w:ascii="Palatino Linotype" w:eastAsia="Times New Roman" w:hAnsi="Palatino Linotype" w:cs="Times New Roman"/>
          <w:b/>
          <w:color w:val="000000"/>
          <w:kern w:val="0"/>
          <w:sz w:val="18"/>
          <w:szCs w:val="18"/>
          <w:lang w:eastAsia="de-DE" w:bidi="en-US"/>
        </w:rPr>
        <w:t>.</w:t>
      </w:r>
      <w:r w:rsidRPr="00E84D9E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Gene expression profiling of </w:t>
      </w:r>
      <w:r w:rsidR="00A71375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SCAND2, ZSCAN6(MZF1),</w:t>
      </w:r>
      <w:r w:rsidRPr="00E84D9E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 </w:t>
      </w:r>
      <w:r w:rsidR="00A71375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 xml:space="preserve">and </w:t>
      </w:r>
      <w:r w:rsidRPr="00E84D9E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HSP90 genes in various tumor t</w:t>
      </w:r>
      <w:r w:rsidR="00A71375">
        <w:rPr>
          <w:rFonts w:ascii="Palatino Linotype" w:eastAsia="Times New Roman" w:hAnsi="Palatino Linotype" w:cs="Times New Roman"/>
          <w:color w:val="000000"/>
          <w:kern w:val="0"/>
          <w:sz w:val="18"/>
          <w:szCs w:val="18"/>
          <w:lang w:eastAsia="de-DE" w:bidi="en-US"/>
        </w:rPr>
        <w:t>ypes vs. paired normal tissues.</w:t>
      </w:r>
    </w:p>
    <w:p w14:paraId="4D7A4045" w14:textId="77777777" w:rsidR="00D0203C" w:rsidRDefault="00D0203C">
      <w:pPr>
        <w:widowControl/>
        <w:jc w:val="left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</w:pPr>
    </w:p>
    <w:p w14:paraId="4501551A" w14:textId="4F1FCA80" w:rsidR="0076285B" w:rsidRPr="0076285B" w:rsidRDefault="00E84D9E" w:rsidP="0076285B">
      <w:pPr>
        <w:widowControl/>
        <w:adjustRightInd w:val="0"/>
        <w:snapToGrid w:val="0"/>
        <w:spacing w:line="200" w:lineRule="atLeast"/>
        <w:ind w:left="993" w:hanging="198"/>
        <w:jc w:val="left"/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1A8725C" wp14:editId="0637EF71">
            <wp:simplePos x="0" y="0"/>
            <wp:positionH relativeFrom="column">
              <wp:posOffset>0</wp:posOffset>
            </wp:positionH>
            <wp:positionV relativeFrom="paragraph">
              <wp:posOffset>134620</wp:posOffset>
            </wp:positionV>
            <wp:extent cx="6480000" cy="4113988"/>
            <wp:effectExtent l="0" t="0" r="0" b="1270"/>
            <wp:wrapTopAndBottom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113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85B" w:rsidRPr="0076285B">
        <w:rPr>
          <w:rFonts w:ascii="Palatino Linotype" w:eastAsia="Times New Roman" w:hAnsi="Palatino Linotype" w:cs="Times New Roman"/>
          <w:color w:val="000000"/>
          <w:kern w:val="0"/>
          <w:sz w:val="16"/>
          <w:szCs w:val="18"/>
          <w:lang w:eastAsia="de-DE" w:bidi="en-US"/>
        </w:rPr>
        <w:t xml:space="preserve"> </w:t>
      </w:r>
    </w:p>
    <w:p w14:paraId="5B435682" w14:textId="0FC731B1" w:rsidR="00E84D9E" w:rsidRDefault="00D0203C" w:rsidP="00D0203C">
      <w:pPr>
        <w:spacing w:before="120" w:after="240" w:line="260" w:lineRule="atLeast"/>
        <w:ind w:right="432"/>
        <w:jc w:val="left"/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</w:rPr>
      </w:pPr>
      <w:r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</w:rPr>
        <w:t>Figure</w:t>
      </w:r>
      <w:r w:rsidRPr="008B35A0"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</w:rPr>
        <w:t xml:space="preserve"> </w:t>
      </w:r>
      <w:r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</w:rPr>
        <w:t>S</w:t>
      </w:r>
      <w:r w:rsidR="00EE7714"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</w:rPr>
        <w:t>3</w:t>
      </w:r>
      <w:r w:rsidRPr="008B35A0">
        <w:rPr>
          <w:rFonts w:ascii="Palatino Linotype" w:eastAsia="Times New Roman" w:hAnsi="Palatino Linotype" w:cs="Cordia New"/>
          <w:b/>
          <w:color w:val="000000"/>
          <w:kern w:val="0"/>
          <w:sz w:val="18"/>
          <w:lang w:eastAsia="de-DE" w:bidi="en-US"/>
        </w:rPr>
        <w:t xml:space="preserve">. </w:t>
      </w:r>
      <w:r w:rsidR="00610972"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>Kaplan-Mei</w:t>
      </w:r>
      <w:r w:rsidR="00054551" w:rsidRPr="00054551"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 xml:space="preserve">er </w:t>
      </w:r>
      <w:r w:rsidR="00054551"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 xml:space="preserve">analysis of SCAN-TFs and HSP90 expression in lung adenocarcinoma. </w:t>
      </w:r>
      <w:r w:rsidR="00E84D9E" w:rsidRPr="00E84D9E">
        <w:rPr>
          <w:rFonts w:ascii="Palatino Linotype" w:eastAsia="Times New Roman" w:hAnsi="Palatino Linotype" w:cs="Cordia New"/>
          <w:color w:val="000000"/>
          <w:kern w:val="0"/>
          <w:sz w:val="18"/>
          <w:lang w:eastAsia="de-DE" w:bidi="en-US"/>
        </w:rPr>
        <w:t>SCAND2 and MZF1 expression are correlated with a better prognosis, whereas HSP90 expression is correlated with a poor prognosis of lung adenocarcinoma.</w:t>
      </w:r>
    </w:p>
    <w:p w14:paraId="00E3B7BF" w14:textId="64CEF57C" w:rsidR="00611425" w:rsidRPr="00B734E5" w:rsidRDefault="00611425" w:rsidP="008F0C4C">
      <w:pPr>
        <w:widowControl/>
        <w:jc w:val="left"/>
        <w:rPr>
          <w:rFonts w:ascii="Palatino Linotype" w:hAnsi="Palatino Linotype"/>
          <w:sz w:val="18"/>
          <w:szCs w:val="18"/>
        </w:rPr>
      </w:pPr>
    </w:p>
    <w:sectPr w:rsidR="00611425" w:rsidRPr="00B734E5" w:rsidSect="00BA31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59340" w16cex:dateUtc="2021-04-17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01FA2B" w16cid:durableId="242593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213F5" w14:textId="77777777" w:rsidR="001335BD" w:rsidRDefault="001335BD" w:rsidP="00A37FA6">
      <w:r>
        <w:separator/>
      </w:r>
    </w:p>
  </w:endnote>
  <w:endnote w:type="continuationSeparator" w:id="0">
    <w:p w14:paraId="24B40DCD" w14:textId="77777777" w:rsidR="001335BD" w:rsidRDefault="001335BD" w:rsidP="00A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899F8" w14:textId="77777777" w:rsidR="001335BD" w:rsidRDefault="001335BD" w:rsidP="00A37FA6">
      <w:r>
        <w:separator/>
      </w:r>
    </w:p>
  </w:footnote>
  <w:footnote w:type="continuationSeparator" w:id="0">
    <w:p w14:paraId="10BCC3BD" w14:textId="77777777" w:rsidR="001335BD" w:rsidRDefault="001335BD" w:rsidP="00A37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C0NDSwMDE1NjE3MzRQ0lEKTi0uzszPAykwtKwFANeNgg4tAAAA"/>
  </w:docVars>
  <w:rsids>
    <w:rsidRoot w:val="00983F5D"/>
    <w:rsid w:val="00004D47"/>
    <w:rsid w:val="00007D05"/>
    <w:rsid w:val="00010C11"/>
    <w:rsid w:val="000173CA"/>
    <w:rsid w:val="000503C9"/>
    <w:rsid w:val="00054551"/>
    <w:rsid w:val="0005751C"/>
    <w:rsid w:val="000678C6"/>
    <w:rsid w:val="00067993"/>
    <w:rsid w:val="00073709"/>
    <w:rsid w:val="000775AD"/>
    <w:rsid w:val="00077E9D"/>
    <w:rsid w:val="00083370"/>
    <w:rsid w:val="00084B14"/>
    <w:rsid w:val="000D65FC"/>
    <w:rsid w:val="00101E81"/>
    <w:rsid w:val="001335BD"/>
    <w:rsid w:val="001407E2"/>
    <w:rsid w:val="00145D46"/>
    <w:rsid w:val="00152980"/>
    <w:rsid w:val="00153AB7"/>
    <w:rsid w:val="001613BB"/>
    <w:rsid w:val="001630AD"/>
    <w:rsid w:val="00164289"/>
    <w:rsid w:val="00184A2A"/>
    <w:rsid w:val="00187ED7"/>
    <w:rsid w:val="0019107A"/>
    <w:rsid w:val="001E6143"/>
    <w:rsid w:val="001E6292"/>
    <w:rsid w:val="00216713"/>
    <w:rsid w:val="00240370"/>
    <w:rsid w:val="00250C2D"/>
    <w:rsid w:val="0026720D"/>
    <w:rsid w:val="0029615E"/>
    <w:rsid w:val="002A7C08"/>
    <w:rsid w:val="002B00A8"/>
    <w:rsid w:val="002B5253"/>
    <w:rsid w:val="002B6DB4"/>
    <w:rsid w:val="002C1A96"/>
    <w:rsid w:val="002C5D6F"/>
    <w:rsid w:val="00302220"/>
    <w:rsid w:val="00302D32"/>
    <w:rsid w:val="00315B43"/>
    <w:rsid w:val="00324AB3"/>
    <w:rsid w:val="0034004E"/>
    <w:rsid w:val="003454DB"/>
    <w:rsid w:val="00355466"/>
    <w:rsid w:val="00376413"/>
    <w:rsid w:val="00377DE1"/>
    <w:rsid w:val="003B41DA"/>
    <w:rsid w:val="003D09FE"/>
    <w:rsid w:val="003D6E26"/>
    <w:rsid w:val="003F5618"/>
    <w:rsid w:val="00400208"/>
    <w:rsid w:val="0040227D"/>
    <w:rsid w:val="004036AA"/>
    <w:rsid w:val="00407FA9"/>
    <w:rsid w:val="00412CCD"/>
    <w:rsid w:val="0042087A"/>
    <w:rsid w:val="00446D10"/>
    <w:rsid w:val="00460039"/>
    <w:rsid w:val="00463020"/>
    <w:rsid w:val="00490FB2"/>
    <w:rsid w:val="004A26D3"/>
    <w:rsid w:val="004E4DB0"/>
    <w:rsid w:val="004F15DA"/>
    <w:rsid w:val="00516BB9"/>
    <w:rsid w:val="005235AD"/>
    <w:rsid w:val="00523FFB"/>
    <w:rsid w:val="0054340C"/>
    <w:rsid w:val="00572239"/>
    <w:rsid w:val="0057363E"/>
    <w:rsid w:val="00584DEF"/>
    <w:rsid w:val="005A4829"/>
    <w:rsid w:val="005C0733"/>
    <w:rsid w:val="005D01B1"/>
    <w:rsid w:val="005D039B"/>
    <w:rsid w:val="005D4330"/>
    <w:rsid w:val="00610972"/>
    <w:rsid w:val="00611425"/>
    <w:rsid w:val="00616925"/>
    <w:rsid w:val="0062072A"/>
    <w:rsid w:val="00692A86"/>
    <w:rsid w:val="00696655"/>
    <w:rsid w:val="006B7FFC"/>
    <w:rsid w:val="006C7678"/>
    <w:rsid w:val="006E1F22"/>
    <w:rsid w:val="006F0BF5"/>
    <w:rsid w:val="006F1504"/>
    <w:rsid w:val="006F1A2E"/>
    <w:rsid w:val="006F41F7"/>
    <w:rsid w:val="006F726A"/>
    <w:rsid w:val="00717CAB"/>
    <w:rsid w:val="007326DB"/>
    <w:rsid w:val="00732E46"/>
    <w:rsid w:val="0074723F"/>
    <w:rsid w:val="0076285B"/>
    <w:rsid w:val="007739AE"/>
    <w:rsid w:val="00774686"/>
    <w:rsid w:val="007A70DE"/>
    <w:rsid w:val="007B3BA7"/>
    <w:rsid w:val="007C1928"/>
    <w:rsid w:val="007C1F8E"/>
    <w:rsid w:val="007D23E1"/>
    <w:rsid w:val="00862759"/>
    <w:rsid w:val="008A363F"/>
    <w:rsid w:val="008A7C43"/>
    <w:rsid w:val="008B35A0"/>
    <w:rsid w:val="008C74F2"/>
    <w:rsid w:val="008D73DA"/>
    <w:rsid w:val="008E70ED"/>
    <w:rsid w:val="008F0C4C"/>
    <w:rsid w:val="00920356"/>
    <w:rsid w:val="0094188D"/>
    <w:rsid w:val="00950F51"/>
    <w:rsid w:val="00983F5D"/>
    <w:rsid w:val="009A7C9C"/>
    <w:rsid w:val="009B519C"/>
    <w:rsid w:val="009C15B1"/>
    <w:rsid w:val="009D2B79"/>
    <w:rsid w:val="009F4CAB"/>
    <w:rsid w:val="00A112C9"/>
    <w:rsid w:val="00A26165"/>
    <w:rsid w:val="00A37FA6"/>
    <w:rsid w:val="00A4355A"/>
    <w:rsid w:val="00A57A63"/>
    <w:rsid w:val="00A71375"/>
    <w:rsid w:val="00A72E98"/>
    <w:rsid w:val="00A87F79"/>
    <w:rsid w:val="00A91314"/>
    <w:rsid w:val="00A92E05"/>
    <w:rsid w:val="00A94D27"/>
    <w:rsid w:val="00A978AD"/>
    <w:rsid w:val="00AA152C"/>
    <w:rsid w:val="00AA16D7"/>
    <w:rsid w:val="00AA72D1"/>
    <w:rsid w:val="00AB61E7"/>
    <w:rsid w:val="00AC4B1E"/>
    <w:rsid w:val="00B408D5"/>
    <w:rsid w:val="00B4487E"/>
    <w:rsid w:val="00B734E5"/>
    <w:rsid w:val="00B92C5E"/>
    <w:rsid w:val="00B94D39"/>
    <w:rsid w:val="00BA31EE"/>
    <w:rsid w:val="00BB161B"/>
    <w:rsid w:val="00BE4156"/>
    <w:rsid w:val="00BE509E"/>
    <w:rsid w:val="00BF125F"/>
    <w:rsid w:val="00BF4417"/>
    <w:rsid w:val="00C13A04"/>
    <w:rsid w:val="00C15490"/>
    <w:rsid w:val="00C32526"/>
    <w:rsid w:val="00C37DE2"/>
    <w:rsid w:val="00C52874"/>
    <w:rsid w:val="00C74946"/>
    <w:rsid w:val="00C8406F"/>
    <w:rsid w:val="00C90AA2"/>
    <w:rsid w:val="00CC23EF"/>
    <w:rsid w:val="00CE571E"/>
    <w:rsid w:val="00D0203C"/>
    <w:rsid w:val="00D160D9"/>
    <w:rsid w:val="00D27F29"/>
    <w:rsid w:val="00D51218"/>
    <w:rsid w:val="00D52D0B"/>
    <w:rsid w:val="00D71790"/>
    <w:rsid w:val="00D85B92"/>
    <w:rsid w:val="00D92988"/>
    <w:rsid w:val="00DB58F3"/>
    <w:rsid w:val="00DC2F1F"/>
    <w:rsid w:val="00DC557E"/>
    <w:rsid w:val="00DD0814"/>
    <w:rsid w:val="00DD1A9F"/>
    <w:rsid w:val="00DE1CEB"/>
    <w:rsid w:val="00DF13B2"/>
    <w:rsid w:val="00DF1A78"/>
    <w:rsid w:val="00E17FFD"/>
    <w:rsid w:val="00E454F2"/>
    <w:rsid w:val="00E63782"/>
    <w:rsid w:val="00E733B2"/>
    <w:rsid w:val="00E84D9E"/>
    <w:rsid w:val="00EB04F3"/>
    <w:rsid w:val="00ED3461"/>
    <w:rsid w:val="00EE6718"/>
    <w:rsid w:val="00EE7714"/>
    <w:rsid w:val="00F061E1"/>
    <w:rsid w:val="00F15779"/>
    <w:rsid w:val="00F17F53"/>
    <w:rsid w:val="00F44BA9"/>
    <w:rsid w:val="00F55B8D"/>
    <w:rsid w:val="00F76F09"/>
    <w:rsid w:val="00F81F1E"/>
    <w:rsid w:val="00F85F9A"/>
    <w:rsid w:val="00F94718"/>
    <w:rsid w:val="00FA50BA"/>
    <w:rsid w:val="00FC7DF6"/>
    <w:rsid w:val="00FD604B"/>
    <w:rsid w:val="00FD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F91653"/>
  <w15:chartTrackingRefBased/>
  <w15:docId w15:val="{6997AA4F-ADF1-41B2-A41B-32406475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FA6"/>
  </w:style>
  <w:style w:type="paragraph" w:styleId="a6">
    <w:name w:val="footer"/>
    <w:basedOn w:val="a"/>
    <w:link w:val="a7"/>
    <w:uiPriority w:val="99"/>
    <w:unhideWhenUsed/>
    <w:rsid w:val="00A37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FA6"/>
  </w:style>
  <w:style w:type="paragraph" w:styleId="a8">
    <w:name w:val="Balloon Text"/>
    <w:basedOn w:val="a"/>
    <w:link w:val="a9"/>
    <w:uiPriority w:val="99"/>
    <w:semiHidden/>
    <w:unhideWhenUsed/>
    <w:rsid w:val="001E6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629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E61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E6143"/>
    <w:pPr>
      <w:widowControl/>
      <w:spacing w:after="200"/>
      <w:jc w:val="left"/>
    </w:pPr>
    <w:rPr>
      <w:kern w:val="0"/>
      <w:sz w:val="20"/>
      <w:szCs w:val="20"/>
      <w:lang w:eastAsia="en-US"/>
    </w:rPr>
  </w:style>
  <w:style w:type="character" w:customStyle="1" w:styleId="ac">
    <w:name w:val="コメント文字列 (文字)"/>
    <w:basedOn w:val="a0"/>
    <w:link w:val="ab"/>
    <w:uiPriority w:val="99"/>
    <w:rsid w:val="001E6143"/>
    <w:rPr>
      <w:kern w:val="0"/>
      <w:sz w:val="20"/>
      <w:szCs w:val="20"/>
      <w:lang w:eastAsia="en-US"/>
    </w:rPr>
  </w:style>
  <w:style w:type="paragraph" w:customStyle="1" w:styleId="MDPI12title">
    <w:name w:val="MDPI_1.2_title"/>
    <w:next w:val="a"/>
    <w:qFormat/>
    <w:rsid w:val="00DC557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a"/>
    <w:qFormat/>
    <w:rsid w:val="00DC557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5618"/>
    <w:pPr>
      <w:widowControl w:val="0"/>
      <w:spacing w:after="0"/>
    </w:pPr>
    <w:rPr>
      <w:b/>
      <w:bCs/>
      <w:kern w:val="2"/>
      <w:sz w:val="21"/>
      <w:szCs w:val="22"/>
      <w:lang w:eastAsia="ja-JP"/>
    </w:rPr>
  </w:style>
  <w:style w:type="character" w:customStyle="1" w:styleId="ae">
    <w:name w:val="コメント内容 (文字)"/>
    <w:basedOn w:val="ac"/>
    <w:link w:val="ad"/>
    <w:uiPriority w:val="99"/>
    <w:semiHidden/>
    <w:rsid w:val="003F5618"/>
    <w:rPr>
      <w:b/>
      <w:bCs/>
      <w:kern w:val="0"/>
      <w:sz w:val="20"/>
      <w:szCs w:val="20"/>
      <w:lang w:eastAsia="en-US"/>
    </w:rPr>
  </w:style>
  <w:style w:type="table" w:customStyle="1" w:styleId="1">
    <w:name w:val="表 (格子)1"/>
    <w:basedOn w:val="a1"/>
    <w:next w:val="a3"/>
    <w:uiPriority w:val="39"/>
    <w:rsid w:val="008B35A0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0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1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062D61CF3504F86EF924A6D55BC70" ma:contentTypeVersion="7" ma:contentTypeDescription="新しいドキュメントを作成します。" ma:contentTypeScope="" ma:versionID="34d3e3414846ccf5ef90925ee32344f7">
  <xsd:schema xmlns:xsd="http://www.w3.org/2001/XMLSchema" xmlns:xs="http://www.w3.org/2001/XMLSchema" xmlns:p="http://schemas.microsoft.com/office/2006/metadata/properties" xmlns:ns3="7deda73e-61db-4e65-aa46-f6c8c5ae4ae9" xmlns:ns4="c7746b0c-42cf-4ae7-808f-82c23b030421" targetNamespace="http://schemas.microsoft.com/office/2006/metadata/properties" ma:root="true" ma:fieldsID="a0a6d01c5a9116f713d03a88d93eb210" ns3:_="" ns4:_="">
    <xsd:import namespace="7deda73e-61db-4e65-aa46-f6c8c5ae4ae9"/>
    <xsd:import namespace="c7746b0c-42cf-4ae7-808f-82c23b0304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da73e-61db-4e65-aa46-f6c8c5ae4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6b0c-42cf-4ae7-808f-82c23b030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4BB7D0-E650-45A4-9A06-AA19DB6E8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41196-1017-4935-B66A-973AEBEE9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da73e-61db-4e65-aa46-f6c8c5ae4ae9"/>
    <ds:schemaRef ds:uri="c7746b0c-42cf-4ae7-808f-82c23b030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39F8D-B686-4EA2-98E1-4BBD54324B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782</Words>
  <Characters>4461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十川 千春</dc:creator>
  <cp:keywords/>
  <dc:description/>
  <cp:lastModifiedBy>Takanori Eguchi</cp:lastModifiedBy>
  <cp:revision>16</cp:revision>
  <cp:lastPrinted>2022-12-07T10:43:00Z</cp:lastPrinted>
  <dcterms:created xsi:type="dcterms:W3CDTF">2023-01-18T01:44:00Z</dcterms:created>
  <dcterms:modified xsi:type="dcterms:W3CDTF">2023-01-24T04:06:00Z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0x010100F18062D61CF3504F86EF924A6D55BC70</vt:lpwstr>
  </property>
</Properties>
</file>