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bookmarkStart w:id="0" w:name="_GoBack"/>
      <w:bookmarkEnd w:id="0"/>
    </w:p>
    <w:p>
      <w:pPr>
        <w:pStyle w:val="1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Supporting Information</w:t>
      </w:r>
    </w:p>
    <w:p>
      <w:pPr>
        <w:spacing w:after="0" w:line="480" w:lineRule="auto"/>
        <w:rPr>
          <w:rFonts w:asciiTheme="majorBidi" w:hAnsiTheme="majorBidi" w:cstheme="majorBidi"/>
          <w:b/>
          <w:bCs/>
          <w:color w:val="auto"/>
          <w:sz w:val="24"/>
          <w:highlight w:val="none"/>
        </w:rPr>
      </w:pPr>
      <w:r>
        <w:rPr>
          <w:rFonts w:hint="eastAsia" w:asciiTheme="majorBidi" w:hAnsiTheme="majorBidi" w:cstheme="majorBidi"/>
          <w:b/>
          <w:bCs/>
          <w:color w:val="auto"/>
          <w:sz w:val="24"/>
          <w:highlight w:val="none"/>
          <w:lang w:val="en-US" w:eastAsia="zh-CN"/>
        </w:rPr>
        <w:t>A</w:t>
      </w:r>
      <w:r>
        <w:rPr>
          <w:rFonts w:asciiTheme="majorBidi" w:hAnsiTheme="majorBidi" w:cstheme="majorBidi"/>
          <w:b/>
          <w:bCs/>
          <w:color w:val="auto"/>
          <w:sz w:val="24"/>
          <w:highlight w:val="none"/>
        </w:rPr>
        <w:t xml:space="preserve"> novel fluorescent sensor based on aptamer and </w:t>
      </w:r>
      <w:r>
        <w:rPr>
          <w:rFonts w:hint="eastAsia" w:asciiTheme="majorBidi" w:hAnsiTheme="majorBidi" w:cstheme="majorBidi"/>
          <w:b/>
          <w:bCs/>
          <w:color w:val="auto"/>
          <w:sz w:val="24"/>
          <w:highlight w:val="none"/>
          <w:lang w:val="en-US" w:eastAsia="zh-CN"/>
        </w:rPr>
        <w:t>q</w:t>
      </w:r>
      <w:r>
        <w:rPr>
          <w:rFonts w:asciiTheme="majorBidi" w:hAnsiTheme="majorBidi" w:cstheme="majorBidi"/>
          <w:b/>
          <w:bCs/>
          <w:color w:val="auto"/>
          <w:sz w:val="24"/>
          <w:highlight w:val="none"/>
        </w:rPr>
        <w:t xml:space="preserve">PCR for determination of glyphosate in tap water </w:t>
      </w:r>
    </w:p>
    <w:p>
      <w:pPr>
        <w:spacing w:line="480" w:lineRule="auto"/>
        <w:ind w:left="0"/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  <w:highlight w:val="none"/>
          <w:vertAlign w:val="superscript"/>
          <w:lang w:eastAsia="zh-CN"/>
        </w:rPr>
      </w:pPr>
      <w:r>
        <w:rPr>
          <w:rFonts w:hint="eastAsia" w:asciiTheme="majorBidi" w:hAnsiTheme="majorBidi" w:cstheme="majorBidi"/>
          <w:bCs/>
          <w:spacing w:val="-3"/>
          <w:szCs w:val="24"/>
          <w:lang w:val="en-US" w:eastAsia="zh-CN"/>
        </w:rPr>
        <w:t>Yong Shao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>1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,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>2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#</w:t>
      </w:r>
      <w:r>
        <w:rPr>
          <w:rFonts w:hint="eastAsia" w:asciiTheme="majorBidi" w:hAnsiTheme="majorBidi" w:cstheme="majorBidi"/>
          <w:bCs/>
          <w:spacing w:val="-3"/>
          <w:szCs w:val="24"/>
          <w:lang w:val="en-US" w:eastAsia="zh-CN"/>
        </w:rPr>
        <w:t>, Run Tian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>1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,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>2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#</w:t>
      </w:r>
      <w:r>
        <w:rPr>
          <w:rFonts w:asciiTheme="majorBidi" w:hAnsiTheme="majorBidi" w:cstheme="majorBidi"/>
          <w:bCs/>
          <w:spacing w:val="-3"/>
          <w:szCs w:val="24"/>
        </w:rPr>
        <w:t>,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asciiTheme="majorBidi" w:hAnsiTheme="majorBidi" w:cstheme="majorBidi"/>
          <w:bCs/>
          <w:spacing w:val="-3"/>
          <w:szCs w:val="24"/>
        </w:rPr>
        <w:t>Jiaqi Duan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3</w:t>
      </w:r>
      <w:r>
        <w:rPr>
          <w:rFonts w:asciiTheme="majorBidi" w:hAnsiTheme="majorBidi" w:cstheme="majorBidi"/>
          <w:bCs/>
          <w:spacing w:val="-3"/>
          <w:szCs w:val="24"/>
        </w:rPr>
        <w:t>, Miao Wang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1,2</w:t>
      </w:r>
      <w:r>
        <w:rPr>
          <w:rFonts w:asciiTheme="majorBidi" w:hAnsiTheme="majorBidi" w:cstheme="majorBidi"/>
          <w:szCs w:val="24"/>
        </w:rPr>
        <w:t>*</w:t>
      </w:r>
      <w:r>
        <w:rPr>
          <w:rFonts w:asciiTheme="majorBidi" w:hAnsiTheme="majorBidi" w:cstheme="majorBidi"/>
          <w:bCs/>
          <w:spacing w:val="-3"/>
          <w:szCs w:val="24"/>
        </w:rPr>
        <w:t>, Jing Cao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1,2</w:t>
      </w:r>
      <w:r>
        <w:rPr>
          <w:rFonts w:asciiTheme="majorBidi" w:hAnsiTheme="majorBidi" w:cstheme="majorBidi"/>
          <w:bCs/>
          <w:spacing w:val="-3"/>
          <w:szCs w:val="24"/>
        </w:rPr>
        <w:t>, Zhen Cao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1,2</w:t>
      </w:r>
      <w:r>
        <w:rPr>
          <w:rFonts w:asciiTheme="majorBidi" w:hAnsiTheme="majorBidi" w:cstheme="majorBidi"/>
          <w:bCs/>
          <w:spacing w:val="-3"/>
          <w:szCs w:val="24"/>
        </w:rPr>
        <w:t>, Guangyue Li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3</w:t>
      </w:r>
      <w:r>
        <w:rPr>
          <w:rFonts w:asciiTheme="majorBidi" w:hAnsiTheme="majorBidi" w:cstheme="majorBidi"/>
          <w:bCs/>
          <w:spacing w:val="-3"/>
          <w:szCs w:val="24"/>
        </w:rPr>
        <w:t>, Fen Jin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1,2</w:t>
      </w:r>
      <w:r>
        <w:rPr>
          <w:rFonts w:asciiTheme="majorBidi" w:hAnsiTheme="majorBidi" w:cstheme="majorBidi"/>
          <w:bCs/>
          <w:spacing w:val="-3"/>
          <w:szCs w:val="24"/>
        </w:rPr>
        <w:t>,  A. M. Abd El-Aty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4,5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 xml:space="preserve"> </w:t>
      </w:r>
      <w:r>
        <w:rPr>
          <w:rFonts w:asciiTheme="majorBidi" w:hAnsiTheme="majorBidi" w:cstheme="majorBidi"/>
          <w:bCs/>
          <w:spacing w:val="-3"/>
          <w:szCs w:val="24"/>
        </w:rPr>
        <w:t>&amp;</w:t>
      </w:r>
      <w:r>
        <w:rPr>
          <w:rFonts w:hint="eastAsia" w:asciiTheme="majorBidi" w:hAnsiTheme="majorBidi" w:cstheme="majorBidi"/>
          <w:bCs/>
          <w:spacing w:val="-3"/>
          <w:szCs w:val="24"/>
          <w:lang w:val="en-US" w:eastAsia="zh-CN"/>
        </w:rPr>
        <w:t xml:space="preserve"> </w:t>
      </w:r>
      <w:r>
        <w:rPr>
          <w:rFonts w:asciiTheme="majorBidi" w:hAnsiTheme="majorBidi" w:cstheme="majorBidi"/>
          <w:bCs/>
          <w:spacing w:val="-3"/>
          <w:szCs w:val="24"/>
        </w:rPr>
        <w:t>Yongxin She</w:t>
      </w:r>
      <w:r>
        <w:rPr>
          <w:rFonts w:asciiTheme="majorBidi" w:hAnsiTheme="majorBidi" w:cstheme="majorBidi"/>
          <w:bCs/>
          <w:spacing w:val="-3"/>
          <w:szCs w:val="24"/>
          <w:vertAlign w:val="superscript"/>
        </w:rPr>
        <w:t>1,2</w:t>
      </w:r>
      <w:r>
        <w:rPr>
          <w:rFonts w:hint="eastAsia" w:asciiTheme="majorBidi" w:hAnsiTheme="majorBidi" w:cstheme="majorBidi"/>
          <w:bCs/>
          <w:spacing w:val="-3"/>
          <w:szCs w:val="24"/>
          <w:vertAlign w:val="superscript"/>
          <w:lang w:val="en-US" w:eastAsia="zh-CN"/>
        </w:rPr>
        <w:t>*</w:t>
      </w:r>
      <w:r>
        <w:rPr>
          <w:rFonts w:asciiTheme="majorBidi" w:hAnsiTheme="majorBidi" w:cstheme="majorBidi"/>
          <w:bCs/>
          <w:spacing w:val="-3"/>
          <w:szCs w:val="24"/>
        </w:rPr>
        <w:t>,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>Institute of Quality Standardization &amp; Testing Technology for Agro-Products, Chinese Academy of Agricultural Sciences, Beijing, China.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Key Laboratory of Agrofood Safety and Quality (Beijing), Ministry of Agriculture and Rural Areas, Beijing, China.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State Key Laboratory for Biology of Plant Diseases and Insect Pests, Institute of Plant Protection, Chinese Academy of Agricultural Sciences, Beijing, China.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4</w:t>
      </w:r>
      <w:r>
        <w:rPr>
          <w:rFonts w:asciiTheme="majorBidi" w:hAnsiTheme="majorBidi" w:cstheme="majorBidi"/>
          <w:sz w:val="24"/>
          <w:szCs w:val="24"/>
        </w:rPr>
        <w:t>Department of Pharmacology, Faculty of Veterinary Medicine, Cairo University, Giza, Egypt.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>Department of Medical Pharmacology, Medical Faculty, Ataturk University, Erzurum, Turkey.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</w:p>
    <w:p>
      <w:pPr>
        <w:spacing w:line="480" w:lineRule="auto"/>
        <w:ind w:left="0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vertAlign w:val="superscript"/>
        </w:rPr>
        <w:t>*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Corresponding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authors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: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11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eastAsia" w:eastAsia="宋体" w:asciiTheme="majorBidi" w:hAnsiTheme="majorBidi" w:cstheme="majorBidi"/>
          <w:sz w:val="24"/>
          <w:szCs w:val="24"/>
          <w:lang w:val="en-US" w:eastAsia="zh-CN"/>
        </w:rPr>
        <w:t xml:space="preserve">wm0510@126.com; </w:t>
      </w:r>
      <w:r>
        <w:rPr>
          <w:rFonts w:asciiTheme="majorBidi" w:hAnsiTheme="majorBidi" w:eastAsiaTheme="minorEastAsia" w:cstheme="majorBidi"/>
          <w:sz w:val="24"/>
          <w:szCs w:val="24"/>
          <w:lang w:eastAsia="zh-CN"/>
        </w:rPr>
        <w:t xml:space="preserve"> </w:t>
      </w:r>
      <w:r>
        <w:fldChar w:fldCharType="begin"/>
      </w:r>
      <w:r>
        <w:instrText xml:space="preserve"> HYPERLINK "mailto:liguangyue@caas.cn" </w:instrText>
      </w:r>
      <w:r>
        <w:fldChar w:fldCharType="separate"/>
      </w:r>
      <w:r>
        <w:rPr>
          <w:rStyle w:val="5"/>
          <w:rFonts w:hint="eastAsia" w:asciiTheme="majorBidi" w:hAnsiTheme="majorBidi" w:eastAsiaTheme="minorEastAsia" w:cstheme="majorBidi"/>
          <w:sz w:val="24"/>
          <w:szCs w:val="24"/>
          <w:lang w:val="en-US" w:eastAsia="zh-CN"/>
        </w:rPr>
        <w:t>0891syx</w:t>
      </w:r>
      <w:r>
        <w:rPr>
          <w:rStyle w:val="5"/>
          <w:rFonts w:asciiTheme="majorBidi" w:hAnsiTheme="majorBidi" w:eastAsiaTheme="minorEastAsia" w:cstheme="majorBidi"/>
          <w:sz w:val="24"/>
          <w:szCs w:val="24"/>
          <w:lang w:eastAsia="zh-CN"/>
        </w:rPr>
        <w:t>@</w:t>
      </w:r>
      <w:r>
        <w:rPr>
          <w:rStyle w:val="5"/>
          <w:rFonts w:hint="eastAsia" w:asciiTheme="majorBidi" w:hAnsiTheme="majorBidi" w:eastAsiaTheme="minorEastAsia" w:cstheme="majorBidi"/>
          <w:sz w:val="24"/>
          <w:szCs w:val="24"/>
          <w:lang w:val="en-US" w:eastAsia="zh-CN"/>
        </w:rPr>
        <w:t>163.com</w:t>
      </w:r>
      <w:r>
        <w:rPr>
          <w:rStyle w:val="5"/>
          <w:rFonts w:asciiTheme="majorBidi" w:hAnsiTheme="majorBidi" w:eastAsiaTheme="minorEastAsia" w:cstheme="majorBidi"/>
          <w:sz w:val="24"/>
          <w:szCs w:val="24"/>
          <w:lang w:eastAsia="zh-CN"/>
        </w:rPr>
        <w:fldChar w:fldCharType="end"/>
      </w:r>
      <w:r>
        <w:rPr>
          <w:rFonts w:asciiTheme="majorBidi" w:hAnsiTheme="majorBidi" w:eastAsiaTheme="minorEastAsia" w:cstheme="majorBidi"/>
          <w:sz w:val="24"/>
          <w:szCs w:val="24"/>
          <w:lang w:eastAsia="zh-CN"/>
        </w:rPr>
        <w:t>.</w:t>
      </w: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pStyle w:val="10"/>
      </w:pPr>
    </w:p>
    <w:p>
      <w:pPr>
        <w:pStyle w:val="10"/>
        <w:jc w:val="center"/>
        <w:rPr>
          <w:b/>
          <w:bCs/>
        </w:rPr>
      </w:pPr>
      <w:r>
        <w:rPr>
          <w:b/>
          <w:bCs/>
        </w:rPr>
        <w:t>Table S1 Sequences of Oligonucleotides Used in This Work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jc w:val="left"/>
              <w:rPr>
                <w:rFonts w:hint="eastAsia"/>
              </w:rPr>
            </w:pPr>
            <w:r>
              <w:t>Oligo</w:t>
            </w:r>
          </w:p>
        </w:tc>
        <w:tc>
          <w:tcPr>
            <w:tcW w:w="6600" w:type="dxa"/>
            <w:vAlign w:val="top"/>
          </w:tcPr>
          <w:p>
            <w:r>
              <w:t>Sequence(5</w:t>
            </w:r>
            <w:r>
              <w:rPr>
                <w:vertAlign w:val="superscript"/>
              </w:rPr>
              <w:t>’</w:t>
            </w:r>
            <w:r>
              <w:t>-3</w:t>
            </w:r>
            <w:r>
              <w:rPr>
                <w:vertAlign w:val="superscript"/>
              </w:rPr>
              <w:t>’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polyA</w:t>
            </w:r>
          </w:p>
        </w:tc>
        <w:tc>
          <w:tcPr>
            <w:tcW w:w="6600" w:type="dxa"/>
            <w:vAlign w:val="top"/>
          </w:tcPr>
          <w:p>
            <w:r>
              <w:t>AAAAAAA-NH</w:t>
            </w:r>
            <w:r>
              <w:rPr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r>
              <w:rPr>
                <w:rFonts w:hint="eastAsia"/>
              </w:rPr>
              <w:t>p</w:t>
            </w:r>
            <w:r>
              <w:t>olyT-Aptamer</w:t>
            </w:r>
            <w:r>
              <w:fldChar w:fldCharType="begin"/>
            </w:r>
            <w:r>
              <w:instrText xml:space="preserve"> ADDIN EN.CITE &lt;EndNote&gt;&lt;Cite&gt;&lt;Author&gt;Chen&lt;/Author&gt;&lt;Year&gt;2020&lt;/Year&gt;&lt;RecNum&gt;363&lt;/RecNum&gt;&lt;DisplayText&gt;&lt;style face="superscript"&gt;1&lt;/style&gt;&lt;/DisplayText&gt;&lt;record&gt;&lt;rec-number&gt;363&lt;/rec-number&gt;&lt;foreign-keys&gt;&lt;key app="EN" db-id="ttvrzx0p6s5raze9z97vrrw3pdz50we2dsse" timestamp="1627073579"&gt;363&lt;/key&gt;&lt;/foreign-keys&gt;&lt;ref-type name="Journal Article"&gt;17&lt;/ref-type&gt;&lt;contributors&gt;&lt;authors&gt;&lt;author&gt;Chen, Feng&lt;/author&gt;&lt;author&gt;Li, Guodong&lt;/author&gt;&lt;author&gt;Liu, Hao&lt;/author&gt;&lt;author&gt;Leung, Chung-Hang&lt;/author&gt;&lt;author&gt;Ma, Dik-Lung&lt;/author&gt;&lt;/authors&gt;&lt;/contributors&gt;&lt;titles&gt;&lt;title&gt;G-quadruplex-based detection of glyphosate in complex biological systems by a time-resolved luminescent assay&lt;/title&gt;&lt;secondary-title&gt;Sensors and Actuators B: Chemical&lt;/secondary-title&gt;&lt;/titles&gt;&lt;periodical&gt;&lt;full-title&gt;Sensors and Actuators B: Chemical&lt;/full-title&gt;&lt;/periodical&gt;&lt;volume&gt;320&lt;/volume&gt;&lt;section&gt;128393&lt;/section&gt;&lt;dates&gt;&lt;year&gt;2020&lt;/year&gt;&lt;/dates&gt;&lt;isbn&gt;09254005&lt;/isbn&gt;&lt;urls&gt;&lt;/urls&gt;&lt;electronic-resource-num&gt;10.1016/j.snb.2020.128393&lt;/electronic-resource-num&gt;&lt;/record&gt;&lt;/Cite&gt;&lt;/EndNote&gt;</w:instrText>
            </w:r>
            <w:r>
              <w:fldChar w:fldCharType="separate"/>
            </w:r>
            <w:r>
              <w:rPr>
                <w:vertAlign w:val="superscript"/>
              </w:rPr>
              <w:t>1</w:t>
            </w:r>
            <w:r>
              <w:fldChar w:fldCharType="end"/>
            </w:r>
          </w:p>
        </w:tc>
        <w:tc>
          <w:tcPr>
            <w:tcW w:w="6600" w:type="dxa"/>
            <w:vAlign w:val="top"/>
          </w:tcPr>
          <w:p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  <w:shd w:val="clear" w:color="auto" w:fill="FFFFFF"/>
              </w:rPr>
              <w:t>TTTTTTTGCTAGACGATATTCGTCCATCCGAGCCCGTGGCGGGCTTTAGGACTCTGCGGGCTTCGCGGCGCTGTCAGACTGAATATGTC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r>
              <w:t>complementary DNA</w:t>
            </w:r>
          </w:p>
        </w:tc>
        <w:tc>
          <w:tcPr>
            <w:tcW w:w="6600" w:type="dxa"/>
            <w:vAlign w:val="top"/>
          </w:tcPr>
          <w:p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  <w:shd w:val="clear" w:color="auto" w:fill="FFFFFF"/>
              </w:rPr>
              <w:t>GACATATTCAGTCTGACAGCGCCGCGAAGCCCGCAGAGTACTAAAGCCCGCCACGGGCTCGGATGGACGAATATCGTCTAGC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hint="eastAsia"/>
              </w:rPr>
            </w:pPr>
            <w:r>
              <w:t>upstream primer</w:t>
            </w:r>
          </w:p>
        </w:tc>
        <w:tc>
          <w:tcPr>
            <w:tcW w:w="6600" w:type="dxa"/>
            <w:vAlign w:val="top"/>
          </w:tcPr>
          <w:p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  <w:shd w:val="clear" w:color="auto" w:fill="FFFFFF"/>
              </w:rPr>
              <w:t>GCTCGGATGGACGAATATCGTCTAG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r>
              <w:t>downstream primer</w:t>
            </w:r>
          </w:p>
        </w:tc>
        <w:tc>
          <w:tcPr>
            <w:tcW w:w="6600" w:type="dxa"/>
            <w:vAlign w:val="top"/>
          </w:tcPr>
          <w:p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  <w:shd w:val="clear" w:color="auto" w:fill="FFFFFF"/>
              </w:rPr>
              <w:t>TATTCGTCCATCCGAGCCCGTGGCG</w:t>
            </w:r>
          </w:p>
        </w:tc>
      </w:tr>
    </w:tbl>
    <w:p>
      <w:pPr>
        <w:rPr>
          <w:rFonts w:hint="eastAsia"/>
        </w:rPr>
      </w:pPr>
    </w:p>
    <w:p>
      <w:pPr>
        <w:pStyle w:val="10"/>
        <w:jc w:val="center"/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able S2 qPCR conditions</w:t>
      </w:r>
    </w:p>
    <w:p>
      <w:pPr>
        <w:ind w:firstLine="630" w:firstLineChars="300"/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69850</wp:posOffset>
                </wp:positionV>
                <wp:extent cx="241300" cy="847725"/>
                <wp:effectExtent l="38100" t="0" r="25400" b="1016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42" cy="84761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6pt;margin-top:5.5pt;height:66.75pt;width:19pt;z-index:251659264;v-text-anchor:middle;mso-width-relative:page;mso-height-relative:page;" filled="f" stroked="t" coordsize="21600,21600" o:gfxdata="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x+lU/V&#10;AAAACAEAAA8AAAAAAAAAAQAgAAAAIgAAAGRycy9kb3ducmV2LnhtbFBLAQIUABQAAAAIAIdO4kBn&#10;2zFjXAIAAIYEAAAOAAAAAAAAAAEAIAAAACQBAABkcnMvZTJvRG9jLnhtbFBLBQYAAAAABgAGAFkB&#10;AADyBQAAAAA=&#10;" adj="512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Calibri"/>
        </w:rPr>
        <w:t>95</w:t>
      </w:r>
      <w:r>
        <w:rPr>
          <w:rFonts w:hint="eastAsia" w:ascii="宋体" w:hAnsi="宋体"/>
        </w:rPr>
        <w:t xml:space="preserve">℃ </w:t>
      </w:r>
      <w:r>
        <w:rPr>
          <w:rFonts w:hint="eastAsia" w:cs="Calibri"/>
        </w:rPr>
        <w:t>30 S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50800</wp:posOffset>
                </wp:positionV>
                <wp:extent cx="138430" cy="426085"/>
                <wp:effectExtent l="0" t="0" r="33020" b="12065"/>
                <wp:wrapNone/>
                <wp:docPr id="2" name="右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01" cy="4263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90.6pt;margin-top:4pt;height:33.55pt;width:10.9pt;z-index:251660288;v-text-anchor:middle;mso-width-relative:page;mso-height-relative:page;" filled="f" stroked="t" coordsize="21600,21600" o:gfxdata="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dfdLrWAAAACAEAAA8AAAAAAAAAAQAgAAAAIgAAAGRycy9kb3ducmV2LnhtbFBLAQIUABQAAAAI&#10;AIdO4kDLw7MKYQIAAIcEAAAOAAAAAAAAAAEAIAAAACUBAABkcnMvZTJvRG9jLnhtbFBLBQYAAAAA&#10;BgAGAFkBAAD4BQAAAAA=&#10;" adj="585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Calibri"/>
        </w:rPr>
        <w:t>95</w:t>
      </w:r>
      <w:r>
        <w:rPr>
          <w:rFonts w:hint="eastAsia" w:ascii="宋体" w:hAnsi="宋体"/>
        </w:rPr>
        <w:t xml:space="preserve">℃ </w:t>
      </w:r>
      <w:r>
        <w:rPr>
          <w:rFonts w:hint="eastAsia" w:cs="Calibri"/>
        </w:rPr>
        <w:t>5 S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cs="Calibri"/>
        </w:rPr>
        <w:t>60</w:t>
      </w:r>
      <w:r>
        <w:rPr>
          <w:rFonts w:hint="eastAsia" w:ascii="宋体" w:hAnsi="宋体"/>
        </w:rPr>
        <w:t xml:space="preserve">℃ </w:t>
      </w:r>
      <w:r>
        <w:rPr>
          <w:rFonts w:hint="eastAsia" w:cs="Calibri"/>
        </w:rPr>
        <w:t>34 S</w:t>
      </w:r>
      <w:r>
        <w:rPr>
          <w:rFonts w:cs="Calibri"/>
        </w:rPr>
        <w:t xml:space="preserve">      40 circles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cs="Calibri"/>
        </w:rPr>
        <w:t>95</w:t>
      </w:r>
      <w:r>
        <w:rPr>
          <w:rFonts w:hint="eastAsia" w:ascii="宋体" w:hAnsi="宋体"/>
        </w:rPr>
        <w:t xml:space="preserve">℃ </w:t>
      </w:r>
      <w:r>
        <w:rPr>
          <w:rFonts w:hint="eastAsia" w:cs="Calibri"/>
        </w:rPr>
        <w:t>15 S</w:t>
      </w:r>
    </w:p>
    <w:p>
      <w:pPr>
        <w:ind w:firstLine="630" w:firstLineChars="300"/>
      </w:pPr>
      <w:r>
        <w:rPr>
          <w:rFonts w:hint="eastAsia" w:cs="Calibri"/>
        </w:rPr>
        <w:t>60</w:t>
      </w:r>
      <w:r>
        <w:rPr>
          <w:rFonts w:hint="eastAsia" w:ascii="宋体" w:hAnsi="宋体"/>
        </w:rPr>
        <w:t xml:space="preserve">℃ </w:t>
      </w:r>
      <w:r>
        <w:rPr>
          <w:rFonts w:hint="eastAsia" w:cs="Calibri"/>
        </w:rPr>
        <w:t>1 min</w:t>
      </w:r>
    </w:p>
    <w:p/>
    <w:p>
      <w:pPr>
        <w:pStyle w:val="10"/>
        <w:jc w:val="center"/>
        <w:rPr>
          <w:rFonts w:hint="eastAsia"/>
          <w:b/>
          <w:bCs/>
        </w:rPr>
      </w:pPr>
      <w:r>
        <w:rPr>
          <w:b/>
          <w:bCs/>
        </w:rPr>
        <w:t>Table S3 Estimation of glyphosate recovery based on this method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Sample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Standard Addition Amount  (ppm)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Recovery Rate(%)</w:t>
            </w:r>
          </w:p>
        </w:tc>
        <w:tc>
          <w:tcPr>
            <w:tcW w:w="13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RSD(%)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Tap water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1.4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105.4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96.1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113.1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.7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109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96.9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104.3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0.40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  <w:t>.35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104.9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91.5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114.4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0"/>
                <w:szCs w:val="20"/>
              </w:rPr>
              <w:t>0.73</w:t>
            </w:r>
          </w:p>
        </w:tc>
      </w:tr>
    </w:tbl>
    <w:p>
      <w:pPr>
        <w:pStyle w:val="8"/>
        <w:framePr w:vAnchor="page" w:hAnchor="page" w:x="1759" w:y="13294"/>
        <w:rPr>
          <w:rFonts w:hint="eastAsia" w:eastAsia="等线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References</w:t>
      </w:r>
    </w:p>
    <w:p>
      <w:pPr>
        <w:pStyle w:val="8"/>
        <w:framePr w:vAnchor="page" w:hAnchor="page" w:x="1759" w:y="13294"/>
      </w:pPr>
      <w:r>
        <w:fldChar w:fldCharType="begin"/>
      </w:r>
      <w:r>
        <w:instrText xml:space="preserve"> ADDIN EN.REFLIST </w:instrText>
      </w:r>
      <w:r>
        <w:fldChar w:fldCharType="separate"/>
      </w:r>
      <w:r>
        <w:t>1.</w:t>
      </w:r>
      <w:r>
        <w:tab/>
      </w:r>
      <w:r>
        <w:t xml:space="preserve">Chen, F.;  Li, G.;  Liu, H.;  Leung, C.-H.; Ma, D.-L., G-quadruplex-based detection of glyphosate in complex biological systems by a time-resolved luminescent assay. </w:t>
      </w:r>
      <w:r>
        <w:rPr>
          <w:i/>
        </w:rPr>
        <w:t xml:space="preserve">Sensors and Actuators B: Chemical </w:t>
      </w:r>
      <w:r>
        <w:rPr>
          <w:b/>
        </w:rPr>
        <w:t>2020,</w:t>
      </w:r>
      <w:r>
        <w:t xml:space="preserve"> </w:t>
      </w:r>
      <w:r>
        <w:rPr>
          <w:i/>
        </w:rPr>
        <w:t>320</w:t>
      </w:r>
      <w:r>
        <w:t>.</w:t>
      </w:r>
    </w:p>
    <w:p>
      <w:pPr>
        <w:framePr w:hSpace="180" w:wrap="around" w:vAnchor="page" w:hAnchor="page" w:x="1759" w:y="13294"/>
      </w:pPr>
      <w:r>
        <w:fldChar w:fldCharType="end"/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vrzx0p6s5raze9z97vrrw3pdz50we2dsse&quot;&gt;My EndNote Library-田润-Converted&lt;record-ids&gt;&lt;item&gt;363&lt;/item&gt;&lt;/record-ids&gt;&lt;/item&gt;&lt;/Libraries&gt;"/>
  </w:docVars>
  <w:rsids>
    <w:rsidRoot w:val="009B2AF1"/>
    <w:rsid w:val="00233486"/>
    <w:rsid w:val="00430D48"/>
    <w:rsid w:val="00651FC2"/>
    <w:rsid w:val="009B2AF1"/>
    <w:rsid w:val="19F42722"/>
    <w:rsid w:val="29F915D3"/>
    <w:rsid w:val="2E3A0A8A"/>
    <w:rsid w:val="72D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EndNote Bibliography Title"/>
    <w:basedOn w:val="1"/>
    <w:link w:val="7"/>
    <w:qFormat/>
    <w:uiPriority w:val="0"/>
    <w:pPr>
      <w:framePr w:hSpace="180" w:wrap="around" w:vAnchor="margin" w:hAnchor="margin" w:y="631"/>
      <w:jc w:val="center"/>
    </w:pPr>
    <w:rPr>
      <w:rFonts w:ascii="等线" w:hAnsi="等线" w:eastAsia="等线"/>
      <w:sz w:val="20"/>
    </w:rPr>
  </w:style>
  <w:style w:type="character" w:customStyle="1" w:styleId="7">
    <w:name w:val="EndNote Bibliography Title 字符"/>
    <w:basedOn w:val="4"/>
    <w:link w:val="6"/>
    <w:uiPriority w:val="0"/>
    <w:rPr>
      <w:rFonts w:ascii="等线" w:hAnsi="等线" w:eastAsia="等线"/>
      <w:sz w:val="20"/>
    </w:rPr>
  </w:style>
  <w:style w:type="paragraph" w:customStyle="1" w:styleId="8">
    <w:name w:val="EndNote Bibliography"/>
    <w:basedOn w:val="1"/>
    <w:link w:val="9"/>
    <w:qFormat/>
    <w:uiPriority w:val="0"/>
    <w:pPr>
      <w:framePr w:hSpace="180" w:wrap="around" w:vAnchor="margin" w:hAnchor="margin" w:y="631"/>
    </w:pPr>
    <w:rPr>
      <w:rFonts w:ascii="等线" w:hAnsi="等线" w:eastAsia="等线"/>
      <w:sz w:val="20"/>
    </w:rPr>
  </w:style>
  <w:style w:type="character" w:customStyle="1" w:styleId="9">
    <w:name w:val="EndNote Bibliography 字符"/>
    <w:basedOn w:val="4"/>
    <w:link w:val="8"/>
    <w:qFormat/>
    <w:uiPriority w:val="0"/>
    <w:rPr>
      <w:rFonts w:ascii="等线" w:hAnsi="等线" w:eastAsia="等线"/>
      <w:sz w:val="20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MDPI_1.6_affiliation"/>
    <w:qFormat/>
    <w:uiPriority w:val="0"/>
    <w:pPr>
      <w:adjustRightInd w:val="0"/>
      <w:snapToGrid w:val="0"/>
      <w:spacing w:after="200"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1700</Characters>
  <Lines>14</Lines>
  <Paragraphs>3</Paragraphs>
  <TotalTime>0</TotalTime>
  <ScaleCrop>false</ScaleCrop>
  <LinksUpToDate>false</LinksUpToDate>
  <CharactersWithSpaces>1995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2021-07-23T20:56:00Z</dcterms:created>
  <dc:creator>田 润</dc:creator>
  <cp:lastModifiedBy>王淼</cp:lastModifiedBy>
  <dcterms:modified xsi:type="dcterms:W3CDTF">2022-11-30T08:38:45Z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