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E9FCF" w14:textId="77777777" w:rsidR="009A3E07" w:rsidRPr="0084178E" w:rsidRDefault="009A3E07" w:rsidP="009A3E07">
      <w:pPr>
        <w:jc w:val="center"/>
        <w:rPr>
          <w:rFonts w:ascii="Palatino Linotype" w:hAnsi="Palatino Linotype" w:cstheme="majorBidi"/>
          <w:b/>
          <w:bCs/>
          <w:sz w:val="40"/>
        </w:rPr>
      </w:pPr>
      <w:r w:rsidRPr="0084178E">
        <w:rPr>
          <w:rFonts w:ascii="Palatino Linotype" w:hAnsi="Palatino Linotype" w:cstheme="majorBidi"/>
          <w:b/>
          <w:bCs/>
          <w:sz w:val="40"/>
        </w:rPr>
        <w:t>Supporting Information</w:t>
      </w:r>
    </w:p>
    <w:p w14:paraId="29704738" w14:textId="77777777" w:rsidR="009A3E07" w:rsidRDefault="009A3E07" w:rsidP="009D72F1">
      <w:pPr>
        <w:jc w:val="center"/>
        <w:rPr>
          <w:rFonts w:asciiTheme="majorBidi" w:hAnsiTheme="majorBidi" w:cstheme="majorBidi"/>
          <w:b/>
          <w:bCs/>
          <w:sz w:val="28"/>
        </w:rPr>
      </w:pPr>
    </w:p>
    <w:p w14:paraId="7CC3828D" w14:textId="5368E897" w:rsidR="009D72F1" w:rsidRPr="009D280B" w:rsidRDefault="009D72F1" w:rsidP="0084178E">
      <w:pPr>
        <w:jc w:val="both"/>
        <w:rPr>
          <w:rFonts w:ascii="Palatino Linotype" w:eastAsia="Times New Roman" w:hAnsi="Palatino Linotype" w:cs="Times New Roman"/>
          <w:b/>
          <w:snapToGrid w:val="0"/>
          <w:color w:val="000000"/>
          <w:sz w:val="36"/>
          <w:szCs w:val="20"/>
          <w:lang w:eastAsia="de-DE" w:bidi="en-US"/>
        </w:rPr>
      </w:pPr>
      <w:r w:rsidRPr="009D280B">
        <w:rPr>
          <w:rFonts w:ascii="Palatino Linotype" w:eastAsia="Times New Roman" w:hAnsi="Palatino Linotype" w:cs="Times New Roman"/>
          <w:b/>
          <w:snapToGrid w:val="0"/>
          <w:color w:val="000000"/>
          <w:sz w:val="36"/>
          <w:szCs w:val="20"/>
          <w:lang w:eastAsia="de-DE" w:bidi="en-US"/>
        </w:rPr>
        <w:t>Sustainable Synthesis of Sulfur-Single Walled Carbon Nanohorns Composite for Long Cycle Life Lithium-Sulfur Battery</w:t>
      </w:r>
    </w:p>
    <w:p w14:paraId="737452BB" w14:textId="77777777" w:rsidR="009D72F1" w:rsidRDefault="009D72F1" w:rsidP="009D72F1">
      <w:pPr>
        <w:jc w:val="center"/>
        <w:rPr>
          <w:rFonts w:asciiTheme="majorBidi" w:hAnsiTheme="majorBidi" w:cstheme="majorBidi"/>
          <w:b/>
          <w:bCs/>
          <w:color w:val="000000" w:themeColor="text1"/>
        </w:rPr>
      </w:pPr>
    </w:p>
    <w:p w14:paraId="5811F090" w14:textId="77777777" w:rsidR="009D280B" w:rsidRPr="00D00001" w:rsidRDefault="009D280B" w:rsidP="009D280B">
      <w:pPr>
        <w:pStyle w:val="MDPI13authornames"/>
        <w:rPr>
          <w:lang w:val="it-IT"/>
        </w:rPr>
      </w:pPr>
      <w:r w:rsidRPr="00D00001">
        <w:rPr>
          <w:lang w:val="it-IT"/>
        </w:rPr>
        <w:t>Eleonora Venezia</w:t>
      </w:r>
      <w:r>
        <w:rPr>
          <w:lang w:val="it-IT"/>
        </w:rPr>
        <w:t xml:space="preserve"> </w:t>
      </w:r>
      <w:r w:rsidRPr="00D00001">
        <w:rPr>
          <w:vertAlign w:val="superscript"/>
          <w:lang w:val="it-IT"/>
        </w:rPr>
        <w:t>1</w:t>
      </w:r>
      <w:r>
        <w:rPr>
          <w:vertAlign w:val="superscript"/>
          <w:lang w:val="it-IT"/>
        </w:rPr>
        <w:t>,2</w:t>
      </w:r>
      <w:r w:rsidRPr="00D00001">
        <w:rPr>
          <w:lang w:val="it-IT"/>
        </w:rPr>
        <w:t xml:space="preserve">, Pejman Salimi </w:t>
      </w:r>
      <w:r w:rsidRPr="00D00001">
        <w:rPr>
          <w:vertAlign w:val="superscript"/>
          <w:lang w:val="it-IT"/>
        </w:rPr>
        <w:t>1</w:t>
      </w:r>
      <w:r>
        <w:rPr>
          <w:vertAlign w:val="superscript"/>
          <w:lang w:val="it-IT"/>
        </w:rPr>
        <w:t>,2</w:t>
      </w:r>
      <w:r w:rsidRPr="00D00001">
        <w:rPr>
          <w:lang w:val="it-IT"/>
        </w:rPr>
        <w:t>, Susana Ch</w:t>
      </w:r>
      <w:r>
        <w:rPr>
          <w:lang w:val="it-IT"/>
        </w:rPr>
        <w:t xml:space="preserve">auque </w:t>
      </w:r>
      <w:r w:rsidRPr="00D00001">
        <w:rPr>
          <w:vertAlign w:val="superscript"/>
          <w:lang w:val="it-IT"/>
        </w:rPr>
        <w:t>1</w:t>
      </w:r>
      <w:r>
        <w:rPr>
          <w:lang w:val="it-IT"/>
        </w:rPr>
        <w:t xml:space="preserve">, Remo Proietti Zaccaria </w:t>
      </w:r>
      <w:r w:rsidRPr="00D00001">
        <w:rPr>
          <w:vertAlign w:val="superscript"/>
          <w:lang w:val="it-IT"/>
        </w:rPr>
        <w:t>1</w:t>
      </w:r>
      <w:r>
        <w:rPr>
          <w:vertAlign w:val="superscript"/>
          <w:lang w:val="it-IT"/>
        </w:rPr>
        <w:t>,3</w:t>
      </w:r>
      <w:r w:rsidRPr="00D00001">
        <w:rPr>
          <w:vertAlign w:val="superscript"/>
          <w:lang w:val="it-IT"/>
        </w:rPr>
        <w:t>,</w:t>
      </w:r>
      <w:r w:rsidRPr="00D00001">
        <w:rPr>
          <w:lang w:val="it-IT"/>
        </w:rPr>
        <w:t xml:space="preserve">* </w:t>
      </w:r>
    </w:p>
    <w:p w14:paraId="6AF80FD1" w14:textId="77777777" w:rsidR="009D280B" w:rsidRPr="00D00001" w:rsidRDefault="009D280B" w:rsidP="009D280B">
      <w:pPr>
        <w:pStyle w:val="MDPI16affiliation"/>
        <w:ind w:left="198"/>
        <w:rPr>
          <w:lang w:val="it-IT"/>
        </w:rPr>
      </w:pPr>
      <w:r w:rsidRPr="00D00001">
        <w:rPr>
          <w:vertAlign w:val="superscript"/>
          <w:lang w:val="it-IT"/>
        </w:rPr>
        <w:t>1</w:t>
      </w:r>
      <w:r w:rsidRPr="00D00001">
        <w:rPr>
          <w:lang w:val="it-IT"/>
        </w:rPr>
        <w:tab/>
        <w:t xml:space="preserve">Istituto Italiano di Tecnologia, via Morego 30, Genova 16163, Italy; </w:t>
      </w:r>
      <w:hyperlink r:id="rId6" w:history="1">
        <w:r w:rsidRPr="00601137">
          <w:rPr>
            <w:rStyle w:val="Hyperlink"/>
            <w:lang w:val="it-IT"/>
          </w:rPr>
          <w:t>eleonora.venezia@iit.it</w:t>
        </w:r>
      </w:hyperlink>
      <w:r>
        <w:rPr>
          <w:lang w:val="it-IT"/>
        </w:rPr>
        <w:t xml:space="preserve">, </w:t>
      </w:r>
      <w:hyperlink r:id="rId7" w:history="1">
        <w:r w:rsidRPr="00601137">
          <w:rPr>
            <w:rStyle w:val="Hyperlink"/>
            <w:lang w:val="it-IT"/>
          </w:rPr>
          <w:t>pejman.salimi@iit.it</w:t>
        </w:r>
      </w:hyperlink>
      <w:r>
        <w:rPr>
          <w:lang w:val="it-IT"/>
        </w:rPr>
        <w:t xml:space="preserve">, </w:t>
      </w:r>
      <w:hyperlink r:id="rId8" w:history="1">
        <w:r w:rsidRPr="00601137">
          <w:rPr>
            <w:rStyle w:val="Hyperlink"/>
            <w:lang w:val="it-IT"/>
          </w:rPr>
          <w:t>susana.chauque@iit.it</w:t>
        </w:r>
      </w:hyperlink>
      <w:r>
        <w:rPr>
          <w:lang w:val="it-IT"/>
        </w:rPr>
        <w:t xml:space="preserve">, </w:t>
      </w:r>
      <w:hyperlink r:id="rId9" w:history="1">
        <w:r w:rsidRPr="00601137">
          <w:rPr>
            <w:rStyle w:val="Hyperlink"/>
            <w:lang w:val="it-IT"/>
          </w:rPr>
          <w:t>remo.proietti@iit.it</w:t>
        </w:r>
      </w:hyperlink>
      <w:r>
        <w:rPr>
          <w:lang w:val="it-IT"/>
        </w:rPr>
        <w:t xml:space="preserve"> </w:t>
      </w:r>
    </w:p>
    <w:p w14:paraId="4983B82A" w14:textId="77777777" w:rsidR="009D280B" w:rsidRPr="009D280B" w:rsidRDefault="009D280B" w:rsidP="009D280B">
      <w:pPr>
        <w:pStyle w:val="MDPI16affiliation"/>
        <w:ind w:left="198"/>
      </w:pPr>
      <w:r w:rsidRPr="00D945EC">
        <w:rPr>
          <w:vertAlign w:val="superscript"/>
        </w:rPr>
        <w:t>2</w:t>
      </w:r>
      <w:r w:rsidRPr="00D945EC">
        <w:tab/>
      </w:r>
      <w:r w:rsidRPr="00D00001">
        <w:t>Department of Chemistry and Industrial Chemistry, University of Genova, via Dodecaneso 31, I-16146 Genova, Italy</w:t>
      </w:r>
      <w:r w:rsidRPr="00D945EC">
        <w:t xml:space="preserve">; </w:t>
      </w:r>
      <w:hyperlink r:id="rId10" w:history="1">
        <w:r w:rsidRPr="00D00001">
          <w:rPr>
            <w:rStyle w:val="Hyperlink"/>
          </w:rPr>
          <w:t>eleonora.venezia@iit.it</w:t>
        </w:r>
      </w:hyperlink>
      <w:r w:rsidRPr="00D00001">
        <w:t xml:space="preserve">, </w:t>
      </w:r>
      <w:hyperlink r:id="rId11" w:history="1">
        <w:r w:rsidRPr="00D00001">
          <w:rPr>
            <w:rStyle w:val="Hyperlink"/>
          </w:rPr>
          <w:t>pejman.salimi@iit.it</w:t>
        </w:r>
      </w:hyperlink>
    </w:p>
    <w:p w14:paraId="5D3D0B2F" w14:textId="7DE5479B" w:rsidR="009D280B" w:rsidRPr="00D00001" w:rsidRDefault="009D280B" w:rsidP="009D280B">
      <w:pPr>
        <w:pStyle w:val="MDPI16affiliation"/>
        <w:ind w:left="198"/>
        <w:rPr>
          <w:vertAlign w:val="superscript"/>
        </w:rPr>
      </w:pPr>
      <w:r w:rsidRPr="00D00001">
        <w:rPr>
          <w:vertAlign w:val="superscript"/>
        </w:rPr>
        <w:t xml:space="preserve">3  </w:t>
      </w:r>
      <w:r w:rsidR="0084178E">
        <w:rPr>
          <w:vertAlign w:val="superscript"/>
        </w:rPr>
        <w:tab/>
      </w:r>
      <w:r>
        <w:rPr>
          <w:vertAlign w:val="superscript"/>
        </w:rPr>
        <w:t xml:space="preserve"> </w:t>
      </w:r>
      <w:r w:rsidRPr="00D00001">
        <w:t>Department of Physics, Shaoxing University, Shaoxing 312000, China</w:t>
      </w:r>
      <w:r>
        <w:t xml:space="preserve">; </w:t>
      </w:r>
      <w:hyperlink r:id="rId12" w:history="1">
        <w:r w:rsidRPr="00D00001">
          <w:rPr>
            <w:rStyle w:val="Hyperlink"/>
          </w:rPr>
          <w:t>remo.proietti@iit.it</w:t>
        </w:r>
      </w:hyperlink>
    </w:p>
    <w:p w14:paraId="09E2E172" w14:textId="77777777" w:rsidR="009D280B" w:rsidRPr="00550626" w:rsidRDefault="009D280B" w:rsidP="009D280B">
      <w:pPr>
        <w:pStyle w:val="MDPI16affiliation"/>
        <w:ind w:left="198"/>
      </w:pPr>
      <w:r w:rsidRPr="00DF5640">
        <w:rPr>
          <w:b/>
        </w:rPr>
        <w:t>*</w:t>
      </w:r>
      <w:r w:rsidRPr="00D945EC">
        <w:tab/>
        <w:t xml:space="preserve">Correspondence: </w:t>
      </w:r>
      <w:hyperlink r:id="rId13" w:history="1">
        <w:r w:rsidRPr="00D00001">
          <w:rPr>
            <w:rStyle w:val="Hyperlink"/>
          </w:rPr>
          <w:t>remo.proietti@iit.it</w:t>
        </w:r>
      </w:hyperlink>
      <w:r w:rsidRPr="00D945EC">
        <w:t>; Tel.:</w:t>
      </w:r>
      <w:r>
        <w:t xml:space="preserve"> +39 331 2576045 </w:t>
      </w:r>
    </w:p>
    <w:p w14:paraId="56D19F1A" w14:textId="41E3D8B9" w:rsidR="00472B12" w:rsidRDefault="00472B12">
      <w:pPr>
        <w:rPr>
          <w:lang w:val="en-GB"/>
        </w:rPr>
      </w:pPr>
    </w:p>
    <w:p w14:paraId="5CFE11A3" w14:textId="77777777" w:rsidR="001908AF" w:rsidRDefault="001908AF">
      <w:pPr>
        <w:rPr>
          <w:lang w:val="en-GB"/>
        </w:rPr>
      </w:pPr>
      <w:bookmarkStart w:id="0" w:name="_GoBack"/>
      <w:bookmarkEnd w:id="0"/>
    </w:p>
    <w:p w14:paraId="473BAA1F" w14:textId="676E3B63" w:rsidR="002E5C8B" w:rsidRPr="001908AF" w:rsidRDefault="003202CA" w:rsidP="001908AF">
      <w:pPr>
        <w:spacing w:line="240" w:lineRule="auto"/>
        <w:jc w:val="both"/>
        <w:rPr>
          <w:rFonts w:ascii="Palatino Linotype" w:eastAsia="Times New Roman" w:hAnsi="Palatino Linotype" w:cs="Times New Roman"/>
          <w:snapToGrid w:val="0"/>
          <w:color w:val="000000"/>
          <w:sz w:val="20"/>
          <w:szCs w:val="22"/>
          <w:lang w:val="en-GB" w:eastAsia="de-DE" w:bidi="en-US"/>
        </w:rPr>
      </w:pPr>
      <w:r w:rsidRPr="001908AF">
        <w:rPr>
          <w:rFonts w:ascii="Palatino Linotype" w:eastAsia="Times New Roman" w:hAnsi="Palatino Linotype" w:cs="Times New Roman"/>
          <w:snapToGrid w:val="0"/>
          <w:color w:val="000000"/>
          <w:sz w:val="20"/>
          <w:szCs w:val="22"/>
          <w:lang w:val="en-GB" w:eastAsia="de-DE" w:bidi="en-US"/>
        </w:rPr>
        <w:t>Figure S</w:t>
      </w:r>
      <w:r w:rsidR="004B044F" w:rsidRPr="001908AF">
        <w:rPr>
          <w:rFonts w:ascii="Palatino Linotype" w:eastAsia="Times New Roman" w:hAnsi="Palatino Linotype" w:cs="Times New Roman"/>
          <w:snapToGrid w:val="0"/>
          <w:color w:val="000000"/>
          <w:sz w:val="20"/>
          <w:szCs w:val="22"/>
          <w:lang w:val="en-GB" w:eastAsia="de-DE" w:bidi="en-US"/>
        </w:rPr>
        <w:t>1</w:t>
      </w:r>
      <w:r w:rsidRPr="001908AF">
        <w:rPr>
          <w:rFonts w:ascii="Palatino Linotype" w:eastAsia="Times New Roman" w:hAnsi="Palatino Linotype" w:cs="Times New Roman"/>
          <w:snapToGrid w:val="0"/>
          <w:color w:val="000000"/>
          <w:sz w:val="20"/>
          <w:szCs w:val="22"/>
          <w:lang w:val="en-GB" w:eastAsia="de-DE" w:bidi="en-US"/>
        </w:rPr>
        <w:t xml:space="preserve"> shows the electrochemical impedance spectroscopy measurements obtained after each incremental scan step during the cyclic voltammetry (CV) test reported in the Manuscript as Figure 2(c). The appearance of two depressed semicircles after the first CV cycle suggests the formation of an SEI on the electrodes surface thus improving the lithium ion charge transfer.</w:t>
      </w:r>
    </w:p>
    <w:p w14:paraId="5E123FB8" w14:textId="45FCF1A9" w:rsidR="004B044F" w:rsidRDefault="001908AF" w:rsidP="004B044F">
      <w:pPr>
        <w:keepNext/>
        <w:jc w:val="center"/>
      </w:pPr>
      <w:r w:rsidRPr="001908AF">
        <w:rPr>
          <w:rFonts w:ascii="Palatino Linotype" w:eastAsia="Times New Roman" w:hAnsi="Palatino Linotype" w:cs="Times New Roman"/>
          <w:snapToGrid w:val="0"/>
          <w:color w:val="000000"/>
          <w:sz w:val="20"/>
          <w:szCs w:val="22"/>
          <w:lang w:val="en-GB" w:eastAsia="de-DE" w:bidi="en-US"/>
        </w:rPr>
        <w:pict w14:anchorId="51531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51.45pt;height:225.8pt">
            <v:imagedata r:id="rId14" o:title="EIS Randles" croptop="1465f" cropleft="3465f" cropright="7832f"/>
          </v:shape>
        </w:pict>
      </w:r>
    </w:p>
    <w:p w14:paraId="56FA3915" w14:textId="726277E2" w:rsidR="00472B12" w:rsidRPr="001908AF" w:rsidRDefault="004B044F" w:rsidP="00CB2185">
      <w:pPr>
        <w:pStyle w:val="Caption"/>
        <w:jc w:val="both"/>
        <w:rPr>
          <w:rFonts w:ascii="Palatino Linotype" w:eastAsia="Times New Roman" w:hAnsi="Palatino Linotype" w:cs="Times New Roman"/>
          <w:i w:val="0"/>
          <w:iCs w:val="0"/>
          <w:color w:val="000000"/>
          <w:szCs w:val="20"/>
          <w:lang w:val="en-GB" w:eastAsia="de-DE" w:bidi="en-US"/>
        </w:rPr>
      </w:pPr>
      <w:r w:rsidRPr="001908AF">
        <w:rPr>
          <w:rFonts w:ascii="Palatino Linotype" w:eastAsia="Times New Roman" w:hAnsi="Palatino Linotype" w:cs="Times New Roman"/>
          <w:b/>
          <w:i w:val="0"/>
          <w:iCs w:val="0"/>
          <w:color w:val="000000"/>
          <w:szCs w:val="20"/>
          <w:lang w:val="en-GB" w:eastAsia="de-DE" w:bidi="en-US"/>
        </w:rPr>
        <w:t>Figure S</w:t>
      </w:r>
      <w:r w:rsidR="00CB2185" w:rsidRPr="001908AF">
        <w:rPr>
          <w:rFonts w:ascii="Palatino Linotype" w:eastAsia="Times New Roman" w:hAnsi="Palatino Linotype" w:cs="Times New Roman"/>
          <w:b/>
          <w:i w:val="0"/>
          <w:iCs w:val="0"/>
          <w:color w:val="000000"/>
          <w:szCs w:val="20"/>
          <w:lang w:val="en-GB" w:eastAsia="de-DE" w:bidi="en-US"/>
        </w:rPr>
        <w:fldChar w:fldCharType="begin"/>
      </w:r>
      <w:r w:rsidR="00CB2185" w:rsidRPr="001908AF">
        <w:rPr>
          <w:rFonts w:ascii="Palatino Linotype" w:eastAsia="Times New Roman" w:hAnsi="Palatino Linotype" w:cs="Times New Roman"/>
          <w:b/>
          <w:i w:val="0"/>
          <w:iCs w:val="0"/>
          <w:color w:val="000000"/>
          <w:szCs w:val="20"/>
          <w:lang w:val="en-GB" w:eastAsia="de-DE" w:bidi="en-US"/>
        </w:rPr>
        <w:instrText xml:space="preserve"> SEQ Figure \* ARABIC </w:instrText>
      </w:r>
      <w:r w:rsidR="00CB2185" w:rsidRPr="001908AF">
        <w:rPr>
          <w:rFonts w:ascii="Palatino Linotype" w:eastAsia="Times New Roman" w:hAnsi="Palatino Linotype" w:cs="Times New Roman"/>
          <w:b/>
          <w:i w:val="0"/>
          <w:iCs w:val="0"/>
          <w:color w:val="000000"/>
          <w:szCs w:val="20"/>
          <w:lang w:val="en-GB" w:eastAsia="de-DE" w:bidi="en-US"/>
        </w:rPr>
        <w:fldChar w:fldCharType="separate"/>
      </w:r>
      <w:r w:rsidR="00A565CD" w:rsidRPr="001908AF">
        <w:rPr>
          <w:rFonts w:ascii="Palatino Linotype" w:eastAsia="Times New Roman" w:hAnsi="Palatino Linotype" w:cs="Times New Roman"/>
          <w:b/>
          <w:i w:val="0"/>
          <w:iCs w:val="0"/>
          <w:color w:val="000000"/>
          <w:szCs w:val="20"/>
          <w:lang w:val="en-GB" w:eastAsia="de-DE" w:bidi="en-US"/>
        </w:rPr>
        <w:t>1</w:t>
      </w:r>
      <w:r w:rsidR="00CB2185" w:rsidRPr="001908AF">
        <w:rPr>
          <w:rFonts w:ascii="Palatino Linotype" w:eastAsia="Times New Roman" w:hAnsi="Palatino Linotype" w:cs="Times New Roman"/>
          <w:b/>
          <w:i w:val="0"/>
          <w:iCs w:val="0"/>
          <w:color w:val="000000"/>
          <w:szCs w:val="20"/>
          <w:lang w:val="en-GB" w:eastAsia="de-DE" w:bidi="en-US"/>
        </w:rPr>
        <w:fldChar w:fldCharType="end"/>
      </w:r>
      <w:r w:rsidRPr="001908AF">
        <w:rPr>
          <w:rFonts w:ascii="Palatino Linotype" w:eastAsia="Times New Roman" w:hAnsi="Palatino Linotype" w:cs="Times New Roman"/>
          <w:i w:val="0"/>
          <w:iCs w:val="0"/>
          <w:color w:val="000000"/>
          <w:szCs w:val="20"/>
          <w:lang w:val="en-GB" w:eastAsia="de-DE" w:bidi="en-US"/>
        </w:rPr>
        <w:t xml:space="preserve"> - Electrochemical impedance spectroscopy (EIS) spectra of the S80SWCNH20 electrode acquired at each scan rate, from 0.05 to 0.45 mV s</w:t>
      </w:r>
      <w:r w:rsidRPr="001908AF">
        <w:rPr>
          <w:rFonts w:ascii="Palatino Linotype" w:eastAsia="Times New Roman" w:hAnsi="Palatino Linotype" w:cs="Times New Roman"/>
          <w:i w:val="0"/>
          <w:iCs w:val="0"/>
          <w:color w:val="000000"/>
          <w:szCs w:val="20"/>
          <w:vertAlign w:val="superscript"/>
          <w:lang w:val="en-GB" w:eastAsia="de-DE" w:bidi="en-US"/>
        </w:rPr>
        <w:t>-1</w:t>
      </w:r>
      <w:r w:rsidRPr="001908AF">
        <w:rPr>
          <w:rFonts w:ascii="Palatino Linotype" w:eastAsia="Times New Roman" w:hAnsi="Palatino Linotype" w:cs="Times New Roman"/>
          <w:i w:val="0"/>
          <w:iCs w:val="0"/>
          <w:color w:val="000000"/>
          <w:szCs w:val="20"/>
          <w:lang w:val="en-GB" w:eastAsia="de-DE" w:bidi="en-US"/>
        </w:rPr>
        <w:t xml:space="preserve"> along the cyclic voltammetry tests of Figure 2(c).</w:t>
      </w:r>
    </w:p>
    <w:p w14:paraId="29B71781" w14:textId="4B6261D8" w:rsidR="003202CA" w:rsidRPr="001908AF" w:rsidRDefault="003202CA" w:rsidP="001908AF">
      <w:pPr>
        <w:pStyle w:val="NormalWeb"/>
        <w:spacing w:before="200" w:beforeAutospacing="0" w:after="0" w:afterAutospacing="0"/>
        <w:jc w:val="both"/>
        <w:rPr>
          <w:rFonts w:ascii="Palatino Linotype" w:eastAsia="Times New Roman" w:hAnsi="Palatino Linotype"/>
          <w:snapToGrid w:val="0"/>
          <w:color w:val="000000"/>
          <w:sz w:val="20"/>
          <w:szCs w:val="22"/>
          <w:lang w:val="en-GB" w:eastAsia="de-DE" w:bidi="en-US"/>
        </w:rPr>
      </w:pPr>
      <w:r w:rsidRPr="001908AF">
        <w:rPr>
          <w:rFonts w:ascii="Palatino Linotype" w:eastAsia="Times New Roman" w:hAnsi="Palatino Linotype"/>
          <w:snapToGrid w:val="0"/>
          <w:color w:val="000000"/>
          <w:sz w:val="20"/>
          <w:szCs w:val="22"/>
          <w:lang w:val="en-GB" w:eastAsia="de-DE" w:bidi="en-US"/>
        </w:rPr>
        <w:lastRenderedPageBreak/>
        <w:t>Figure S</w:t>
      </w:r>
      <w:r w:rsidR="004B044F" w:rsidRPr="001908AF">
        <w:rPr>
          <w:rFonts w:ascii="Palatino Linotype" w:eastAsia="Times New Roman" w:hAnsi="Palatino Linotype"/>
          <w:snapToGrid w:val="0"/>
          <w:color w:val="000000"/>
          <w:sz w:val="20"/>
          <w:szCs w:val="22"/>
          <w:lang w:val="en-GB" w:eastAsia="de-DE" w:bidi="en-US"/>
        </w:rPr>
        <w:t>2</w:t>
      </w:r>
      <w:r w:rsidRPr="001908AF">
        <w:rPr>
          <w:rFonts w:ascii="Palatino Linotype" w:eastAsia="Times New Roman" w:hAnsi="Palatino Linotype"/>
          <w:snapToGrid w:val="0"/>
          <w:color w:val="000000"/>
          <w:sz w:val="20"/>
          <w:szCs w:val="22"/>
          <w:lang w:val="en-GB" w:eastAsia="de-DE" w:bidi="en-US"/>
        </w:rPr>
        <w:t xml:space="preserve"> was obtained from the cyclic voltammetry profiles of Figure 2(c) and represent the linear fit of charge and discharge peak current (I</w:t>
      </w:r>
      <w:r w:rsidRPr="001908AF">
        <w:rPr>
          <w:rFonts w:ascii="Palatino Linotype" w:eastAsia="Times New Roman" w:hAnsi="Palatino Linotype"/>
          <w:snapToGrid w:val="0"/>
          <w:color w:val="000000"/>
          <w:sz w:val="20"/>
          <w:szCs w:val="22"/>
          <w:vertAlign w:val="subscript"/>
          <w:lang w:val="en-GB" w:eastAsia="de-DE" w:bidi="en-US"/>
        </w:rPr>
        <w:t>p</w:t>
      </w:r>
      <w:r w:rsidRPr="001908AF">
        <w:rPr>
          <w:rFonts w:ascii="Palatino Linotype" w:eastAsia="Times New Roman" w:hAnsi="Palatino Linotype"/>
          <w:snapToGrid w:val="0"/>
          <w:color w:val="000000"/>
          <w:sz w:val="20"/>
          <w:szCs w:val="22"/>
          <w:lang w:val="en-GB" w:eastAsia="de-DE" w:bidi="en-US"/>
        </w:rPr>
        <w:t>) vs. the square root of the scan rate (ν</w:t>
      </w:r>
      <w:r w:rsidRPr="001908AF">
        <w:rPr>
          <w:rFonts w:ascii="Palatino Linotype" w:eastAsia="Times New Roman" w:hAnsi="Palatino Linotype"/>
          <w:snapToGrid w:val="0"/>
          <w:color w:val="000000"/>
          <w:sz w:val="20"/>
          <w:szCs w:val="22"/>
          <w:vertAlign w:val="superscript"/>
          <w:lang w:val="en-GB" w:eastAsia="de-DE" w:bidi="en-US"/>
        </w:rPr>
        <w:t>1/2</w:t>
      </w:r>
      <w:r w:rsidRPr="001908AF">
        <w:rPr>
          <w:rFonts w:ascii="Palatino Linotype" w:eastAsia="Times New Roman" w:hAnsi="Palatino Linotype"/>
          <w:snapToGrid w:val="0"/>
          <w:color w:val="000000"/>
          <w:sz w:val="20"/>
          <w:szCs w:val="22"/>
          <w:lang w:val="en-GB" w:eastAsia="de-DE" w:bidi="en-US"/>
        </w:rPr>
        <w:t>). The Figure reports the fits of charge (2.3 and 2.4 V</w:t>
      </w:r>
      <w:r w:rsidR="003F18E7" w:rsidRPr="001908AF">
        <w:rPr>
          <w:rFonts w:ascii="Palatino Linotype" w:eastAsia="Times New Roman" w:hAnsi="Palatino Linotype"/>
          <w:snapToGrid w:val="0"/>
          <w:color w:val="000000"/>
          <w:sz w:val="20"/>
          <w:szCs w:val="22"/>
          <w:lang w:val="en-GB" w:eastAsia="de-DE" w:bidi="en-US"/>
        </w:rPr>
        <w:t xml:space="preserve"> vs. Li</w:t>
      </w:r>
      <w:r w:rsidR="003F18E7" w:rsidRPr="001908AF">
        <w:rPr>
          <w:rFonts w:ascii="Palatino Linotype" w:eastAsia="Times New Roman" w:hAnsi="Palatino Linotype"/>
          <w:snapToGrid w:val="0"/>
          <w:color w:val="000000"/>
          <w:sz w:val="20"/>
          <w:szCs w:val="22"/>
          <w:vertAlign w:val="superscript"/>
          <w:lang w:val="en-GB" w:eastAsia="de-DE" w:bidi="en-US"/>
        </w:rPr>
        <w:t>+</w:t>
      </w:r>
      <w:r w:rsidR="003F18E7" w:rsidRPr="001908AF">
        <w:rPr>
          <w:rFonts w:ascii="Palatino Linotype" w:eastAsia="Times New Roman" w:hAnsi="Palatino Linotype"/>
          <w:snapToGrid w:val="0"/>
          <w:color w:val="000000"/>
          <w:sz w:val="20"/>
          <w:szCs w:val="22"/>
          <w:lang w:val="en-GB" w:eastAsia="de-DE" w:bidi="en-US"/>
        </w:rPr>
        <w:t>/Li</w:t>
      </w:r>
      <w:r w:rsidRPr="001908AF">
        <w:rPr>
          <w:rFonts w:ascii="Palatino Linotype" w:eastAsia="Times New Roman" w:hAnsi="Palatino Linotype"/>
          <w:snapToGrid w:val="0"/>
          <w:color w:val="000000"/>
          <w:sz w:val="20"/>
          <w:szCs w:val="22"/>
          <w:lang w:val="en-GB" w:eastAsia="de-DE" w:bidi="en-US"/>
        </w:rPr>
        <w:t>) and discharge peaks (1.3 and 1.9 V</w:t>
      </w:r>
      <w:r w:rsidR="003F18E7" w:rsidRPr="001908AF">
        <w:rPr>
          <w:rFonts w:ascii="Palatino Linotype" w:eastAsia="Times New Roman" w:hAnsi="Palatino Linotype"/>
          <w:snapToGrid w:val="0"/>
          <w:color w:val="000000"/>
          <w:sz w:val="20"/>
          <w:szCs w:val="22"/>
          <w:lang w:val="en-GB" w:eastAsia="de-DE" w:bidi="en-US"/>
        </w:rPr>
        <w:t xml:space="preserve"> vs. Li</w:t>
      </w:r>
      <w:r w:rsidR="003F18E7" w:rsidRPr="001908AF">
        <w:rPr>
          <w:rFonts w:ascii="Palatino Linotype" w:eastAsia="Times New Roman" w:hAnsi="Palatino Linotype"/>
          <w:snapToGrid w:val="0"/>
          <w:color w:val="000000"/>
          <w:sz w:val="20"/>
          <w:szCs w:val="22"/>
          <w:vertAlign w:val="superscript"/>
          <w:lang w:val="en-GB" w:eastAsia="de-DE" w:bidi="en-US"/>
        </w:rPr>
        <w:t>+</w:t>
      </w:r>
      <w:r w:rsidR="003F18E7" w:rsidRPr="001908AF">
        <w:rPr>
          <w:rFonts w:ascii="Palatino Linotype" w:eastAsia="Times New Roman" w:hAnsi="Palatino Linotype"/>
          <w:snapToGrid w:val="0"/>
          <w:color w:val="000000"/>
          <w:sz w:val="20"/>
          <w:szCs w:val="22"/>
          <w:lang w:val="en-GB" w:eastAsia="de-DE" w:bidi="en-US"/>
        </w:rPr>
        <w:t>/Li) considering 2 electrons for each peak</w:t>
      </w:r>
      <w:r w:rsidRPr="001908AF">
        <w:rPr>
          <w:rFonts w:ascii="Palatino Linotype" w:eastAsia="Times New Roman" w:hAnsi="Palatino Linotype"/>
          <w:snapToGrid w:val="0"/>
          <w:color w:val="000000"/>
          <w:sz w:val="20"/>
          <w:szCs w:val="22"/>
          <w:lang w:val="en-GB" w:eastAsia="de-DE" w:bidi="en-US"/>
        </w:rPr>
        <w:t xml:space="preserve">. The slope of the linear fits </w:t>
      </w:r>
      <w:r w:rsidR="003F18E7" w:rsidRPr="001908AF">
        <w:rPr>
          <w:rFonts w:ascii="Palatino Linotype" w:eastAsia="Times New Roman" w:hAnsi="Palatino Linotype"/>
          <w:snapToGrid w:val="0"/>
          <w:color w:val="000000"/>
          <w:sz w:val="20"/>
          <w:szCs w:val="22"/>
          <w:lang w:val="en-GB" w:eastAsia="de-DE" w:bidi="en-US"/>
        </w:rPr>
        <w:t>was used</w:t>
      </w:r>
      <w:r w:rsidRPr="001908AF">
        <w:rPr>
          <w:rFonts w:ascii="Palatino Linotype" w:eastAsia="Times New Roman" w:hAnsi="Palatino Linotype"/>
          <w:snapToGrid w:val="0"/>
          <w:color w:val="000000"/>
          <w:sz w:val="20"/>
          <w:szCs w:val="22"/>
          <w:lang w:val="en-GB" w:eastAsia="de-DE" w:bidi="en-US"/>
        </w:rPr>
        <w:t xml:space="preserve"> to calculate the lithium diffusion coefficient</w:t>
      </w:r>
      <w:r w:rsidR="003F18E7" w:rsidRPr="001908AF">
        <w:rPr>
          <w:rFonts w:ascii="Palatino Linotype" w:eastAsia="Times New Roman" w:hAnsi="Palatino Linotype"/>
          <w:snapToGrid w:val="0"/>
          <w:color w:val="000000"/>
          <w:sz w:val="20"/>
          <w:szCs w:val="22"/>
          <w:lang w:val="en-GB" w:eastAsia="de-DE" w:bidi="en-US"/>
        </w:rPr>
        <w:t xml:space="preserve"> (see Figure 2(d) of the Manuscript)</w:t>
      </w:r>
      <w:r w:rsidRPr="001908AF">
        <w:rPr>
          <w:rFonts w:ascii="Palatino Linotype" w:eastAsia="Times New Roman" w:hAnsi="Palatino Linotype"/>
          <w:snapToGrid w:val="0"/>
          <w:color w:val="000000"/>
          <w:sz w:val="20"/>
          <w:szCs w:val="22"/>
          <w:lang w:val="en-GB" w:eastAsia="de-DE" w:bidi="en-US"/>
        </w:rPr>
        <w:t xml:space="preserve"> according to the Randles-Sevcik equation (see Manuscript Eq. 1).</w:t>
      </w:r>
    </w:p>
    <w:p w14:paraId="700D78D7" w14:textId="77777777" w:rsidR="003202CA" w:rsidRPr="003202CA" w:rsidRDefault="003202CA" w:rsidP="003202CA">
      <w:pPr>
        <w:rPr>
          <w:sz w:val="12"/>
        </w:rPr>
      </w:pPr>
    </w:p>
    <w:p w14:paraId="429BF95D" w14:textId="77777777" w:rsidR="004B044F" w:rsidRDefault="00247A37" w:rsidP="004B044F">
      <w:pPr>
        <w:keepNext/>
        <w:jc w:val="center"/>
      </w:pPr>
      <w:r w:rsidRPr="00247A37">
        <w:rPr>
          <w:noProof/>
        </w:rPr>
        <w:drawing>
          <wp:inline distT="0" distB="0" distL="0" distR="0" wp14:anchorId="49222CE9" wp14:editId="3872C497">
            <wp:extent cx="5758284" cy="4189228"/>
            <wp:effectExtent l="0" t="0" r="0" b="1905"/>
            <wp:docPr id="1" name="Picture 1" descr="C:\Users\evenezia\OneDrive - Fondazione Istituto Italiano Tecnologia\Desktop\IIT\Papers\Miei, Revisioni\S80CNH20\Doc, Img\SI\1C 2C s80cnh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enezia\OneDrive - Fondazione Istituto Italiano Tecnologia\Desktop\IIT\Papers\Miei, Revisioni\S80CNH20\Doc, Img\SI\1C 2C s80cnh2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1072" cy="4191256"/>
                    </a:xfrm>
                    <a:prstGeom prst="rect">
                      <a:avLst/>
                    </a:prstGeom>
                    <a:noFill/>
                    <a:ln>
                      <a:noFill/>
                    </a:ln>
                  </pic:spPr>
                </pic:pic>
              </a:graphicData>
            </a:graphic>
          </wp:inline>
        </w:drawing>
      </w:r>
    </w:p>
    <w:p w14:paraId="12CC6597" w14:textId="30DC0D74" w:rsidR="004B044F" w:rsidRPr="001908AF" w:rsidRDefault="004B044F" w:rsidP="004B044F">
      <w:pPr>
        <w:pStyle w:val="Caption"/>
        <w:jc w:val="both"/>
        <w:rPr>
          <w:rFonts w:ascii="Palatino Linotype" w:eastAsia="Times New Roman" w:hAnsi="Palatino Linotype" w:cs="Times New Roman"/>
          <w:i w:val="0"/>
          <w:iCs w:val="0"/>
          <w:color w:val="000000"/>
          <w:szCs w:val="20"/>
          <w:lang w:val="en-GB" w:eastAsia="de-DE" w:bidi="en-US"/>
        </w:rPr>
      </w:pPr>
      <w:r w:rsidRPr="001908AF">
        <w:rPr>
          <w:rFonts w:ascii="Palatino Linotype" w:eastAsia="Times New Roman" w:hAnsi="Palatino Linotype" w:cs="Times New Roman"/>
          <w:b/>
          <w:i w:val="0"/>
          <w:iCs w:val="0"/>
          <w:color w:val="000000"/>
          <w:szCs w:val="20"/>
          <w:lang w:val="en-GB" w:eastAsia="de-DE" w:bidi="en-US"/>
        </w:rPr>
        <w:t>Figure S</w:t>
      </w:r>
      <w:r w:rsidR="00CB2185" w:rsidRPr="001908AF">
        <w:rPr>
          <w:rFonts w:ascii="Palatino Linotype" w:eastAsia="Times New Roman" w:hAnsi="Palatino Linotype" w:cs="Times New Roman"/>
          <w:b/>
          <w:i w:val="0"/>
          <w:iCs w:val="0"/>
          <w:color w:val="000000"/>
          <w:szCs w:val="20"/>
          <w:lang w:val="en-GB" w:eastAsia="de-DE" w:bidi="en-US"/>
        </w:rPr>
        <w:fldChar w:fldCharType="begin"/>
      </w:r>
      <w:r w:rsidR="00CB2185" w:rsidRPr="001908AF">
        <w:rPr>
          <w:rFonts w:ascii="Palatino Linotype" w:eastAsia="Times New Roman" w:hAnsi="Palatino Linotype" w:cs="Times New Roman"/>
          <w:b/>
          <w:i w:val="0"/>
          <w:iCs w:val="0"/>
          <w:color w:val="000000"/>
          <w:szCs w:val="20"/>
          <w:lang w:val="en-GB" w:eastAsia="de-DE" w:bidi="en-US"/>
        </w:rPr>
        <w:instrText xml:space="preserve"> SEQ Figure \* ARABIC </w:instrText>
      </w:r>
      <w:r w:rsidR="00CB2185" w:rsidRPr="001908AF">
        <w:rPr>
          <w:rFonts w:ascii="Palatino Linotype" w:eastAsia="Times New Roman" w:hAnsi="Palatino Linotype" w:cs="Times New Roman"/>
          <w:b/>
          <w:i w:val="0"/>
          <w:iCs w:val="0"/>
          <w:color w:val="000000"/>
          <w:szCs w:val="20"/>
          <w:lang w:val="en-GB" w:eastAsia="de-DE" w:bidi="en-US"/>
        </w:rPr>
        <w:fldChar w:fldCharType="separate"/>
      </w:r>
      <w:r w:rsidR="00A565CD" w:rsidRPr="001908AF">
        <w:rPr>
          <w:rFonts w:ascii="Palatino Linotype" w:eastAsia="Times New Roman" w:hAnsi="Palatino Linotype" w:cs="Times New Roman"/>
          <w:b/>
          <w:i w:val="0"/>
          <w:iCs w:val="0"/>
          <w:color w:val="000000"/>
          <w:szCs w:val="20"/>
          <w:lang w:val="en-GB" w:eastAsia="de-DE" w:bidi="en-US"/>
        </w:rPr>
        <w:t>2</w:t>
      </w:r>
      <w:r w:rsidR="00CB2185" w:rsidRPr="001908AF">
        <w:rPr>
          <w:rFonts w:ascii="Palatino Linotype" w:eastAsia="Times New Roman" w:hAnsi="Palatino Linotype" w:cs="Times New Roman"/>
          <w:b/>
          <w:i w:val="0"/>
          <w:iCs w:val="0"/>
          <w:color w:val="000000"/>
          <w:szCs w:val="20"/>
          <w:lang w:val="en-GB" w:eastAsia="de-DE" w:bidi="en-US"/>
        </w:rPr>
        <w:fldChar w:fldCharType="end"/>
      </w:r>
      <w:r w:rsidRPr="001908AF">
        <w:rPr>
          <w:rFonts w:ascii="Palatino Linotype" w:eastAsia="Times New Roman" w:hAnsi="Palatino Linotype" w:cs="Times New Roman"/>
          <w:i w:val="0"/>
          <w:iCs w:val="0"/>
          <w:color w:val="000000"/>
          <w:szCs w:val="20"/>
          <w:lang w:val="en-GB" w:eastAsia="de-DE" w:bidi="en-US"/>
        </w:rPr>
        <w:t xml:space="preserve"> - Linear fit of the peak current (I</w:t>
      </w:r>
      <w:r w:rsidRPr="001908AF">
        <w:rPr>
          <w:rFonts w:ascii="Palatino Linotype" w:eastAsia="Times New Roman" w:hAnsi="Palatino Linotype" w:cs="Times New Roman"/>
          <w:i w:val="0"/>
          <w:iCs w:val="0"/>
          <w:color w:val="000000"/>
          <w:szCs w:val="20"/>
          <w:vertAlign w:val="subscript"/>
          <w:lang w:val="en-GB" w:eastAsia="de-DE" w:bidi="en-US"/>
        </w:rPr>
        <w:t>p</w:t>
      </w:r>
      <w:r w:rsidRPr="001908AF">
        <w:rPr>
          <w:rFonts w:ascii="Palatino Linotype" w:eastAsia="Times New Roman" w:hAnsi="Palatino Linotype" w:cs="Times New Roman"/>
          <w:i w:val="0"/>
          <w:iCs w:val="0"/>
          <w:color w:val="000000"/>
          <w:szCs w:val="20"/>
          <w:lang w:val="en-GB" w:eastAsia="de-DE" w:bidi="en-US"/>
        </w:rPr>
        <w:t>) plotted vs. square root of the scan rate (ν</w:t>
      </w:r>
      <w:r w:rsidRPr="001908AF">
        <w:rPr>
          <w:rFonts w:ascii="Palatino Linotype" w:eastAsia="Times New Roman" w:hAnsi="Palatino Linotype" w:cs="Times New Roman"/>
          <w:i w:val="0"/>
          <w:iCs w:val="0"/>
          <w:color w:val="000000"/>
          <w:szCs w:val="20"/>
          <w:vertAlign w:val="superscript"/>
          <w:lang w:val="en-GB" w:eastAsia="de-DE" w:bidi="en-US"/>
        </w:rPr>
        <w:t>1/2</w:t>
      </w:r>
      <w:r w:rsidRPr="001908AF">
        <w:rPr>
          <w:rFonts w:ascii="Palatino Linotype" w:eastAsia="Times New Roman" w:hAnsi="Palatino Linotype" w:cs="Times New Roman"/>
          <w:i w:val="0"/>
          <w:iCs w:val="0"/>
          <w:color w:val="000000"/>
          <w:szCs w:val="20"/>
          <w:lang w:val="en-GB" w:eastAsia="de-DE" w:bidi="en-US"/>
        </w:rPr>
        <w:t xml:space="preserve">) of the cyclic voltammetry of Figure 4(c) of the S80SWCNH20 electrode for different states of charge. </w:t>
      </w:r>
    </w:p>
    <w:p w14:paraId="3F024D15" w14:textId="57964E35" w:rsidR="003F18E7" w:rsidRPr="001908AF" w:rsidRDefault="003F18E7" w:rsidP="001908AF">
      <w:pPr>
        <w:spacing w:line="240" w:lineRule="auto"/>
        <w:jc w:val="both"/>
        <w:rPr>
          <w:rFonts w:ascii="Palatino Linotype" w:hAnsi="Palatino Linotype"/>
          <w:sz w:val="14"/>
        </w:rPr>
      </w:pPr>
      <w:r w:rsidRPr="001908AF">
        <w:rPr>
          <w:rFonts w:ascii="Palatino Linotype" w:hAnsi="Palatino Linotype"/>
          <w:sz w:val="20"/>
        </w:rPr>
        <w:t>The voltage profiles relative to the galvanostatic test at C/4 of the S80SWCNH20 electrode are reported in Figure S</w:t>
      </w:r>
      <w:r w:rsidR="004B044F" w:rsidRPr="001908AF">
        <w:rPr>
          <w:rFonts w:ascii="Palatino Linotype" w:hAnsi="Palatino Linotype"/>
          <w:sz w:val="20"/>
        </w:rPr>
        <w:t>3</w:t>
      </w:r>
      <w:r w:rsidRPr="001908AF">
        <w:rPr>
          <w:rFonts w:ascii="Palatino Linotype" w:hAnsi="Palatino Linotype"/>
          <w:sz w:val="20"/>
        </w:rPr>
        <w:t xml:space="preserve">. The cell demonstrated a stable capacity over 400 cycles, which then decreases reaching a value of about </w:t>
      </w:r>
      <w:r w:rsidRPr="001908AF">
        <w:rPr>
          <w:rFonts w:ascii="Palatino Linotype" w:hAnsi="Palatino Linotype" w:cs="Times New Roman"/>
          <w:sz w:val="20"/>
        </w:rPr>
        <w:t>300 mA</w:t>
      </w:r>
      <w:r w:rsidR="00B56509" w:rsidRPr="001908AF">
        <w:rPr>
          <w:rFonts w:ascii="Palatino Linotype" w:hAnsi="Palatino Linotype" w:cs="Times New Roman"/>
          <w:sz w:val="20"/>
        </w:rPr>
        <w:t xml:space="preserve"> </w:t>
      </w:r>
      <w:r w:rsidRPr="001908AF">
        <w:rPr>
          <w:rFonts w:ascii="Palatino Linotype" w:hAnsi="Palatino Linotype" w:cs="Times New Roman"/>
          <w:sz w:val="20"/>
        </w:rPr>
        <w:t>h g</w:t>
      </w:r>
      <w:r w:rsidRPr="001908AF">
        <w:rPr>
          <w:rFonts w:ascii="Palatino Linotype" w:hAnsi="Palatino Linotype" w:cs="Times New Roman"/>
          <w:sz w:val="20"/>
          <w:vertAlign w:val="superscript"/>
        </w:rPr>
        <w:t>-1</w:t>
      </w:r>
      <w:r w:rsidRPr="001908AF">
        <w:rPr>
          <w:rFonts w:ascii="Palatino Linotype" w:hAnsi="Palatino Linotype" w:cs="Times New Roman"/>
          <w:sz w:val="20"/>
        </w:rPr>
        <w:t xml:space="preserve"> at the 775</w:t>
      </w:r>
      <w:r w:rsidRPr="001908AF">
        <w:rPr>
          <w:rFonts w:ascii="Palatino Linotype" w:hAnsi="Palatino Linotype" w:cs="Times New Roman"/>
          <w:sz w:val="20"/>
          <w:vertAlign w:val="superscript"/>
        </w:rPr>
        <w:t>th</w:t>
      </w:r>
      <w:r w:rsidRPr="001908AF">
        <w:rPr>
          <w:rFonts w:ascii="Palatino Linotype" w:hAnsi="Palatino Linotype" w:cs="Times New Roman"/>
          <w:sz w:val="20"/>
        </w:rPr>
        <w:t xml:space="preserve"> cycle.</w:t>
      </w:r>
      <w:r w:rsidRPr="001908AF">
        <w:rPr>
          <w:rFonts w:ascii="Palatino Linotype" w:hAnsi="Palatino Linotype"/>
          <w:sz w:val="20"/>
        </w:rPr>
        <w:t xml:space="preserve">  During the test, the cell polarization increases, thus causing a drop in the specific capacity value.</w:t>
      </w:r>
    </w:p>
    <w:p w14:paraId="28AF2ECD" w14:textId="229DBA95" w:rsidR="004B044F" w:rsidRDefault="009D280B" w:rsidP="004B044F">
      <w:pPr>
        <w:keepNext/>
        <w:jc w:val="center"/>
      </w:pPr>
      <w:r>
        <w:rPr>
          <w:lang w:val="en-GB"/>
        </w:rPr>
        <w:lastRenderedPageBreak/>
        <w:pict w14:anchorId="335DA62C">
          <v:shape id="_x0000_i1026" type="#_x0000_t75" style="width:321.8pt;height:226.9pt">
            <v:imagedata r:id="rId16" o:title="VP rate" croptop="5408f"/>
          </v:shape>
        </w:pict>
      </w:r>
    </w:p>
    <w:p w14:paraId="5653EA88" w14:textId="273ABD82" w:rsidR="002E5C8B" w:rsidRPr="001908AF" w:rsidRDefault="004B044F" w:rsidP="001908AF">
      <w:pPr>
        <w:pStyle w:val="Caption"/>
        <w:jc w:val="both"/>
        <w:rPr>
          <w:rFonts w:ascii="Palatino Linotype" w:hAnsi="Palatino Linotype"/>
          <w:i w:val="0"/>
          <w:color w:val="auto"/>
        </w:rPr>
      </w:pPr>
      <w:r w:rsidRPr="001908AF">
        <w:rPr>
          <w:rFonts w:ascii="Palatino Linotype" w:hAnsi="Palatino Linotype"/>
          <w:b/>
          <w:i w:val="0"/>
          <w:color w:val="auto"/>
        </w:rPr>
        <w:t>Figure S</w:t>
      </w:r>
      <w:r w:rsidR="00CB2185" w:rsidRPr="001908AF">
        <w:rPr>
          <w:rFonts w:ascii="Palatino Linotype" w:hAnsi="Palatino Linotype"/>
          <w:b/>
          <w:i w:val="0"/>
          <w:color w:val="auto"/>
        </w:rPr>
        <w:fldChar w:fldCharType="begin"/>
      </w:r>
      <w:r w:rsidR="00CB2185" w:rsidRPr="001908AF">
        <w:rPr>
          <w:rFonts w:ascii="Palatino Linotype" w:hAnsi="Palatino Linotype"/>
          <w:b/>
          <w:i w:val="0"/>
          <w:color w:val="auto"/>
        </w:rPr>
        <w:instrText xml:space="preserve"> SEQ Figure \* ARABIC </w:instrText>
      </w:r>
      <w:r w:rsidR="00CB2185" w:rsidRPr="001908AF">
        <w:rPr>
          <w:rFonts w:ascii="Palatino Linotype" w:hAnsi="Palatino Linotype"/>
          <w:b/>
          <w:i w:val="0"/>
          <w:color w:val="auto"/>
        </w:rPr>
        <w:fldChar w:fldCharType="separate"/>
      </w:r>
      <w:r w:rsidR="00A565CD" w:rsidRPr="001908AF">
        <w:rPr>
          <w:rFonts w:ascii="Palatino Linotype" w:hAnsi="Palatino Linotype"/>
          <w:b/>
          <w:i w:val="0"/>
          <w:noProof/>
          <w:color w:val="auto"/>
        </w:rPr>
        <w:t>3</w:t>
      </w:r>
      <w:r w:rsidR="00CB2185" w:rsidRPr="001908AF">
        <w:rPr>
          <w:rFonts w:ascii="Palatino Linotype" w:hAnsi="Palatino Linotype"/>
          <w:b/>
          <w:i w:val="0"/>
          <w:noProof/>
          <w:color w:val="auto"/>
        </w:rPr>
        <w:fldChar w:fldCharType="end"/>
      </w:r>
      <w:r w:rsidRPr="001908AF">
        <w:rPr>
          <w:rFonts w:ascii="Palatino Linotype" w:hAnsi="Palatino Linotype"/>
          <w:i w:val="0"/>
          <w:color w:val="auto"/>
        </w:rPr>
        <w:t xml:space="preserve"> - Voltage profiles of S80SWCNH20 performed at C/4 (=</w:t>
      </w:r>
      <w:r w:rsidR="001908AF">
        <w:rPr>
          <w:rFonts w:ascii="Palatino Linotype" w:hAnsi="Palatino Linotype"/>
          <w:i w:val="0"/>
          <w:color w:val="auto"/>
        </w:rPr>
        <w:t xml:space="preserve"> </w:t>
      </w:r>
      <w:r w:rsidRPr="001908AF">
        <w:rPr>
          <w:rFonts w:ascii="Palatino Linotype" w:hAnsi="Palatino Linotype"/>
          <w:i w:val="0"/>
          <w:color w:val="auto"/>
        </w:rPr>
        <w:t>419 mA g</w:t>
      </w:r>
      <w:r w:rsidRPr="001908AF">
        <w:rPr>
          <w:rFonts w:ascii="Palatino Linotype" w:hAnsi="Palatino Linotype"/>
          <w:i w:val="0"/>
          <w:color w:val="auto"/>
          <w:vertAlign w:val="superscript"/>
        </w:rPr>
        <w:t>-1</w:t>
      </w:r>
      <w:r w:rsidRPr="001908AF">
        <w:rPr>
          <w:rFonts w:ascii="Palatino Linotype" w:hAnsi="Palatino Linotype"/>
          <w:i w:val="0"/>
          <w:color w:val="auto"/>
        </w:rPr>
        <w:t>) in a 1.7-2.8 V voltage range relative to Figure 3(c) of the Manuscript.</w:t>
      </w:r>
    </w:p>
    <w:p w14:paraId="111E9468" w14:textId="4F7A76AA" w:rsidR="00247FE6" w:rsidRPr="001908AF" w:rsidRDefault="00FB2AB4" w:rsidP="001908AF">
      <w:pPr>
        <w:spacing w:line="240" w:lineRule="auto"/>
        <w:jc w:val="both"/>
        <w:rPr>
          <w:rFonts w:ascii="Palatino Linotype" w:hAnsi="Palatino Linotype"/>
          <w:sz w:val="20"/>
          <w:lang w:val="en-GB"/>
        </w:rPr>
      </w:pPr>
      <w:r w:rsidRPr="001908AF">
        <w:rPr>
          <w:rFonts w:ascii="Palatino Linotype" w:hAnsi="Palatino Linotype"/>
          <w:sz w:val="20"/>
          <w:lang w:val="en-GB"/>
        </w:rPr>
        <w:t>The S80SWCNH20 electrode was tested at 1C to evaluate its performance at high current rate and the results are reported in Figure S</w:t>
      </w:r>
      <w:r w:rsidR="00A565CD" w:rsidRPr="001908AF">
        <w:rPr>
          <w:rFonts w:ascii="Palatino Linotype" w:hAnsi="Palatino Linotype"/>
          <w:sz w:val="20"/>
          <w:lang w:val="en-GB"/>
        </w:rPr>
        <w:t>4</w:t>
      </w:r>
      <w:r w:rsidRPr="001908AF">
        <w:rPr>
          <w:rFonts w:ascii="Palatino Linotype" w:hAnsi="Palatino Linotype"/>
          <w:sz w:val="20"/>
          <w:lang w:val="en-GB"/>
        </w:rPr>
        <w:t xml:space="preserve">. </w:t>
      </w:r>
      <w:r w:rsidR="00A621DA" w:rsidRPr="001908AF">
        <w:rPr>
          <w:rFonts w:ascii="Palatino Linotype" w:hAnsi="Palatino Linotype"/>
          <w:sz w:val="20"/>
          <w:lang w:val="en-GB"/>
        </w:rPr>
        <w:t>The test</w:t>
      </w:r>
      <w:r w:rsidR="005C3E9A" w:rsidRPr="001908AF">
        <w:rPr>
          <w:rFonts w:ascii="Palatino Linotype" w:hAnsi="Palatino Linotype"/>
          <w:sz w:val="20"/>
          <w:lang w:val="en-GB"/>
        </w:rPr>
        <w:t xml:space="preserve"> present</w:t>
      </w:r>
      <w:r w:rsidR="00A621DA" w:rsidRPr="001908AF">
        <w:rPr>
          <w:rFonts w:ascii="Palatino Linotype" w:hAnsi="Palatino Linotype"/>
          <w:sz w:val="20"/>
          <w:lang w:val="en-GB"/>
        </w:rPr>
        <w:t>s a</w:t>
      </w:r>
      <w:r w:rsidR="005C3E9A" w:rsidRPr="001908AF">
        <w:rPr>
          <w:rFonts w:ascii="Palatino Linotype" w:hAnsi="Palatino Linotype"/>
          <w:sz w:val="20"/>
          <w:lang w:val="en-GB"/>
        </w:rPr>
        <w:t xml:space="preserve"> similar profile involving a slow capacity drop along the charge and discharge cycles. At 1C, the cell presents an initial capacity of 77</w:t>
      </w:r>
      <w:r w:rsidR="005C3E9A" w:rsidRPr="001908AF">
        <w:rPr>
          <w:rFonts w:ascii="Palatino Linotype" w:hAnsi="Palatino Linotype" w:cs="Times New Roman"/>
          <w:sz w:val="20"/>
        </w:rPr>
        <w:t>0 mA</w:t>
      </w:r>
      <w:r w:rsidR="00B56509" w:rsidRPr="001908AF">
        <w:rPr>
          <w:rFonts w:ascii="Palatino Linotype" w:hAnsi="Palatino Linotype" w:cs="Times New Roman"/>
          <w:sz w:val="20"/>
        </w:rPr>
        <w:t xml:space="preserve"> </w:t>
      </w:r>
      <w:r w:rsidR="005C3E9A" w:rsidRPr="001908AF">
        <w:rPr>
          <w:rFonts w:ascii="Palatino Linotype" w:hAnsi="Palatino Linotype" w:cs="Times New Roman"/>
          <w:sz w:val="20"/>
        </w:rPr>
        <w:t>h g</w:t>
      </w:r>
      <w:r w:rsidR="005C3E9A" w:rsidRPr="001908AF">
        <w:rPr>
          <w:rFonts w:ascii="Palatino Linotype" w:hAnsi="Palatino Linotype" w:cs="Times New Roman"/>
          <w:sz w:val="20"/>
          <w:vertAlign w:val="superscript"/>
        </w:rPr>
        <w:t>-1</w:t>
      </w:r>
      <w:r w:rsidR="005C3E9A" w:rsidRPr="001908AF">
        <w:rPr>
          <w:rFonts w:ascii="Palatino Linotype" w:hAnsi="Palatino Linotype" w:cs="Times New Roman"/>
          <w:sz w:val="20"/>
        </w:rPr>
        <w:t xml:space="preserve"> </w:t>
      </w:r>
      <w:r w:rsidR="005C3E9A" w:rsidRPr="001908AF">
        <w:rPr>
          <w:rFonts w:ascii="Palatino Linotype" w:hAnsi="Palatino Linotype"/>
          <w:sz w:val="20"/>
          <w:lang w:val="en-GB"/>
        </w:rPr>
        <w:t xml:space="preserve">which then reaches to </w:t>
      </w:r>
      <w:r w:rsidR="005C3E9A" w:rsidRPr="001908AF">
        <w:rPr>
          <w:rFonts w:ascii="Palatino Linotype" w:hAnsi="Palatino Linotype" w:cs="Times New Roman"/>
          <w:sz w:val="20"/>
        </w:rPr>
        <w:t>about 500 mA</w:t>
      </w:r>
      <w:r w:rsidR="00B56509" w:rsidRPr="001908AF">
        <w:rPr>
          <w:rFonts w:ascii="Palatino Linotype" w:hAnsi="Palatino Linotype" w:cs="Times New Roman"/>
          <w:sz w:val="20"/>
        </w:rPr>
        <w:t xml:space="preserve"> </w:t>
      </w:r>
      <w:r w:rsidR="005C3E9A" w:rsidRPr="001908AF">
        <w:rPr>
          <w:rFonts w:ascii="Palatino Linotype" w:hAnsi="Palatino Linotype" w:cs="Times New Roman"/>
          <w:sz w:val="20"/>
        </w:rPr>
        <w:t>h g</w:t>
      </w:r>
      <w:r w:rsidR="005C3E9A" w:rsidRPr="001908AF">
        <w:rPr>
          <w:rFonts w:ascii="Palatino Linotype" w:hAnsi="Palatino Linotype" w:cs="Times New Roman"/>
          <w:sz w:val="20"/>
          <w:vertAlign w:val="superscript"/>
        </w:rPr>
        <w:t>-1</w:t>
      </w:r>
      <w:r w:rsidR="005C3E9A" w:rsidRPr="001908AF">
        <w:rPr>
          <w:rFonts w:ascii="Palatino Linotype" w:hAnsi="Palatino Linotype" w:cs="Times New Roman"/>
          <w:sz w:val="20"/>
        </w:rPr>
        <w:t xml:space="preserve"> </w:t>
      </w:r>
      <w:r w:rsidR="005C3E9A" w:rsidRPr="001908AF">
        <w:rPr>
          <w:rFonts w:ascii="Palatino Linotype" w:hAnsi="Palatino Linotype"/>
          <w:sz w:val="20"/>
          <w:lang w:val="en-GB"/>
        </w:rPr>
        <w:t xml:space="preserve">after 160 cycles. </w:t>
      </w:r>
    </w:p>
    <w:p w14:paraId="24CE6A07" w14:textId="5C0D17A4" w:rsidR="00A565CD" w:rsidRDefault="009D280B" w:rsidP="00A565CD">
      <w:pPr>
        <w:keepNext/>
        <w:jc w:val="center"/>
      </w:pPr>
      <w:r>
        <w:rPr>
          <w:lang w:val="en-GB"/>
        </w:rPr>
        <w:pict w14:anchorId="6CAC0861">
          <v:shape id="_x0000_i1027" type="#_x0000_t75" style="width:329.45pt;height:219.8pt">
            <v:imagedata r:id="rId17" o:title="S80CNH20 1C" croptop="4620f" cropbottom="3593f"/>
          </v:shape>
        </w:pict>
      </w:r>
    </w:p>
    <w:p w14:paraId="23EE71E6" w14:textId="79349568" w:rsidR="00247FE6" w:rsidRPr="001908AF" w:rsidRDefault="00A565CD" w:rsidP="00CB2185">
      <w:pPr>
        <w:pStyle w:val="Caption"/>
        <w:jc w:val="both"/>
        <w:rPr>
          <w:rFonts w:ascii="Palatino Linotype" w:hAnsi="Palatino Linotype"/>
          <w:i w:val="0"/>
          <w:color w:val="auto"/>
          <w:lang w:val="en-GB"/>
        </w:rPr>
      </w:pPr>
      <w:r w:rsidRPr="001908AF">
        <w:rPr>
          <w:rFonts w:ascii="Palatino Linotype" w:hAnsi="Palatino Linotype"/>
          <w:b/>
          <w:i w:val="0"/>
          <w:color w:val="auto"/>
        </w:rPr>
        <w:t>Figure S</w:t>
      </w:r>
      <w:r w:rsidR="00CB2185" w:rsidRPr="001908AF">
        <w:rPr>
          <w:rFonts w:ascii="Palatino Linotype" w:hAnsi="Palatino Linotype"/>
          <w:b/>
          <w:i w:val="0"/>
          <w:color w:val="auto"/>
        </w:rPr>
        <w:fldChar w:fldCharType="begin"/>
      </w:r>
      <w:r w:rsidR="00CB2185" w:rsidRPr="001908AF">
        <w:rPr>
          <w:rFonts w:ascii="Palatino Linotype" w:hAnsi="Palatino Linotype"/>
          <w:b/>
          <w:i w:val="0"/>
          <w:color w:val="auto"/>
        </w:rPr>
        <w:instrText xml:space="preserve"> SEQ Figure \* ARABIC </w:instrText>
      </w:r>
      <w:r w:rsidR="00CB2185" w:rsidRPr="001908AF">
        <w:rPr>
          <w:rFonts w:ascii="Palatino Linotype" w:hAnsi="Palatino Linotype"/>
          <w:b/>
          <w:i w:val="0"/>
          <w:color w:val="auto"/>
        </w:rPr>
        <w:fldChar w:fldCharType="separate"/>
      </w:r>
      <w:r w:rsidRPr="001908AF">
        <w:rPr>
          <w:rFonts w:ascii="Palatino Linotype" w:hAnsi="Palatino Linotype"/>
          <w:b/>
          <w:i w:val="0"/>
          <w:noProof/>
          <w:color w:val="auto"/>
        </w:rPr>
        <w:t>4</w:t>
      </w:r>
      <w:r w:rsidR="00CB2185" w:rsidRPr="001908AF">
        <w:rPr>
          <w:rFonts w:ascii="Palatino Linotype" w:hAnsi="Palatino Linotype"/>
          <w:b/>
          <w:i w:val="0"/>
          <w:noProof/>
          <w:color w:val="auto"/>
        </w:rPr>
        <w:fldChar w:fldCharType="end"/>
      </w:r>
      <w:r w:rsidRPr="001908AF">
        <w:rPr>
          <w:rFonts w:ascii="Palatino Linotype" w:hAnsi="Palatino Linotype"/>
          <w:i w:val="0"/>
          <w:color w:val="auto"/>
        </w:rPr>
        <w:t xml:space="preserve"> – Galvanostatic cycling test of the S80SWNH20 electrode carried out at 1C (</w:t>
      </w:r>
      <w:r w:rsidR="001908AF" w:rsidRPr="001908AF">
        <w:rPr>
          <w:rFonts w:ascii="Palatino Linotype" w:hAnsi="Palatino Linotype"/>
          <w:i w:val="0"/>
          <w:color w:val="auto"/>
        </w:rPr>
        <w:t xml:space="preserve">= </w:t>
      </w:r>
      <w:r w:rsidRPr="001908AF">
        <w:rPr>
          <w:rFonts w:ascii="Palatino Linotype" w:hAnsi="Palatino Linotype"/>
          <w:i w:val="0"/>
          <w:color w:val="auto"/>
        </w:rPr>
        <w:t>1675 mA g</w:t>
      </w:r>
      <w:r w:rsidRPr="001908AF">
        <w:rPr>
          <w:rFonts w:ascii="Palatino Linotype" w:hAnsi="Palatino Linotype"/>
          <w:i w:val="0"/>
          <w:color w:val="auto"/>
          <w:vertAlign w:val="superscript"/>
        </w:rPr>
        <w:t>-1</w:t>
      </w:r>
      <w:r w:rsidRPr="001908AF">
        <w:rPr>
          <w:rFonts w:ascii="Palatino Linotype" w:hAnsi="Palatino Linotype"/>
          <w:i w:val="0"/>
          <w:color w:val="auto"/>
        </w:rPr>
        <w:t>) within a 1.6-2.8 V voltage range. Sulfur loading = 1.6 mg cm</w:t>
      </w:r>
      <w:r w:rsidRPr="001908AF">
        <w:rPr>
          <w:rFonts w:ascii="Palatino Linotype" w:hAnsi="Palatino Linotype"/>
          <w:i w:val="0"/>
          <w:color w:val="auto"/>
          <w:vertAlign w:val="superscript"/>
        </w:rPr>
        <w:t>-2</w:t>
      </w:r>
      <w:r w:rsidRPr="001908AF">
        <w:rPr>
          <w:rFonts w:ascii="Palatino Linotype" w:hAnsi="Palatino Linotype"/>
          <w:i w:val="0"/>
          <w:color w:val="auto"/>
        </w:rPr>
        <w:t>.</w:t>
      </w:r>
    </w:p>
    <w:sectPr w:rsidR="00247FE6" w:rsidRPr="001908A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E605EC"/>
    <w:multiLevelType w:val="hybridMultilevel"/>
    <w:tmpl w:val="559000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B12"/>
    <w:rsid w:val="00087233"/>
    <w:rsid w:val="00124439"/>
    <w:rsid w:val="001908AF"/>
    <w:rsid w:val="00247A37"/>
    <w:rsid w:val="00247FE6"/>
    <w:rsid w:val="00260849"/>
    <w:rsid w:val="00267927"/>
    <w:rsid w:val="002E5C8B"/>
    <w:rsid w:val="002E5FB5"/>
    <w:rsid w:val="003202CA"/>
    <w:rsid w:val="003F18E7"/>
    <w:rsid w:val="00414541"/>
    <w:rsid w:val="00472B12"/>
    <w:rsid w:val="004B044F"/>
    <w:rsid w:val="004C0AFD"/>
    <w:rsid w:val="005C3E9A"/>
    <w:rsid w:val="005F26F5"/>
    <w:rsid w:val="0068159D"/>
    <w:rsid w:val="0084178E"/>
    <w:rsid w:val="008D7CD3"/>
    <w:rsid w:val="00940FAE"/>
    <w:rsid w:val="009A3E07"/>
    <w:rsid w:val="009D280B"/>
    <w:rsid w:val="009D72F1"/>
    <w:rsid w:val="00A17628"/>
    <w:rsid w:val="00A565CD"/>
    <w:rsid w:val="00A621DA"/>
    <w:rsid w:val="00B56509"/>
    <w:rsid w:val="00B60B39"/>
    <w:rsid w:val="00B670D8"/>
    <w:rsid w:val="00BB6884"/>
    <w:rsid w:val="00CB2185"/>
    <w:rsid w:val="00E366CC"/>
    <w:rsid w:val="00ED49C4"/>
    <w:rsid w:val="00F24E2E"/>
    <w:rsid w:val="00F41664"/>
    <w:rsid w:val="00F55501"/>
    <w:rsid w:val="00FA1080"/>
    <w:rsid w:val="00FB2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161838B"/>
  <w15:chartTrackingRefBased/>
  <w15:docId w15:val="{D79D12DE-9C4D-43A8-A4FE-C1EE7A850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i/>
        <w:iCs/>
        <w:sz w:val="18"/>
        <w:szCs w:val="1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B12"/>
    <w:pPr>
      <w:spacing w:line="256" w:lineRule="auto"/>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72B12"/>
    <w:pPr>
      <w:spacing w:after="200" w:line="240" w:lineRule="auto"/>
    </w:pPr>
    <w:rPr>
      <w:i/>
      <w:iCs/>
      <w:color w:val="44546A" w:themeColor="text2"/>
    </w:rPr>
  </w:style>
  <w:style w:type="paragraph" w:styleId="NormalWeb">
    <w:name w:val="Normal (Web)"/>
    <w:basedOn w:val="Normal"/>
    <w:uiPriority w:val="99"/>
    <w:semiHidden/>
    <w:unhideWhenUsed/>
    <w:rsid w:val="003202CA"/>
    <w:pPr>
      <w:spacing w:before="100" w:beforeAutospacing="1" w:after="100" w:afterAutospacing="1" w:line="240" w:lineRule="auto"/>
    </w:pPr>
    <w:rPr>
      <w:rFonts w:eastAsiaTheme="minorEastAsia" w:cs="Times New Roman"/>
      <w:sz w:val="24"/>
      <w:szCs w:val="24"/>
    </w:rPr>
  </w:style>
  <w:style w:type="character" w:styleId="CommentReference">
    <w:name w:val="annotation reference"/>
    <w:basedOn w:val="DefaultParagraphFont"/>
    <w:uiPriority w:val="99"/>
    <w:semiHidden/>
    <w:unhideWhenUsed/>
    <w:rsid w:val="00267927"/>
    <w:rPr>
      <w:sz w:val="16"/>
      <w:szCs w:val="16"/>
    </w:rPr>
  </w:style>
  <w:style w:type="paragraph" w:styleId="CommentText">
    <w:name w:val="annotation text"/>
    <w:basedOn w:val="Normal"/>
    <w:link w:val="CommentTextChar"/>
    <w:uiPriority w:val="99"/>
    <w:semiHidden/>
    <w:unhideWhenUsed/>
    <w:rsid w:val="00267927"/>
    <w:pPr>
      <w:spacing w:line="240" w:lineRule="auto"/>
    </w:pPr>
    <w:rPr>
      <w:sz w:val="20"/>
      <w:szCs w:val="20"/>
    </w:rPr>
  </w:style>
  <w:style w:type="character" w:customStyle="1" w:styleId="CommentTextChar">
    <w:name w:val="Comment Text Char"/>
    <w:basedOn w:val="DefaultParagraphFont"/>
    <w:link w:val="CommentText"/>
    <w:uiPriority w:val="99"/>
    <w:semiHidden/>
    <w:rsid w:val="00267927"/>
    <w:rPr>
      <w:i w:val="0"/>
      <w:iCs w:val="0"/>
      <w:sz w:val="20"/>
      <w:szCs w:val="20"/>
    </w:rPr>
  </w:style>
  <w:style w:type="paragraph" w:styleId="CommentSubject">
    <w:name w:val="annotation subject"/>
    <w:basedOn w:val="CommentText"/>
    <w:next w:val="CommentText"/>
    <w:link w:val="CommentSubjectChar"/>
    <w:uiPriority w:val="99"/>
    <w:semiHidden/>
    <w:unhideWhenUsed/>
    <w:rsid w:val="00267927"/>
    <w:rPr>
      <w:b/>
      <w:bCs/>
    </w:rPr>
  </w:style>
  <w:style w:type="character" w:customStyle="1" w:styleId="CommentSubjectChar">
    <w:name w:val="Comment Subject Char"/>
    <w:basedOn w:val="CommentTextChar"/>
    <w:link w:val="CommentSubject"/>
    <w:uiPriority w:val="99"/>
    <w:semiHidden/>
    <w:rsid w:val="00267927"/>
    <w:rPr>
      <w:b/>
      <w:bCs/>
      <w:i w:val="0"/>
      <w:iCs w:val="0"/>
      <w:sz w:val="20"/>
      <w:szCs w:val="20"/>
    </w:rPr>
  </w:style>
  <w:style w:type="paragraph" w:styleId="BalloonText">
    <w:name w:val="Balloon Text"/>
    <w:basedOn w:val="Normal"/>
    <w:link w:val="BalloonTextChar"/>
    <w:uiPriority w:val="99"/>
    <w:semiHidden/>
    <w:unhideWhenUsed/>
    <w:rsid w:val="00267927"/>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267927"/>
    <w:rPr>
      <w:rFonts w:ascii="Segoe UI" w:hAnsi="Segoe UI" w:cs="Segoe UI"/>
      <w:i w:val="0"/>
      <w:iCs w:val="0"/>
    </w:rPr>
  </w:style>
  <w:style w:type="paragraph" w:styleId="Revision">
    <w:name w:val="Revision"/>
    <w:hidden/>
    <w:uiPriority w:val="99"/>
    <w:semiHidden/>
    <w:rsid w:val="00B56509"/>
    <w:pPr>
      <w:spacing w:after="0" w:line="240" w:lineRule="auto"/>
    </w:pPr>
    <w:rPr>
      <w:i w:val="0"/>
      <w:iCs w:val="0"/>
    </w:rPr>
  </w:style>
  <w:style w:type="paragraph" w:customStyle="1" w:styleId="MDPI16affiliation">
    <w:name w:val="MDPI_1.6_affiliation"/>
    <w:qFormat/>
    <w:rsid w:val="009D280B"/>
    <w:pPr>
      <w:adjustRightInd w:val="0"/>
      <w:snapToGrid w:val="0"/>
      <w:spacing w:after="0" w:line="200" w:lineRule="atLeast"/>
      <w:ind w:left="2806" w:hanging="198"/>
    </w:pPr>
    <w:rPr>
      <w:rFonts w:ascii="Palatino Linotype" w:eastAsia="Times New Roman" w:hAnsi="Palatino Linotype" w:cs="Times New Roman"/>
      <w:i w:val="0"/>
      <w:iCs w:val="0"/>
      <w:color w:val="000000"/>
      <w:sz w:val="16"/>
      <w:lang w:eastAsia="de-DE" w:bidi="en-US"/>
    </w:rPr>
  </w:style>
  <w:style w:type="character" w:styleId="Hyperlink">
    <w:name w:val="Hyperlink"/>
    <w:uiPriority w:val="99"/>
    <w:rsid w:val="009D280B"/>
    <w:rPr>
      <w:color w:val="0000FF"/>
      <w:u w:val="single"/>
    </w:rPr>
  </w:style>
  <w:style w:type="paragraph" w:customStyle="1" w:styleId="MDPI13authornames">
    <w:name w:val="MDPI_1.3_authornames"/>
    <w:next w:val="Normal"/>
    <w:qFormat/>
    <w:rsid w:val="009D280B"/>
    <w:pPr>
      <w:adjustRightInd w:val="0"/>
      <w:snapToGrid w:val="0"/>
      <w:spacing w:after="360" w:line="260" w:lineRule="atLeast"/>
    </w:pPr>
    <w:rPr>
      <w:rFonts w:ascii="Palatino Linotype" w:eastAsia="Times New Roman" w:hAnsi="Palatino Linotype" w:cs="Times New Roman"/>
      <w:b/>
      <w:i w:val="0"/>
      <w:iCs w:val="0"/>
      <w:color w:val="000000"/>
      <w:sz w:val="20"/>
      <w:szCs w:val="22"/>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890720">
      <w:bodyDiv w:val="1"/>
      <w:marLeft w:val="0"/>
      <w:marRight w:val="0"/>
      <w:marTop w:val="0"/>
      <w:marBottom w:val="0"/>
      <w:divBdr>
        <w:top w:val="none" w:sz="0" w:space="0" w:color="auto"/>
        <w:left w:val="none" w:sz="0" w:space="0" w:color="auto"/>
        <w:bottom w:val="none" w:sz="0" w:space="0" w:color="auto"/>
        <w:right w:val="none" w:sz="0" w:space="0" w:color="auto"/>
      </w:divBdr>
    </w:div>
    <w:div w:id="1026903329">
      <w:bodyDiv w:val="1"/>
      <w:marLeft w:val="0"/>
      <w:marRight w:val="0"/>
      <w:marTop w:val="0"/>
      <w:marBottom w:val="0"/>
      <w:divBdr>
        <w:top w:val="none" w:sz="0" w:space="0" w:color="auto"/>
        <w:left w:val="none" w:sz="0" w:space="0" w:color="auto"/>
        <w:bottom w:val="none" w:sz="0" w:space="0" w:color="auto"/>
        <w:right w:val="none" w:sz="0" w:space="0" w:color="auto"/>
      </w:divBdr>
    </w:div>
    <w:div w:id="1102915924">
      <w:bodyDiv w:val="1"/>
      <w:marLeft w:val="0"/>
      <w:marRight w:val="0"/>
      <w:marTop w:val="0"/>
      <w:marBottom w:val="0"/>
      <w:divBdr>
        <w:top w:val="none" w:sz="0" w:space="0" w:color="auto"/>
        <w:left w:val="none" w:sz="0" w:space="0" w:color="auto"/>
        <w:bottom w:val="none" w:sz="0" w:space="0" w:color="auto"/>
        <w:right w:val="none" w:sz="0" w:space="0" w:color="auto"/>
      </w:divBdr>
    </w:div>
    <w:div w:id="1286616892">
      <w:bodyDiv w:val="1"/>
      <w:marLeft w:val="0"/>
      <w:marRight w:val="0"/>
      <w:marTop w:val="0"/>
      <w:marBottom w:val="0"/>
      <w:divBdr>
        <w:top w:val="none" w:sz="0" w:space="0" w:color="auto"/>
        <w:left w:val="none" w:sz="0" w:space="0" w:color="auto"/>
        <w:bottom w:val="none" w:sz="0" w:space="0" w:color="auto"/>
        <w:right w:val="none" w:sz="0" w:space="0" w:color="auto"/>
      </w:divBdr>
    </w:div>
    <w:div w:id="198438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a.chauque@iit.it" TargetMode="External"/><Relationship Id="rId13" Type="http://schemas.openxmlformats.org/officeDocument/2006/relationships/hyperlink" Target="mailto:remo.proietti@iit.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ejman.salimi@iit.it" TargetMode="External"/><Relationship Id="rId12" Type="http://schemas.openxmlformats.org/officeDocument/2006/relationships/hyperlink" Target="mailto:remo.proietti@iit.it"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hyperlink" Target="mailto:eleonora.venezia@iit.it" TargetMode="External"/><Relationship Id="rId11" Type="http://schemas.openxmlformats.org/officeDocument/2006/relationships/hyperlink" Target="mailto:pejman.salimi@iit.it" TargetMode="Externa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yperlink" Target="mailto:eleonora.venezia@iit.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mo.proietti@iit.it"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01EE1B5-B40A-4B5A-ACB3-EB9ED4B90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523</Words>
  <Characters>2985</Characters>
  <Application>Microsoft Office Word</Application>
  <DocSecurity>0</DocSecurity>
  <Lines>24</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Eleonora Venezia</dc:creator>
  <cp:keywords/>
  <dc:description/>
  <cp:lastModifiedBy>Eleonora Venezia</cp:lastModifiedBy>
  <cp:revision>6</cp:revision>
  <dcterms:created xsi:type="dcterms:W3CDTF">2022-09-01T14:52:00Z</dcterms:created>
  <dcterms:modified xsi:type="dcterms:W3CDTF">2022-10-18T13:19:00Z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http://www.zotero.org/styles/nanoscale</vt:lpwstr>
  </property>
  <property fmtid="{D5CDD505-2E9C-101B-9397-08002B2CF9AE}" pid="19" name="Mendeley Recent Style Name 8_1">
    <vt:lpwstr>Nanoscale</vt:lpwstr>
  </property>
  <property fmtid="{D5CDD505-2E9C-101B-9397-08002B2CF9AE}" pid="20" name="Mendeley Recent Style Id 9_1">
    <vt:lpwstr>http://www.zotero.org/styles/rsc-advances</vt:lpwstr>
  </property>
  <property fmtid="{D5CDD505-2E9C-101B-9397-08002B2CF9AE}" pid="21" name="Mendeley Recent Style Name 9_1">
    <vt:lpwstr>RSC Advances</vt:lpwstr>
  </property>
  <property fmtid="{D5CDD505-2E9C-101B-9397-08002B2CF9AE}" pid="22" name="Mendeley Document_1">
    <vt:lpwstr>True</vt:lpwstr>
  </property>
</Properties>
</file>