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B3" w:rsidRPr="0026332D" w:rsidRDefault="003172B3" w:rsidP="0026332D">
      <w:pPr>
        <w:pStyle w:val="MDPI13authornames"/>
        <w:rPr>
          <w:b w:val="0"/>
          <w:i/>
          <w:snapToGrid w:val="0"/>
          <w:szCs w:val="28"/>
        </w:rPr>
      </w:pPr>
      <w:bookmarkStart w:id="0" w:name="_GoBack"/>
      <w:r w:rsidRPr="0026332D">
        <w:rPr>
          <w:b w:val="0"/>
          <w:i/>
          <w:szCs w:val="28"/>
        </w:rPr>
        <w:t>Supplementary Materials</w:t>
      </w:r>
    </w:p>
    <w:bookmarkEnd w:id="0"/>
    <w:p w:rsidR="0026332D" w:rsidRPr="00BC3078" w:rsidRDefault="0026332D" w:rsidP="0026332D">
      <w:pPr>
        <w:pStyle w:val="MDPI13authornames"/>
        <w:spacing w:line="240" w:lineRule="auto"/>
        <w:rPr>
          <w:sz w:val="36"/>
          <w:szCs w:val="28"/>
        </w:rPr>
      </w:pPr>
      <w:r w:rsidRPr="00BC3078">
        <w:rPr>
          <w:sz w:val="36"/>
          <w:szCs w:val="28"/>
        </w:rPr>
        <w:t xml:space="preserve">A combined cell-worm approach to search for compounds counteracting the toxicity of tau oligomers </w:t>
      </w:r>
      <w:r w:rsidRPr="00BC3078">
        <w:rPr>
          <w:i/>
          <w:sz w:val="36"/>
          <w:szCs w:val="28"/>
        </w:rPr>
        <w:t>in vivo</w:t>
      </w:r>
      <w:r w:rsidRPr="00BC3078">
        <w:rPr>
          <w:sz w:val="36"/>
          <w:szCs w:val="28"/>
        </w:rPr>
        <w:t xml:space="preserve"> </w:t>
      </w:r>
    </w:p>
    <w:p w:rsidR="0026332D" w:rsidRPr="00BC3078" w:rsidRDefault="0026332D" w:rsidP="0026332D">
      <w:pPr>
        <w:pStyle w:val="MDPI13authornames"/>
        <w:spacing w:line="240" w:lineRule="auto"/>
        <w:rPr>
          <w:sz w:val="22"/>
          <w:szCs w:val="28"/>
          <w:lang w:val="it-IT"/>
        </w:rPr>
      </w:pPr>
      <w:r w:rsidRPr="00BC3078">
        <w:rPr>
          <w:sz w:val="22"/>
          <w:szCs w:val="28"/>
          <w:lang w:val="it-IT"/>
        </w:rPr>
        <w:t xml:space="preserve">Carmina Natale </w:t>
      </w:r>
      <w:r w:rsidRPr="00BC3078">
        <w:rPr>
          <w:sz w:val="22"/>
          <w:szCs w:val="28"/>
          <w:vertAlign w:val="superscript"/>
          <w:lang w:val="it-IT"/>
        </w:rPr>
        <w:t>1</w:t>
      </w:r>
      <w:r w:rsidRPr="00BC3078">
        <w:rPr>
          <w:sz w:val="22"/>
          <w:szCs w:val="28"/>
          <w:lang w:val="it-IT"/>
        </w:rPr>
        <w:t xml:space="preserve">, Maria Monica Barzago </w:t>
      </w:r>
      <w:r w:rsidRPr="00BC3078">
        <w:rPr>
          <w:sz w:val="22"/>
          <w:szCs w:val="28"/>
          <w:vertAlign w:val="superscript"/>
          <w:lang w:val="it-IT"/>
        </w:rPr>
        <w:t>1</w:t>
      </w:r>
      <w:r w:rsidRPr="00BC3078">
        <w:rPr>
          <w:sz w:val="22"/>
          <w:szCs w:val="28"/>
          <w:lang w:val="it-IT"/>
        </w:rPr>
        <w:t>,</w:t>
      </w:r>
      <w:r w:rsidRPr="00BC3078">
        <w:rPr>
          <w:sz w:val="22"/>
          <w:szCs w:val="28"/>
          <w:vertAlign w:val="superscript"/>
          <w:lang w:val="it-IT"/>
        </w:rPr>
        <w:t xml:space="preserve"> </w:t>
      </w:r>
      <w:r w:rsidRPr="00BC3078">
        <w:rPr>
          <w:sz w:val="22"/>
          <w:szCs w:val="28"/>
          <w:lang w:val="it-IT"/>
        </w:rPr>
        <w:t xml:space="preserve">Luca Colnaghi </w:t>
      </w:r>
      <w:r w:rsidRPr="00BC3078">
        <w:rPr>
          <w:sz w:val="22"/>
          <w:szCs w:val="28"/>
          <w:vertAlign w:val="superscript"/>
          <w:lang w:val="it-IT"/>
        </w:rPr>
        <w:t>1,2</w:t>
      </w:r>
      <w:r w:rsidRPr="00BC3078">
        <w:rPr>
          <w:sz w:val="22"/>
          <w:szCs w:val="28"/>
          <w:lang w:val="it-IT"/>
        </w:rPr>
        <w:t xml:space="preserve">, Ada De Luigi </w:t>
      </w:r>
      <w:r w:rsidRPr="00BC3078">
        <w:rPr>
          <w:sz w:val="22"/>
          <w:szCs w:val="28"/>
          <w:vertAlign w:val="superscript"/>
          <w:lang w:val="it-IT"/>
        </w:rPr>
        <w:t>1</w:t>
      </w:r>
      <w:r w:rsidRPr="00BC3078">
        <w:rPr>
          <w:sz w:val="22"/>
          <w:szCs w:val="28"/>
          <w:lang w:val="it-IT"/>
        </w:rPr>
        <w:t xml:space="preserve">, Franca Orsini </w:t>
      </w:r>
      <w:r w:rsidRPr="00BC3078">
        <w:rPr>
          <w:sz w:val="22"/>
          <w:szCs w:val="28"/>
          <w:vertAlign w:val="superscript"/>
          <w:lang w:val="it-IT"/>
        </w:rPr>
        <w:t>3</w:t>
      </w:r>
      <w:r w:rsidRPr="00BC3078">
        <w:rPr>
          <w:sz w:val="22"/>
          <w:szCs w:val="28"/>
          <w:lang w:val="it-IT"/>
        </w:rPr>
        <w:t xml:space="preserve">, Luana Fioriti </w:t>
      </w:r>
      <w:r w:rsidRPr="00BC3078">
        <w:rPr>
          <w:sz w:val="22"/>
          <w:szCs w:val="28"/>
          <w:vertAlign w:val="superscript"/>
          <w:lang w:val="it-IT"/>
        </w:rPr>
        <w:t>3,</w:t>
      </w:r>
      <w:r w:rsidRPr="00BC3078">
        <w:rPr>
          <w:sz w:val="22"/>
          <w:szCs w:val="28"/>
          <w:lang w:val="it-IT"/>
        </w:rPr>
        <w:t xml:space="preserve"> *, Luisa Diomede </w:t>
      </w:r>
      <w:r w:rsidRPr="00BC3078">
        <w:rPr>
          <w:sz w:val="22"/>
          <w:szCs w:val="28"/>
          <w:vertAlign w:val="superscript"/>
          <w:lang w:val="it-IT"/>
        </w:rPr>
        <w:t>1,</w:t>
      </w:r>
      <w:r w:rsidRPr="00BC3078">
        <w:rPr>
          <w:sz w:val="22"/>
          <w:szCs w:val="28"/>
          <w:lang w:val="it-IT"/>
        </w:rPr>
        <w:t xml:space="preserve"> *</w:t>
      </w:r>
      <w:bookmarkStart w:id="1" w:name="_Hlk105682459"/>
      <w:bookmarkEnd w:id="1"/>
    </w:p>
    <w:tbl>
      <w:tblPr>
        <w:tblpPr w:leftFromText="198" w:rightFromText="198" w:vertAnchor="page" w:horzAnchor="margin" w:tblpY="9954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26332D" w:rsidRPr="00BC3078" w:rsidTr="008F2BBC">
        <w:tc>
          <w:tcPr>
            <w:tcW w:w="2410" w:type="dxa"/>
            <w:shd w:val="clear" w:color="auto" w:fill="auto"/>
          </w:tcPr>
          <w:p w:rsidR="0026332D" w:rsidRPr="00BC3078" w:rsidRDefault="0026332D" w:rsidP="008F2BBC">
            <w:pPr>
              <w:pStyle w:val="MDPI61Citation"/>
              <w:widowControl w:val="0"/>
              <w:spacing w:after="120" w:line="240" w:lineRule="auto"/>
              <w:rPr>
                <w:szCs w:val="28"/>
              </w:rPr>
            </w:pPr>
            <w:r w:rsidRPr="00BC3078">
              <w:rPr>
                <w:b/>
                <w:szCs w:val="28"/>
              </w:rPr>
              <w:t>Citation:</w:t>
            </w:r>
            <w:r w:rsidRPr="00BC3078">
              <w:rPr>
                <w:szCs w:val="28"/>
              </w:rPr>
              <w:t xml:space="preserve"> </w:t>
            </w:r>
            <w:proofErr w:type="spellStart"/>
            <w:r w:rsidRPr="00BC3078">
              <w:rPr>
                <w:szCs w:val="28"/>
              </w:rPr>
              <w:t>Lastname</w:t>
            </w:r>
            <w:proofErr w:type="spellEnd"/>
            <w:r w:rsidRPr="00BC3078">
              <w:rPr>
                <w:szCs w:val="28"/>
              </w:rPr>
              <w:t xml:space="preserve">, F.; </w:t>
            </w:r>
            <w:proofErr w:type="spellStart"/>
            <w:r w:rsidRPr="00BC3078">
              <w:rPr>
                <w:szCs w:val="28"/>
              </w:rPr>
              <w:t>Lastname</w:t>
            </w:r>
            <w:proofErr w:type="spellEnd"/>
            <w:r w:rsidRPr="00BC3078">
              <w:rPr>
                <w:szCs w:val="28"/>
              </w:rPr>
              <w:t xml:space="preserve">, F.; </w:t>
            </w:r>
            <w:proofErr w:type="spellStart"/>
            <w:r w:rsidRPr="00BC3078">
              <w:rPr>
                <w:szCs w:val="28"/>
              </w:rPr>
              <w:t>Lastname</w:t>
            </w:r>
            <w:proofErr w:type="spellEnd"/>
            <w:r w:rsidRPr="00BC3078">
              <w:rPr>
                <w:szCs w:val="28"/>
              </w:rPr>
              <w:t xml:space="preserve">, F. Title. </w:t>
            </w:r>
            <w:r w:rsidRPr="00BC3078">
              <w:rPr>
                <w:i/>
                <w:szCs w:val="28"/>
              </w:rPr>
              <w:t xml:space="preserve">Int. J. Mol. Sci. </w:t>
            </w:r>
            <w:r w:rsidRPr="00BC3078">
              <w:rPr>
                <w:b/>
                <w:szCs w:val="28"/>
              </w:rPr>
              <w:t>2022</w:t>
            </w:r>
            <w:r w:rsidRPr="00BC3078">
              <w:rPr>
                <w:szCs w:val="28"/>
              </w:rPr>
              <w:t>,</w:t>
            </w:r>
            <w:r w:rsidRPr="00BC3078">
              <w:rPr>
                <w:i/>
                <w:szCs w:val="28"/>
              </w:rPr>
              <w:t xml:space="preserve"> 23</w:t>
            </w:r>
            <w:r w:rsidRPr="00BC3078">
              <w:rPr>
                <w:szCs w:val="28"/>
              </w:rPr>
              <w:t>, x. https://doi.org/10.3390/xxxxx</w:t>
            </w:r>
          </w:p>
          <w:p w:rsidR="0026332D" w:rsidRPr="00BC3078" w:rsidRDefault="0026332D" w:rsidP="008F2BBC">
            <w:pPr>
              <w:pStyle w:val="MDPI14history"/>
              <w:widowControl w:val="0"/>
              <w:spacing w:before="120" w:after="120" w:line="240" w:lineRule="auto"/>
              <w:rPr>
                <w:rFonts w:ascii="SimSun" w:eastAsia="SimSun" w:hAnsi="SimSun" w:cs="SimSun"/>
                <w:szCs w:val="28"/>
                <w:lang w:eastAsia="zh-CN"/>
              </w:rPr>
            </w:pPr>
            <w:r w:rsidRPr="00BC3078">
              <w:rPr>
                <w:szCs w:val="28"/>
              </w:rPr>
              <w:t xml:space="preserve">Academic Editor: </w:t>
            </w:r>
            <w:proofErr w:type="spellStart"/>
            <w:r w:rsidRPr="00BC3078">
              <w:rPr>
                <w:szCs w:val="28"/>
              </w:rPr>
              <w:t>Firstname</w:t>
            </w:r>
            <w:proofErr w:type="spellEnd"/>
            <w:r w:rsidRPr="00BC3078">
              <w:rPr>
                <w:szCs w:val="28"/>
              </w:rPr>
              <w:t xml:space="preserve"> </w:t>
            </w:r>
            <w:proofErr w:type="spellStart"/>
            <w:r w:rsidRPr="00BC3078">
              <w:rPr>
                <w:szCs w:val="28"/>
              </w:rPr>
              <w:t>Lastname</w:t>
            </w:r>
            <w:proofErr w:type="spellEnd"/>
          </w:p>
          <w:p w:rsidR="0026332D" w:rsidRPr="00BC3078" w:rsidRDefault="0026332D" w:rsidP="008F2BBC">
            <w:pPr>
              <w:pStyle w:val="MDPI14history"/>
              <w:widowControl w:val="0"/>
              <w:spacing w:before="120" w:line="240" w:lineRule="auto"/>
              <w:rPr>
                <w:rFonts w:ascii="SimSun" w:eastAsia="SimSun" w:hAnsi="SimSun" w:cs="SimSun"/>
                <w:szCs w:val="28"/>
              </w:rPr>
            </w:pPr>
            <w:r w:rsidRPr="00BC3078">
              <w:rPr>
                <w:szCs w:val="28"/>
              </w:rPr>
              <w:t>Received: date</w:t>
            </w:r>
          </w:p>
          <w:p w:rsidR="0026332D" w:rsidRPr="00BC3078" w:rsidRDefault="0026332D" w:rsidP="008F2BBC">
            <w:pPr>
              <w:pStyle w:val="MDPI14history"/>
              <w:widowControl w:val="0"/>
              <w:spacing w:line="240" w:lineRule="auto"/>
              <w:rPr>
                <w:szCs w:val="28"/>
              </w:rPr>
            </w:pPr>
            <w:r w:rsidRPr="00BC3078">
              <w:rPr>
                <w:szCs w:val="28"/>
              </w:rPr>
              <w:t>Accepted: date</w:t>
            </w:r>
          </w:p>
          <w:p w:rsidR="0026332D" w:rsidRPr="00BC3078" w:rsidRDefault="0026332D" w:rsidP="008F2BBC">
            <w:pPr>
              <w:pStyle w:val="MDPI14history"/>
              <w:widowControl w:val="0"/>
              <w:spacing w:after="120" w:line="240" w:lineRule="auto"/>
              <w:rPr>
                <w:szCs w:val="28"/>
              </w:rPr>
            </w:pPr>
            <w:r w:rsidRPr="00BC3078">
              <w:rPr>
                <w:szCs w:val="28"/>
              </w:rPr>
              <w:t>Published: date</w:t>
            </w:r>
          </w:p>
          <w:p w:rsidR="0026332D" w:rsidRPr="00BC3078" w:rsidRDefault="0026332D" w:rsidP="008F2BBC">
            <w:pPr>
              <w:pStyle w:val="MDPI63Notes"/>
              <w:widowControl w:val="0"/>
              <w:spacing w:line="240" w:lineRule="auto"/>
              <w:jc w:val="both"/>
              <w:rPr>
                <w:szCs w:val="28"/>
              </w:rPr>
            </w:pPr>
            <w:r w:rsidRPr="00BC3078">
              <w:rPr>
                <w:b/>
                <w:szCs w:val="28"/>
              </w:rPr>
              <w:t>Publisher’s Note:</w:t>
            </w:r>
            <w:r w:rsidRPr="00BC3078">
              <w:rPr>
                <w:szCs w:val="28"/>
              </w:rPr>
              <w:t xml:space="preserve"> MDPI stays neutral with regard to jurisdictional claims in published maps and institutional affiliations.</w:t>
            </w:r>
          </w:p>
          <w:p w:rsidR="0026332D" w:rsidRPr="00BC3078" w:rsidRDefault="0026332D" w:rsidP="008F2BBC">
            <w:pPr>
              <w:widowControl w:val="0"/>
              <w:snapToGrid w:val="0"/>
              <w:spacing w:before="120" w:line="240" w:lineRule="auto"/>
              <w:ind w:right="113"/>
              <w:jc w:val="left"/>
              <w:rPr>
                <w:rFonts w:eastAsia="DengXian"/>
                <w:bCs/>
                <w:sz w:val="14"/>
                <w:szCs w:val="28"/>
                <w:lang w:bidi="en-US"/>
              </w:rPr>
            </w:pPr>
            <w:r w:rsidRPr="00BC3078">
              <w:rPr>
                <w:sz w:val="14"/>
                <w:szCs w:val="28"/>
                <w:lang w:val="en-GB" w:eastAsia="en-GB"/>
              </w:rPr>
              <w:drawing>
                <wp:inline distT="0" distB="0" distL="0" distR="0" wp14:anchorId="071D9015" wp14:editId="142D38EB">
                  <wp:extent cx="692785" cy="24955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332D" w:rsidRPr="00BC3078" w:rsidRDefault="0026332D" w:rsidP="008F2BBC">
            <w:pPr>
              <w:widowControl w:val="0"/>
              <w:snapToGrid w:val="0"/>
              <w:spacing w:before="60" w:line="240" w:lineRule="auto"/>
              <w:ind w:right="113"/>
              <w:rPr>
                <w:rFonts w:eastAsia="DengXian"/>
                <w:bCs/>
                <w:sz w:val="14"/>
                <w:szCs w:val="28"/>
                <w:lang w:bidi="en-US"/>
              </w:rPr>
            </w:pPr>
            <w:r w:rsidRPr="00BC3078">
              <w:rPr>
                <w:rFonts w:eastAsia="DengXian"/>
                <w:b/>
                <w:bCs/>
                <w:sz w:val="14"/>
                <w:szCs w:val="28"/>
                <w:lang w:bidi="en-US"/>
              </w:rPr>
              <w:t>Copyright:</w:t>
            </w:r>
            <w:r w:rsidRPr="00BC3078">
              <w:rPr>
                <w:rFonts w:eastAsia="DengXian"/>
                <w:bCs/>
                <w:sz w:val="14"/>
                <w:szCs w:val="28"/>
                <w:lang w:bidi="en-US"/>
              </w:rPr>
              <w:t xml:space="preserve"> © 2022 by the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:rsidR="0026332D" w:rsidRPr="00BC3078" w:rsidRDefault="0026332D" w:rsidP="0026332D">
      <w:pPr>
        <w:pStyle w:val="MDPI16affiliation"/>
        <w:spacing w:line="240" w:lineRule="auto"/>
        <w:rPr>
          <w:szCs w:val="16"/>
        </w:rPr>
      </w:pPr>
      <w:r w:rsidRPr="00BC3078">
        <w:rPr>
          <w:szCs w:val="16"/>
          <w:vertAlign w:val="superscript"/>
        </w:rPr>
        <w:t>1</w:t>
      </w:r>
      <w:r w:rsidRPr="00BC3078">
        <w:rPr>
          <w:szCs w:val="16"/>
        </w:rPr>
        <w:tab/>
        <w:t xml:space="preserve">Department of Molecular Biochemistry and Pharmacology, </w:t>
      </w:r>
      <w:proofErr w:type="spellStart"/>
      <w:r w:rsidRPr="00BC3078">
        <w:rPr>
          <w:szCs w:val="16"/>
        </w:rPr>
        <w:t>Istituto</w:t>
      </w:r>
      <w:proofErr w:type="spellEnd"/>
      <w:r w:rsidRPr="00BC3078">
        <w:rPr>
          <w:szCs w:val="16"/>
        </w:rPr>
        <w:t xml:space="preserve"> di </w:t>
      </w:r>
      <w:proofErr w:type="spellStart"/>
      <w:r w:rsidRPr="00BC3078">
        <w:rPr>
          <w:szCs w:val="16"/>
        </w:rPr>
        <w:t>Ricerche</w:t>
      </w:r>
      <w:proofErr w:type="spellEnd"/>
      <w:r w:rsidRPr="00BC3078">
        <w:rPr>
          <w:szCs w:val="16"/>
        </w:rPr>
        <w:t xml:space="preserve"> </w:t>
      </w:r>
      <w:proofErr w:type="spellStart"/>
      <w:r w:rsidRPr="00BC3078">
        <w:rPr>
          <w:szCs w:val="16"/>
        </w:rPr>
        <w:t>Farmacologiche</w:t>
      </w:r>
      <w:proofErr w:type="spellEnd"/>
      <w:r w:rsidRPr="00BC3078">
        <w:rPr>
          <w:szCs w:val="16"/>
        </w:rPr>
        <w:t xml:space="preserve"> Mario Negri IRCCS, Via Mario Negri 2, 20156, Milan, Italy; </w:t>
      </w:r>
      <w:hyperlink r:id="rId7">
        <w:r w:rsidRPr="00BC3078">
          <w:rPr>
            <w:rStyle w:val="Collegamentoipertestuale"/>
            <w:szCs w:val="16"/>
          </w:rPr>
          <w:t>carmina.natale@marionegri.it</w:t>
        </w:r>
      </w:hyperlink>
      <w:r w:rsidRPr="00BC3078">
        <w:rPr>
          <w:szCs w:val="16"/>
        </w:rPr>
        <w:t xml:space="preserve"> (C.N.) ; </w:t>
      </w:r>
      <w:hyperlink r:id="rId8">
        <w:r w:rsidRPr="00BC3078">
          <w:rPr>
            <w:rStyle w:val="Collegamentoipertestuale"/>
            <w:szCs w:val="16"/>
          </w:rPr>
          <w:t>mariamonica.barzago@marionegri.it</w:t>
        </w:r>
      </w:hyperlink>
      <w:r w:rsidRPr="00BC3078">
        <w:rPr>
          <w:szCs w:val="16"/>
        </w:rPr>
        <w:t xml:space="preserve"> (M.M.B.)</w:t>
      </w:r>
    </w:p>
    <w:p w:rsidR="0026332D" w:rsidRPr="00BC3078" w:rsidRDefault="0026332D" w:rsidP="0026332D">
      <w:pPr>
        <w:pStyle w:val="MDPI16affiliation"/>
        <w:spacing w:line="240" w:lineRule="auto"/>
        <w:rPr>
          <w:szCs w:val="16"/>
        </w:rPr>
      </w:pPr>
      <w:r w:rsidRPr="00BC3078">
        <w:rPr>
          <w:szCs w:val="16"/>
          <w:vertAlign w:val="superscript"/>
        </w:rPr>
        <w:t>2</w:t>
      </w:r>
      <w:r w:rsidRPr="00BC3078">
        <w:rPr>
          <w:szCs w:val="16"/>
        </w:rPr>
        <w:tab/>
        <w:t xml:space="preserve">Current address: Division of Neuroscience, IRCCS San Raffaele Scientific Institute, Via </w:t>
      </w:r>
      <w:proofErr w:type="spellStart"/>
      <w:r w:rsidRPr="00BC3078">
        <w:rPr>
          <w:szCs w:val="16"/>
        </w:rPr>
        <w:t>Olgettina</w:t>
      </w:r>
      <w:proofErr w:type="spellEnd"/>
      <w:r w:rsidRPr="00BC3078">
        <w:rPr>
          <w:szCs w:val="16"/>
        </w:rPr>
        <w:t xml:space="preserve"> 60, 20132 Milan, Italy; School of Medicine, Vita-Salute San Raffaele University, Via </w:t>
      </w:r>
      <w:proofErr w:type="spellStart"/>
      <w:r w:rsidRPr="00BC3078">
        <w:rPr>
          <w:szCs w:val="16"/>
        </w:rPr>
        <w:t>Olgettina</w:t>
      </w:r>
      <w:proofErr w:type="spellEnd"/>
      <w:r w:rsidRPr="00BC3078">
        <w:rPr>
          <w:szCs w:val="16"/>
        </w:rPr>
        <w:t xml:space="preserve"> 58, 20132 Milan, Italy; </w:t>
      </w:r>
    </w:p>
    <w:p w:rsidR="0026332D" w:rsidRPr="00BC3078" w:rsidRDefault="0026332D" w:rsidP="0026332D">
      <w:pPr>
        <w:pStyle w:val="MDPI16affiliation"/>
        <w:spacing w:line="240" w:lineRule="auto"/>
        <w:ind w:firstLine="0"/>
        <w:rPr>
          <w:color w:val="auto"/>
          <w:szCs w:val="16"/>
          <w:lang w:val="en-GB"/>
        </w:rPr>
      </w:pPr>
      <w:hyperlink r:id="rId9">
        <w:r w:rsidRPr="00BC3078">
          <w:rPr>
            <w:rStyle w:val="Collegamentoipertestuale"/>
            <w:szCs w:val="16"/>
            <w:lang w:val="en-GB"/>
          </w:rPr>
          <w:t>colnaghi.luca@hsr.it</w:t>
        </w:r>
      </w:hyperlink>
      <w:r w:rsidRPr="00BC3078">
        <w:rPr>
          <w:rStyle w:val="Collegamentoipertestuale"/>
          <w:szCs w:val="16"/>
          <w:lang w:val="en-GB"/>
        </w:rPr>
        <w:t xml:space="preserve"> </w:t>
      </w:r>
      <w:r w:rsidRPr="00BC3078">
        <w:rPr>
          <w:rStyle w:val="Collegamentoipertestuale"/>
          <w:color w:val="auto"/>
          <w:szCs w:val="16"/>
          <w:u w:val="none"/>
          <w:lang w:val="en-GB"/>
        </w:rPr>
        <w:t>(L.C.)</w:t>
      </w:r>
    </w:p>
    <w:p w:rsidR="0026332D" w:rsidRPr="00BC3078" w:rsidRDefault="0026332D" w:rsidP="0026332D">
      <w:pPr>
        <w:pStyle w:val="MDPI16affiliation"/>
        <w:spacing w:line="240" w:lineRule="auto"/>
        <w:rPr>
          <w:szCs w:val="16"/>
          <w:lang w:val="it-IT"/>
        </w:rPr>
      </w:pPr>
      <w:r w:rsidRPr="00BC3078">
        <w:rPr>
          <w:szCs w:val="16"/>
          <w:vertAlign w:val="superscript"/>
          <w:lang w:val="it-IT"/>
        </w:rPr>
        <w:t>3</w:t>
      </w:r>
      <w:r w:rsidRPr="00BC3078">
        <w:rPr>
          <w:szCs w:val="16"/>
          <w:lang w:val="it-IT"/>
        </w:rPr>
        <w:tab/>
        <w:t xml:space="preserve">Department of Neuroscience, Istituto di Ricerche Farmacologiche Mario Negri IRCCS, Via Mario Negri 2, 20156, Milan, </w:t>
      </w:r>
      <w:proofErr w:type="spellStart"/>
      <w:r w:rsidRPr="00BC3078">
        <w:rPr>
          <w:szCs w:val="16"/>
          <w:lang w:val="it-IT"/>
        </w:rPr>
        <w:t>Italy</w:t>
      </w:r>
      <w:proofErr w:type="spellEnd"/>
      <w:r w:rsidRPr="00BC3078">
        <w:rPr>
          <w:szCs w:val="16"/>
          <w:lang w:val="it-IT"/>
        </w:rPr>
        <w:t>; franca.orsini@marionegri.it (F.O.)</w:t>
      </w:r>
    </w:p>
    <w:p w:rsidR="0026332D" w:rsidRPr="00BC3078" w:rsidRDefault="0026332D" w:rsidP="0026332D">
      <w:pPr>
        <w:pStyle w:val="MDPI16affiliation"/>
        <w:spacing w:line="240" w:lineRule="auto"/>
        <w:rPr>
          <w:szCs w:val="16"/>
        </w:rPr>
      </w:pPr>
      <w:r w:rsidRPr="00BC3078">
        <w:rPr>
          <w:b/>
          <w:szCs w:val="16"/>
          <w:lang w:val="en-GB"/>
        </w:rPr>
        <w:t>*</w:t>
      </w:r>
      <w:r w:rsidRPr="00BC3078">
        <w:rPr>
          <w:szCs w:val="16"/>
          <w:lang w:val="en-GB"/>
        </w:rPr>
        <w:tab/>
      </w:r>
      <w:r w:rsidRPr="00BC3078">
        <w:rPr>
          <w:szCs w:val="16"/>
        </w:rPr>
        <w:t xml:space="preserve">Correspondence: </w:t>
      </w:r>
      <w:hyperlink r:id="rId10">
        <w:r w:rsidRPr="00BC3078">
          <w:rPr>
            <w:rStyle w:val="Collegamentoipertestuale"/>
            <w:szCs w:val="16"/>
          </w:rPr>
          <w:t>luisa.diomede@marionegri.it</w:t>
        </w:r>
      </w:hyperlink>
      <w:r w:rsidRPr="00BC3078">
        <w:rPr>
          <w:szCs w:val="16"/>
        </w:rPr>
        <w:t xml:space="preserve"> (L.D.); </w:t>
      </w:r>
      <w:hyperlink r:id="rId11">
        <w:r w:rsidRPr="00BC3078">
          <w:rPr>
            <w:rStyle w:val="Collegamentoipertestuale"/>
            <w:szCs w:val="16"/>
          </w:rPr>
          <w:t>luana.fioriti@marionegri.it</w:t>
        </w:r>
      </w:hyperlink>
      <w:r w:rsidRPr="00BC3078">
        <w:rPr>
          <w:szCs w:val="16"/>
        </w:rPr>
        <w:t xml:space="preserve"> (L.F.) </w:t>
      </w:r>
      <w:bookmarkStart w:id="2" w:name="_Hlk105682526"/>
      <w:bookmarkEnd w:id="2"/>
    </w:p>
    <w:p w:rsidR="003172B3" w:rsidRPr="008B6F11" w:rsidRDefault="003172B3">
      <w:pPr>
        <w:spacing w:after="160" w:line="259" w:lineRule="auto"/>
        <w:jc w:val="left"/>
        <w:rPr>
          <w:rFonts w:eastAsia="Times New Roman"/>
          <w:b/>
          <w:noProof w:val="0"/>
          <w:sz w:val="28"/>
          <w:szCs w:val="28"/>
          <w:lang w:val="en-GB" w:eastAsia="de-DE" w:bidi="en-US"/>
        </w:rPr>
      </w:pPr>
      <w:r w:rsidRPr="008B6F11">
        <w:rPr>
          <w:b/>
          <w:sz w:val="28"/>
          <w:szCs w:val="28"/>
          <w:lang w:val="en-GB"/>
        </w:rPr>
        <w:br w:type="page"/>
      </w:r>
    </w:p>
    <w:p w:rsidR="003172B3" w:rsidRPr="008B6F11" w:rsidRDefault="003172B3" w:rsidP="003172B3">
      <w:pPr>
        <w:pStyle w:val="MDPI16affiliation"/>
        <w:rPr>
          <w:sz w:val="28"/>
          <w:szCs w:val="28"/>
        </w:rPr>
      </w:pPr>
    </w:p>
    <w:p w:rsidR="003172B3" w:rsidRPr="008B6F11" w:rsidRDefault="003172B3" w:rsidP="003172B3">
      <w:pPr>
        <w:pStyle w:val="MDPI16affiliation"/>
        <w:rPr>
          <w:sz w:val="28"/>
          <w:szCs w:val="28"/>
        </w:rPr>
      </w:pPr>
    </w:p>
    <w:p w:rsidR="003172B3" w:rsidRPr="008B6F11" w:rsidRDefault="003172B3" w:rsidP="003172B3">
      <w:pPr>
        <w:pStyle w:val="MDPI16affiliation"/>
        <w:rPr>
          <w:sz w:val="28"/>
          <w:szCs w:val="28"/>
        </w:rPr>
      </w:pPr>
    </w:p>
    <w:p w:rsidR="009F72EA" w:rsidRPr="008B6F11" w:rsidRDefault="003172B3" w:rsidP="003172B3">
      <w:pPr>
        <w:jc w:val="center"/>
        <w:rPr>
          <w:sz w:val="28"/>
          <w:szCs w:val="28"/>
        </w:rPr>
      </w:pPr>
      <w:r w:rsidRPr="008B6F11">
        <w:rPr>
          <w:sz w:val="28"/>
          <w:szCs w:val="28"/>
          <w:lang w:val="en-GB" w:eastAsia="en-GB"/>
        </w:rPr>
        <w:drawing>
          <wp:inline distT="0" distB="0" distL="0" distR="0" wp14:anchorId="282304F7">
            <wp:extent cx="4663932" cy="3665551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623" cy="370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2B3" w:rsidRPr="008B6F11" w:rsidRDefault="003172B3" w:rsidP="00246246">
      <w:pPr>
        <w:spacing w:line="480" w:lineRule="auto"/>
        <w:jc w:val="center"/>
        <w:rPr>
          <w:sz w:val="28"/>
          <w:szCs w:val="28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</w:rPr>
      </w:pPr>
      <w:r w:rsidRPr="0026332D">
        <w:rPr>
          <w:b/>
          <w:bCs/>
          <w:sz w:val="18"/>
          <w:szCs w:val="28"/>
        </w:rPr>
        <w:t>Figure S1. T</w:t>
      </w:r>
      <w:r w:rsidRPr="0026332D">
        <w:rPr>
          <w:b/>
          <w:bCs/>
          <w:sz w:val="18"/>
          <w:szCs w:val="28"/>
          <w:lang w:val="en-GB"/>
        </w:rPr>
        <w:t>au P301L expression</w:t>
      </w:r>
      <w:r w:rsidRPr="0026332D">
        <w:rPr>
          <w:sz w:val="18"/>
          <w:szCs w:val="28"/>
          <w:lang w:val="en-GB"/>
        </w:rPr>
        <w:t xml:space="preserve"> </w:t>
      </w:r>
      <w:r w:rsidR="00995675" w:rsidRPr="0026332D">
        <w:rPr>
          <w:b/>
          <w:bCs/>
          <w:sz w:val="18"/>
          <w:szCs w:val="28"/>
        </w:rPr>
        <w:t xml:space="preserve">did not affect </w:t>
      </w:r>
      <w:r w:rsidRPr="0026332D">
        <w:rPr>
          <w:b/>
          <w:bCs/>
          <w:sz w:val="18"/>
          <w:szCs w:val="28"/>
        </w:rPr>
        <w:t xml:space="preserve">cell viability. </w:t>
      </w:r>
      <w:r w:rsidRPr="0026332D">
        <w:rPr>
          <w:sz w:val="18"/>
          <w:szCs w:val="28"/>
          <w:lang w:val="en-GB"/>
        </w:rPr>
        <w:t xml:space="preserve">HEK T-Rex cells were treated </w:t>
      </w:r>
      <w:r w:rsidR="00995675" w:rsidRPr="0026332D">
        <w:rPr>
          <w:sz w:val="18"/>
          <w:szCs w:val="28"/>
        </w:rPr>
        <w:t>with 1.0 µg/mL</w:t>
      </w:r>
      <w:r w:rsidRPr="0026332D">
        <w:rPr>
          <w:sz w:val="18"/>
          <w:szCs w:val="28"/>
        </w:rPr>
        <w:t xml:space="preserve"> doxycycline to induce the </w:t>
      </w:r>
      <w:r w:rsidRPr="0026332D">
        <w:rPr>
          <w:sz w:val="18"/>
          <w:szCs w:val="28"/>
          <w:lang w:val="en-GB"/>
        </w:rPr>
        <w:t>expression of human tau P301L</w:t>
      </w:r>
      <w:r w:rsidRPr="0026332D">
        <w:rPr>
          <w:sz w:val="18"/>
          <w:szCs w:val="28"/>
          <w:vertAlign w:val="subscript"/>
          <w:lang w:val="en-GB"/>
        </w:rPr>
        <w:t xml:space="preserve"> </w:t>
      </w:r>
      <w:r w:rsidR="00995675" w:rsidRPr="0026332D">
        <w:rPr>
          <w:sz w:val="18"/>
          <w:szCs w:val="28"/>
        </w:rPr>
        <w:t>(Induced) or with the same</w:t>
      </w:r>
      <w:r w:rsidRPr="0026332D">
        <w:rPr>
          <w:sz w:val="18"/>
          <w:szCs w:val="28"/>
        </w:rPr>
        <w:t xml:space="preserve"> volume of 10</w:t>
      </w:r>
      <w:r w:rsidR="00995675" w:rsidRPr="0026332D">
        <w:rPr>
          <w:sz w:val="18"/>
          <w:szCs w:val="28"/>
        </w:rPr>
        <w:t xml:space="preserve"> mM PBS, pH 7.4 (Not-induced). C</w:t>
      </w:r>
      <w:r w:rsidR="00995675" w:rsidRPr="0026332D">
        <w:rPr>
          <w:sz w:val="18"/>
          <w:szCs w:val="28"/>
          <w:lang w:val="en-GB"/>
        </w:rPr>
        <w:t>ell viability was recorded</w:t>
      </w:r>
      <w:r w:rsidRPr="0026332D">
        <w:rPr>
          <w:sz w:val="18"/>
          <w:szCs w:val="28"/>
          <w:lang w:val="en-GB"/>
        </w:rPr>
        <w:t xml:space="preserve"> 1, </w:t>
      </w:r>
      <w:r w:rsidR="00995675" w:rsidRPr="0026332D">
        <w:rPr>
          <w:sz w:val="18"/>
          <w:szCs w:val="28"/>
        </w:rPr>
        <w:t xml:space="preserve">3 and 5 days after </w:t>
      </w:r>
      <w:r w:rsidRPr="0026332D">
        <w:rPr>
          <w:sz w:val="18"/>
          <w:szCs w:val="28"/>
        </w:rPr>
        <w:t>treatment</w:t>
      </w:r>
      <w:r w:rsidR="00995675" w:rsidRPr="0026332D">
        <w:rPr>
          <w:sz w:val="18"/>
          <w:szCs w:val="28"/>
        </w:rPr>
        <w:t>,with</w:t>
      </w:r>
      <w:r w:rsidRPr="0026332D">
        <w:rPr>
          <w:sz w:val="18"/>
          <w:szCs w:val="28"/>
        </w:rPr>
        <w:t xml:space="preserve"> (</w:t>
      </w:r>
      <w:r w:rsidRPr="0026332D">
        <w:rPr>
          <w:b/>
          <w:bCs/>
          <w:sz w:val="18"/>
          <w:szCs w:val="28"/>
        </w:rPr>
        <w:t>a</w:t>
      </w:r>
      <w:r w:rsidRPr="0026332D">
        <w:rPr>
          <w:sz w:val="18"/>
          <w:szCs w:val="28"/>
        </w:rPr>
        <w:t>) MTT, (</w:t>
      </w:r>
      <w:r w:rsidRPr="0026332D">
        <w:rPr>
          <w:b/>
          <w:bCs/>
          <w:sz w:val="18"/>
          <w:szCs w:val="28"/>
        </w:rPr>
        <w:t>b</w:t>
      </w:r>
      <w:r w:rsidRPr="0026332D">
        <w:rPr>
          <w:sz w:val="18"/>
          <w:szCs w:val="28"/>
        </w:rPr>
        <w:t>) LDH and (</w:t>
      </w:r>
      <w:r w:rsidRPr="0026332D">
        <w:rPr>
          <w:b/>
          <w:bCs/>
          <w:sz w:val="18"/>
          <w:szCs w:val="28"/>
        </w:rPr>
        <w:t>c</w:t>
      </w:r>
      <w:r w:rsidRPr="0026332D">
        <w:rPr>
          <w:sz w:val="18"/>
          <w:szCs w:val="28"/>
        </w:rPr>
        <w:t xml:space="preserve">) Alamar blue assays. Data are expressed as values normalized on the mean of Not-induced cells from three technical replicates of three independent experiments. </w:t>
      </w:r>
    </w:p>
    <w:p w:rsidR="003172B3" w:rsidRPr="008B6F11" w:rsidRDefault="003172B3">
      <w:pPr>
        <w:spacing w:after="160" w:line="259" w:lineRule="auto"/>
        <w:jc w:val="left"/>
        <w:rPr>
          <w:sz w:val="28"/>
          <w:szCs w:val="28"/>
        </w:rPr>
      </w:pPr>
      <w:r w:rsidRPr="008B6F11">
        <w:rPr>
          <w:sz w:val="28"/>
          <w:szCs w:val="28"/>
        </w:rPr>
        <w:br w:type="page"/>
      </w:r>
    </w:p>
    <w:p w:rsidR="003172B3" w:rsidRPr="008B6F11" w:rsidRDefault="003172B3" w:rsidP="003172B3">
      <w:pPr>
        <w:rPr>
          <w:sz w:val="28"/>
          <w:szCs w:val="28"/>
        </w:rPr>
      </w:pPr>
    </w:p>
    <w:p w:rsidR="003172B3" w:rsidRPr="008B6F11" w:rsidRDefault="003172B3" w:rsidP="003172B3">
      <w:pPr>
        <w:jc w:val="center"/>
        <w:rPr>
          <w:sz w:val="28"/>
          <w:szCs w:val="28"/>
          <w:lang w:val="en-GB"/>
        </w:rPr>
      </w:pPr>
      <w:r w:rsidRPr="008B6F11">
        <w:rPr>
          <w:sz w:val="28"/>
          <w:szCs w:val="28"/>
          <w:lang w:val="en-GB" w:eastAsia="en-GB"/>
        </w:rPr>
        <w:drawing>
          <wp:inline distT="0" distB="0" distL="0" distR="0" wp14:anchorId="6A874FB6">
            <wp:extent cx="3489960" cy="1821180"/>
            <wp:effectExtent l="0" t="0" r="0" b="762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2B3" w:rsidRPr="008B6F11" w:rsidRDefault="003172B3" w:rsidP="003172B3">
      <w:pPr>
        <w:jc w:val="center"/>
        <w:rPr>
          <w:sz w:val="28"/>
          <w:szCs w:val="28"/>
          <w:lang w:val="en-GB"/>
        </w:rPr>
      </w:pPr>
    </w:p>
    <w:p w:rsidR="003172B3" w:rsidRPr="008B6F11" w:rsidRDefault="003172B3" w:rsidP="003172B3">
      <w:pPr>
        <w:jc w:val="center"/>
        <w:rPr>
          <w:sz w:val="28"/>
          <w:szCs w:val="28"/>
          <w:lang w:val="en-GB"/>
        </w:rPr>
      </w:pPr>
    </w:p>
    <w:p w:rsidR="003172B3" w:rsidRPr="008B6F11" w:rsidRDefault="003172B3" w:rsidP="003172B3">
      <w:pPr>
        <w:jc w:val="center"/>
        <w:rPr>
          <w:sz w:val="28"/>
          <w:szCs w:val="28"/>
          <w:lang w:val="en-GB"/>
        </w:rPr>
      </w:pPr>
    </w:p>
    <w:p w:rsidR="003172B3" w:rsidRPr="008B6F11" w:rsidRDefault="003172B3" w:rsidP="003172B3">
      <w:pPr>
        <w:jc w:val="center"/>
        <w:rPr>
          <w:sz w:val="28"/>
          <w:szCs w:val="28"/>
          <w:lang w:val="en-GB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  <w:r w:rsidRPr="0026332D">
        <w:rPr>
          <w:b/>
          <w:bCs/>
          <w:sz w:val="18"/>
          <w:szCs w:val="28"/>
        </w:rPr>
        <w:t>Figure S2. Western blot of cell lysates prior to immunoprecipitation and used for the input</w:t>
      </w:r>
      <w:r w:rsidRPr="0026332D">
        <w:rPr>
          <w:sz w:val="18"/>
          <w:szCs w:val="28"/>
        </w:rPr>
        <w:t xml:space="preserve">. Cell lysates were prepared from </w:t>
      </w:r>
      <w:r w:rsidRPr="0026332D">
        <w:rPr>
          <w:sz w:val="18"/>
          <w:szCs w:val="28"/>
          <w:lang w:val="en-GB"/>
        </w:rPr>
        <w:t xml:space="preserve">HEK T-REx cells induced </w:t>
      </w:r>
      <w:r w:rsidRPr="0026332D">
        <w:rPr>
          <w:sz w:val="18"/>
          <w:szCs w:val="28"/>
        </w:rPr>
        <w:t xml:space="preserve"> (I) or Not-induced (NI) </w:t>
      </w:r>
      <w:r w:rsidRPr="0026332D">
        <w:rPr>
          <w:sz w:val="18"/>
          <w:szCs w:val="28"/>
          <w:lang w:val="en-GB"/>
        </w:rPr>
        <w:t xml:space="preserve">for 5 days to express tau P301L. </w:t>
      </w:r>
      <w:r w:rsidRPr="0026332D">
        <w:rPr>
          <w:sz w:val="18"/>
          <w:szCs w:val="28"/>
        </w:rPr>
        <w:t>Equal amount</w:t>
      </w:r>
      <w:r w:rsidR="00995675" w:rsidRPr="0026332D">
        <w:rPr>
          <w:sz w:val="18"/>
          <w:szCs w:val="28"/>
        </w:rPr>
        <w:t>s</w:t>
      </w:r>
      <w:r w:rsidRPr="0026332D">
        <w:rPr>
          <w:sz w:val="18"/>
          <w:szCs w:val="28"/>
        </w:rPr>
        <w:t xml:space="preserve"> of proteins (30µg) </w:t>
      </w:r>
      <w:r w:rsidR="00995675" w:rsidRPr="0026332D">
        <w:rPr>
          <w:sz w:val="18"/>
          <w:szCs w:val="28"/>
          <w:lang w:val="en-GB"/>
        </w:rPr>
        <w:t>were</w:t>
      </w:r>
      <w:r w:rsidRPr="0026332D">
        <w:rPr>
          <w:sz w:val="18"/>
          <w:szCs w:val="28"/>
          <w:lang w:val="en-GB"/>
        </w:rPr>
        <w:t xml:space="preserve"> </w:t>
      </w:r>
      <w:r w:rsidRPr="0026332D">
        <w:rPr>
          <w:sz w:val="18"/>
          <w:szCs w:val="28"/>
        </w:rPr>
        <w:t xml:space="preserve">loaded in each lane of </w:t>
      </w:r>
      <w:r w:rsidRPr="0026332D">
        <w:rPr>
          <w:sz w:val="18"/>
          <w:szCs w:val="28"/>
          <w:lang w:val="en-GB"/>
        </w:rPr>
        <w:t xml:space="preserve">gel </w:t>
      </w:r>
      <w:r w:rsidRPr="0026332D">
        <w:rPr>
          <w:sz w:val="18"/>
          <w:szCs w:val="28"/>
        </w:rPr>
        <w:t>and immunoblotted with</w:t>
      </w:r>
      <w:r w:rsidRPr="0026332D">
        <w:rPr>
          <w:b/>
          <w:bCs/>
          <w:sz w:val="18"/>
          <w:szCs w:val="28"/>
        </w:rPr>
        <w:t xml:space="preserve"> </w:t>
      </w:r>
      <w:r w:rsidRPr="0026332D">
        <w:rPr>
          <w:sz w:val="18"/>
          <w:szCs w:val="28"/>
        </w:rPr>
        <w:t>anti-tau antibody (DAKO) or anti-vinculin antibody.</w:t>
      </w: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p w:rsidR="003172B3" w:rsidRPr="0026332D" w:rsidRDefault="003172B3" w:rsidP="0026332D">
      <w:pPr>
        <w:spacing w:after="160" w:line="240" w:lineRule="auto"/>
        <w:rPr>
          <w:sz w:val="18"/>
          <w:szCs w:val="28"/>
          <w:lang w:val="en-GB"/>
        </w:rPr>
      </w:pPr>
      <w:r w:rsidRPr="0026332D">
        <w:rPr>
          <w:sz w:val="18"/>
          <w:szCs w:val="28"/>
          <w:lang w:val="en-GB"/>
        </w:rPr>
        <w:br w:type="page"/>
      </w: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  <w:r w:rsidRPr="0026332D">
        <w:rPr>
          <w:sz w:val="18"/>
          <w:szCs w:val="28"/>
          <w:lang w:val="en-GB" w:eastAsia="en-GB"/>
        </w:rPr>
        <w:drawing>
          <wp:inline distT="0" distB="0" distL="0" distR="0" wp14:anchorId="5901BA7A">
            <wp:extent cx="5580822" cy="2864703"/>
            <wp:effectExtent l="0" t="0" r="127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48" cy="2874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p w:rsidR="003172B3" w:rsidRPr="0026332D" w:rsidRDefault="003172B3" w:rsidP="0026332D">
      <w:pPr>
        <w:spacing w:line="240" w:lineRule="auto"/>
        <w:rPr>
          <w:sz w:val="18"/>
          <w:szCs w:val="28"/>
          <w:lang w:val="it-IT"/>
        </w:rPr>
      </w:pPr>
      <w:r w:rsidRPr="0026332D">
        <w:rPr>
          <w:b/>
          <w:bCs/>
          <w:sz w:val="18"/>
          <w:szCs w:val="28"/>
        </w:rPr>
        <w:t xml:space="preserve">Figure S3. Effect of Doxy on tau expression. </w:t>
      </w:r>
      <w:r w:rsidRPr="0026332D">
        <w:rPr>
          <w:sz w:val="18"/>
          <w:szCs w:val="28"/>
        </w:rPr>
        <w:t>Representative Western blot of (</w:t>
      </w:r>
      <w:r w:rsidRPr="0026332D">
        <w:rPr>
          <w:b/>
          <w:bCs/>
          <w:sz w:val="18"/>
          <w:szCs w:val="28"/>
        </w:rPr>
        <w:t>a</w:t>
      </w:r>
      <w:r w:rsidRPr="0026332D">
        <w:rPr>
          <w:sz w:val="18"/>
          <w:szCs w:val="28"/>
        </w:rPr>
        <w:t xml:space="preserve">) </w:t>
      </w:r>
      <w:r w:rsidRPr="0026332D">
        <w:rPr>
          <w:sz w:val="18"/>
          <w:szCs w:val="28"/>
          <w:lang w:val="en-GB"/>
        </w:rPr>
        <w:t xml:space="preserve">total tau and phosphorylated tau (P-Tau) in lysates of HEK T-REx cells induced or not-induced (NI) for </w:t>
      </w:r>
      <w:r w:rsidRPr="0026332D">
        <w:rPr>
          <w:sz w:val="18"/>
          <w:szCs w:val="28"/>
        </w:rPr>
        <w:t xml:space="preserve">5 days </w:t>
      </w:r>
      <w:r w:rsidRPr="0026332D">
        <w:rPr>
          <w:sz w:val="18"/>
          <w:szCs w:val="28"/>
          <w:lang w:val="en-GB"/>
        </w:rPr>
        <w:t>to express Tau</w:t>
      </w:r>
      <w:r w:rsidRPr="0026332D">
        <w:rPr>
          <w:sz w:val="18"/>
          <w:szCs w:val="28"/>
          <w:vertAlign w:val="subscript"/>
          <w:lang w:val="en-GB"/>
        </w:rPr>
        <w:t>P301L</w:t>
      </w:r>
      <w:r w:rsidRPr="0026332D">
        <w:rPr>
          <w:sz w:val="18"/>
          <w:szCs w:val="28"/>
          <w:lang w:val="en-GB"/>
        </w:rPr>
        <w:t>. Cell lysates of Induced cells (</w:t>
      </w:r>
      <w:r w:rsidRPr="0026332D">
        <w:rPr>
          <w:sz w:val="18"/>
          <w:szCs w:val="28"/>
        </w:rPr>
        <w:t xml:space="preserve">30 µg) were </w:t>
      </w:r>
      <w:r w:rsidRPr="0026332D">
        <w:rPr>
          <w:sz w:val="18"/>
          <w:szCs w:val="28"/>
          <w:lang w:val="en-GB"/>
        </w:rPr>
        <w:t xml:space="preserve">incubated for 2 h with </w:t>
      </w:r>
      <w:r w:rsidRPr="0026332D">
        <w:rPr>
          <w:sz w:val="18"/>
          <w:szCs w:val="28"/>
        </w:rPr>
        <w:t>50 μM Doxy (I+ DOXY)</w:t>
      </w:r>
      <w:r w:rsidRPr="0026332D">
        <w:rPr>
          <w:sz w:val="18"/>
          <w:szCs w:val="28"/>
          <w:lang w:val="en-GB"/>
        </w:rPr>
        <w:t xml:space="preserve"> or the </w:t>
      </w:r>
      <w:r w:rsidR="00B36113" w:rsidRPr="0026332D">
        <w:rPr>
          <w:sz w:val="18"/>
          <w:szCs w:val="28"/>
          <w:lang w:val="en-GB"/>
        </w:rPr>
        <w:t xml:space="preserve">same </w:t>
      </w:r>
      <w:r w:rsidRPr="0026332D">
        <w:rPr>
          <w:sz w:val="18"/>
          <w:szCs w:val="28"/>
          <w:lang w:val="en-GB"/>
        </w:rPr>
        <w:t>volume of 10 mM PBS, pH 7.4 (I)</w:t>
      </w:r>
      <w:r w:rsidRPr="0026332D">
        <w:rPr>
          <w:sz w:val="18"/>
          <w:szCs w:val="28"/>
        </w:rPr>
        <w:t>. Equal amount</w:t>
      </w:r>
      <w:r w:rsidR="00B36113" w:rsidRPr="0026332D">
        <w:rPr>
          <w:sz w:val="18"/>
          <w:szCs w:val="28"/>
        </w:rPr>
        <w:t>s</w:t>
      </w:r>
      <w:r w:rsidRPr="0026332D">
        <w:rPr>
          <w:sz w:val="18"/>
          <w:szCs w:val="28"/>
        </w:rPr>
        <w:t xml:space="preserve"> of proteins (30 µg) </w:t>
      </w:r>
      <w:r w:rsidRPr="0026332D">
        <w:rPr>
          <w:sz w:val="18"/>
          <w:szCs w:val="28"/>
          <w:lang w:val="en-GB"/>
        </w:rPr>
        <w:t xml:space="preserve">were </w:t>
      </w:r>
      <w:r w:rsidRPr="0026332D">
        <w:rPr>
          <w:sz w:val="18"/>
          <w:szCs w:val="28"/>
        </w:rPr>
        <w:t xml:space="preserve">loaded in each </w:t>
      </w:r>
      <w:r w:rsidRPr="0026332D">
        <w:rPr>
          <w:sz w:val="18"/>
          <w:szCs w:val="28"/>
          <w:lang w:val="en-GB"/>
        </w:rPr>
        <w:t xml:space="preserve">gel </w:t>
      </w:r>
      <w:r w:rsidRPr="0026332D">
        <w:rPr>
          <w:sz w:val="18"/>
          <w:szCs w:val="28"/>
        </w:rPr>
        <w:t xml:space="preserve">lane and immunoblotted with </w:t>
      </w:r>
      <w:r w:rsidRPr="0026332D">
        <w:rPr>
          <w:b/>
          <w:bCs/>
          <w:sz w:val="18"/>
          <w:szCs w:val="28"/>
        </w:rPr>
        <w:t xml:space="preserve">(a) </w:t>
      </w:r>
      <w:r w:rsidRPr="0026332D">
        <w:rPr>
          <w:sz w:val="18"/>
          <w:szCs w:val="28"/>
        </w:rPr>
        <w:t xml:space="preserve">anti-tau antibody (DAKO), anti P-tau </w:t>
      </w:r>
      <w:r w:rsidRPr="0026332D">
        <w:rPr>
          <w:sz w:val="18"/>
          <w:szCs w:val="28"/>
          <w:lang w:val="en-GB"/>
        </w:rPr>
        <w:t xml:space="preserve">(198-199-202-205) </w:t>
      </w:r>
      <w:r w:rsidRPr="0026332D">
        <w:rPr>
          <w:sz w:val="18"/>
          <w:szCs w:val="28"/>
        </w:rPr>
        <w:t xml:space="preserve">antibody or anti-vinculin antibody. </w:t>
      </w:r>
      <w:r w:rsidRPr="0026332D">
        <w:rPr>
          <w:b/>
          <w:bCs/>
          <w:sz w:val="18"/>
          <w:szCs w:val="28"/>
        </w:rPr>
        <w:t>(b</w:t>
      </w:r>
      <w:r w:rsidRPr="0026332D">
        <w:rPr>
          <w:sz w:val="18"/>
          <w:szCs w:val="28"/>
        </w:rPr>
        <w:t xml:space="preserve">) Total tau and </w:t>
      </w:r>
      <w:r w:rsidRPr="0026332D">
        <w:rPr>
          <w:b/>
          <w:bCs/>
          <w:sz w:val="18"/>
          <w:szCs w:val="28"/>
        </w:rPr>
        <w:t xml:space="preserve">(c) </w:t>
      </w:r>
      <w:r w:rsidRPr="0026332D">
        <w:rPr>
          <w:sz w:val="18"/>
          <w:szCs w:val="28"/>
        </w:rPr>
        <w:t>P-tau quantification expressed as the mean volume of the immunoreactive band/vinculin. Data are mean ± SD (N=3).</w:t>
      </w:r>
    </w:p>
    <w:p w:rsidR="003172B3" w:rsidRPr="0026332D" w:rsidRDefault="003172B3" w:rsidP="0026332D">
      <w:pPr>
        <w:spacing w:line="240" w:lineRule="auto"/>
        <w:rPr>
          <w:sz w:val="18"/>
          <w:szCs w:val="28"/>
          <w:lang w:val="en-GB"/>
        </w:rPr>
      </w:pPr>
    </w:p>
    <w:sectPr w:rsidR="003172B3" w:rsidRPr="0026332D" w:rsidSect="003172B3">
      <w:footerReference w:type="default" r:id="rId15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2B3" w:rsidRDefault="003172B3" w:rsidP="003172B3">
      <w:pPr>
        <w:spacing w:line="240" w:lineRule="auto"/>
      </w:pPr>
      <w:r>
        <w:separator/>
      </w:r>
    </w:p>
  </w:endnote>
  <w:endnote w:type="continuationSeparator" w:id="0">
    <w:p w:rsidR="003172B3" w:rsidRDefault="003172B3" w:rsidP="00317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155739"/>
      <w:docPartObj>
        <w:docPartGallery w:val="Page Numbers (Bottom of Page)"/>
        <w:docPartUnique/>
      </w:docPartObj>
    </w:sdtPr>
    <w:sdtEndPr/>
    <w:sdtContent>
      <w:p w:rsidR="003172B3" w:rsidRDefault="003172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113" w:rsidRPr="00B36113">
          <w:rPr>
            <w:lang w:val="it-IT"/>
          </w:rPr>
          <w:t>4</w:t>
        </w:r>
        <w:r>
          <w:fldChar w:fldCharType="end"/>
        </w:r>
      </w:p>
    </w:sdtContent>
  </w:sdt>
  <w:p w:rsidR="003172B3" w:rsidRDefault="003172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2B3" w:rsidRDefault="003172B3" w:rsidP="003172B3">
      <w:pPr>
        <w:spacing w:line="240" w:lineRule="auto"/>
      </w:pPr>
      <w:r>
        <w:separator/>
      </w:r>
    </w:p>
  </w:footnote>
  <w:footnote w:type="continuationSeparator" w:id="0">
    <w:p w:rsidR="003172B3" w:rsidRDefault="003172B3" w:rsidP="003172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B3"/>
    <w:rsid w:val="00246246"/>
    <w:rsid w:val="0026332D"/>
    <w:rsid w:val="002D31B2"/>
    <w:rsid w:val="003172B3"/>
    <w:rsid w:val="00332219"/>
    <w:rsid w:val="0033287A"/>
    <w:rsid w:val="00472C4B"/>
    <w:rsid w:val="006E5BE7"/>
    <w:rsid w:val="007E23FB"/>
    <w:rsid w:val="008B6F11"/>
    <w:rsid w:val="0099031C"/>
    <w:rsid w:val="00995675"/>
    <w:rsid w:val="009A43A2"/>
    <w:rsid w:val="00B36113"/>
    <w:rsid w:val="00B929DC"/>
    <w:rsid w:val="00F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41CC-4FEE-4061-B446-6CC624AB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72B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172B3"/>
  </w:style>
  <w:style w:type="paragraph" w:customStyle="1" w:styleId="MDPI13authornames">
    <w:name w:val="MDPI_1.3_authornames"/>
    <w:next w:val="Normale"/>
    <w:qFormat/>
    <w:rsid w:val="003172B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e"/>
    <w:next w:val="Normale"/>
    <w:qFormat/>
    <w:rsid w:val="003172B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172B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Collegamentoipertestuale">
    <w:name w:val="Hyperlink"/>
    <w:uiPriority w:val="99"/>
    <w:rsid w:val="003172B3"/>
    <w:rPr>
      <w:color w:val="0000FF"/>
      <w:u w:val="single"/>
    </w:rPr>
  </w:style>
  <w:style w:type="paragraph" w:customStyle="1" w:styleId="MDPI61Citation">
    <w:name w:val="MDPI_6.1_Citation"/>
    <w:qFormat/>
    <w:rsid w:val="003172B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3172B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3172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2B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3172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2B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43A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2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246"/>
    <w:rPr>
      <w:rFonts w:ascii="Segoe UI" w:eastAsia="SimSun" w:hAnsi="Segoe UI" w:cs="Segoe UI"/>
      <w:noProof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onica.barzago@marionegri.it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armina.natale@marionegri.it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uana.fioriti@marionegri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luisa.diomede@marionegri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lnaghi.luca@hsr.i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Diomede</dc:creator>
  <cp:keywords/>
  <dc:description/>
  <cp:lastModifiedBy>Luisa Diomede</cp:lastModifiedBy>
  <cp:revision>2</cp:revision>
  <cp:lastPrinted>2022-07-22T10:12:00Z</cp:lastPrinted>
  <dcterms:created xsi:type="dcterms:W3CDTF">2022-07-26T12:12:00Z</dcterms:created>
  <dcterms:modified xsi:type="dcterms:W3CDTF">2022-07-26T12:12:00Z</dcterms:modified>
</cp:coreProperties>
</file>