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28" w:rsidRPr="003B1AF1" w:rsidRDefault="00C66E28" w:rsidP="00C66E28">
      <w:pPr>
        <w:pStyle w:val="MDPI12title"/>
      </w:pPr>
      <w:r>
        <w:t>Low dose rate radiation induced secretion of TGF-β3 together with an activator in small extracellular vesicles modifies low dose hyper-radiosensitivity through ALK1 binding</w:t>
      </w:r>
    </w:p>
    <w:p w:rsidR="001C6605" w:rsidRPr="00C66E28" w:rsidRDefault="00C66E28" w:rsidP="00C66E28">
      <w:pPr>
        <w:pStyle w:val="MDPI21heading1"/>
        <w:rPr>
          <w:lang w:eastAsia="zh-CN"/>
        </w:rPr>
      </w:pPr>
      <w:bookmarkStart w:id="0" w:name="_GoBack"/>
      <w:bookmarkEnd w:id="0"/>
      <w:r w:rsidRPr="007F2582">
        <w:rPr>
          <w:lang w:eastAsia="zh-CN"/>
        </w:rPr>
        <w:t xml:space="preserve">1. </w:t>
      </w:r>
      <w:r>
        <w:rPr>
          <w:lang w:eastAsia="zh-CN"/>
        </w:rPr>
        <w:t>Supplementary figures</w:t>
      </w:r>
    </w:p>
    <w:p w:rsidR="001C6605" w:rsidRDefault="00EA1E55" w:rsidP="001C6605">
      <w:pPr>
        <w:pStyle w:val="MDPI52figure"/>
        <w:ind w:left="2608"/>
        <w:jc w:val="left"/>
        <w:rPr>
          <w:b/>
        </w:rPr>
      </w:pPr>
      <w:r>
        <w:rPr>
          <w:b/>
          <w:noProof/>
          <w:snapToGrid/>
          <w:lang w:val="nb-NO" w:eastAsia="nb-NO" w:bidi="ar-SA"/>
        </w:rPr>
        <w:drawing>
          <wp:inline distT="0" distB="0" distL="0" distR="0">
            <wp:extent cx="3666667" cy="2952381"/>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_s1_a.png"/>
                    <pic:cNvPicPr/>
                  </pic:nvPicPr>
                  <pic:blipFill>
                    <a:blip r:embed="rId5">
                      <a:extLst>
                        <a:ext uri="{28A0092B-C50C-407E-A947-70E740481C1C}">
                          <a14:useLocalDpi xmlns:a14="http://schemas.microsoft.com/office/drawing/2010/main" val="0"/>
                        </a:ext>
                      </a:extLst>
                    </a:blip>
                    <a:stretch>
                      <a:fillRect/>
                    </a:stretch>
                  </pic:blipFill>
                  <pic:spPr>
                    <a:xfrm>
                      <a:off x="0" y="0"/>
                      <a:ext cx="3666667" cy="2952381"/>
                    </a:xfrm>
                    <a:prstGeom prst="rect">
                      <a:avLst/>
                    </a:prstGeom>
                  </pic:spPr>
                </pic:pic>
              </a:graphicData>
            </a:graphic>
          </wp:inline>
        </w:drawing>
      </w:r>
    </w:p>
    <w:p w:rsidR="001C6605" w:rsidRDefault="001C6605" w:rsidP="001C6605">
      <w:pPr>
        <w:pStyle w:val="MDPI51figurecaption"/>
      </w:pPr>
      <w:r>
        <w:rPr>
          <w:b/>
        </w:rPr>
        <w:t>Figure S1.</w:t>
      </w:r>
      <w:r w:rsidR="00311BE3">
        <w:rPr>
          <w:b/>
        </w:rPr>
        <w:t xml:space="preserve"> </w:t>
      </w:r>
      <w:r w:rsidRPr="00311BE3">
        <w:rPr>
          <w:b/>
        </w:rPr>
        <w:t xml:space="preserve">List of the 100 proteins most frequently detected in extracellular exosomes </w:t>
      </w:r>
      <w:r>
        <w:rPr>
          <w:rStyle w:val="Fotnotereferanse"/>
        </w:rPr>
        <w:fldChar w:fldCharType="begin" w:fldLock="1"/>
      </w:r>
      <w:r w:rsidR="00311BE3">
        <w:instrText>ADDIN CSL_CITATION {"citationItems":[{"id":"ITEM-1","itemData":{"DOI":"10.1016/j.jmb.2015.09.019","abstract":"Exosomes are membranous vesicles that are released by a variety of cells into the extracellular microenvironment and are implicated in intercellular communication. As exosomes contain RNA, proteins and lipids, there is a significant interest in characterizing the molecular cargo of exosomes. Here, we describe ExoCarta (http://www.exocarta.org), a manually curated web-based compendium of exosomal proteins, RNAs and lipids. Since its inception, the database has been highly accessed (&gt;54,000 visitors from 135 countries). The current version of ExoCarta hosts 41,860 proteins, &gt;7,540 RNA and 1,116 lipid molecules from more than 286 exosomal studies annotated with ISEV minimal experimental requirements for definition of extracellular vesicles. Besides, ExoCarta features dynamic protein-protein interaction networks and biological pathways of exosomal proteins. Users can download most often identified exosomal proteins based on the number of studies. The downloaded files can further be imported directly into FunRich (http:// www.funrich.org) tool for additional functional enrichment and interaction network analysis.","author":[{"dropping-particle":"","family":"Keerthikumar","given":"Shivakumar","non-dropping-particle":"","parse-names":false,"suffix":""},{"dropping-particle":"","family":"Chisanga","given":"David","non-dropping-particle":"","parse-names":false,"suffix":""},{"dropping-particle":"","family":"Ariyaratne","given":"Dinuka","non-dropping-particle":"","parse-names":false,"suffix":""},{"dropping-particle":"","family":"Saffar","given":"Haidar","non-dropping-particle":"Al","parse-names":false,"suffix":""},{"dropping-particle":"","family":"Anand","given":"Sushma","non-dropping-particle":"","parse-names":false,"suffix":""},{"dropping-particle":"","family":"Zhao","given":"Kening","non-dropping-particle":"","parse-names":false,"suffix":""},{"dropping-particle":"","family":"Samuel","given":"Monisha","non-dropping-particle":"","parse-names":false,"suffix":""},{"dropping-particle":"","family":"Pathan","given":"Mohashin","non-dropping-particle":"","parse-names":false,"suffix":""},{"dropping-particle":"","family":"Jois","given":"Markandeya","non-dropping-particle":"","parse-names":false,"suffix":""},{"dropping-particle":"","family":"Chilamkurti","given":"Naveen","non-dropping-particle":"","parse-names":false,"suffix":""},{"dropping-particle":"","family":"Gangoda","given":"Lahiru","non-dropping-particle":"","parse-names":false,"suffix":""},{"dropping-particle":"","family":"Mathivanan","given":"Suresh","non-dropping-particle":"","parse-names":false,"suffix":""}],"container-title":"J Mol Biol","id":"ITEM-1","issue":"4","issued":{"date-parts":[["2017"]]},"page":"688-692","title":"ExoCarta: A web-based comendium of exosomal cargo","type":"article-journal","volume":"428"},"uris":["http://www.mendeley.com/documents/?uuid=8171b07f-948a-3adb-a011-cab53c287111"]}],"mendeley":{"formattedCitation":"&lt;sup&gt;[1]&lt;/sup&gt;","plainTextFormattedCitation":"[1]","previouslyFormattedCitation":"&lt;sup&gt;[1]&lt;/sup&gt;"},"properties":{"noteIndex":0},"schema":"https://github.com/citation-style-language/schema/raw/master/csl-citation.json"}</w:instrText>
      </w:r>
      <w:r>
        <w:rPr>
          <w:rStyle w:val="Fotnotereferanse"/>
        </w:rPr>
        <w:fldChar w:fldCharType="separate"/>
      </w:r>
      <w:r w:rsidR="00311BE3" w:rsidRPr="00311BE3">
        <w:rPr>
          <w:noProof/>
          <w:vertAlign w:val="superscript"/>
        </w:rPr>
        <w:t>[1]</w:t>
      </w:r>
      <w:r>
        <w:rPr>
          <w:rStyle w:val="Fotnotereferanse"/>
        </w:rPr>
        <w:fldChar w:fldCharType="end"/>
      </w:r>
      <w:r>
        <w:t>,</w:t>
      </w:r>
      <w:r w:rsidRPr="00DB79BE">
        <w:t xml:space="preserve"> and their detection in </w:t>
      </w:r>
      <w:r w:rsidR="0034241F">
        <w:t>two</w:t>
      </w:r>
      <w:r w:rsidRPr="00DB79BE">
        <w:t xml:space="preserve"> </w:t>
      </w:r>
      <w:r>
        <w:t>separate experiments (</w:t>
      </w:r>
      <w:r w:rsidR="0034241F">
        <w:t>each with</w:t>
      </w:r>
      <w:r>
        <w:t xml:space="preserve"> n=3 biological replicates)</w:t>
      </w:r>
      <w:r w:rsidRPr="00DB79BE">
        <w:t xml:space="preserve"> of exosomes from </w:t>
      </w:r>
      <w:r>
        <w:t xml:space="preserve">both </w:t>
      </w:r>
      <w:r w:rsidRPr="00DB79BE">
        <w:t xml:space="preserve">LDR </w:t>
      </w:r>
      <w:r>
        <w:t>irradiated</w:t>
      </w:r>
      <w:r w:rsidRPr="00DB79BE">
        <w:t xml:space="preserve"> and </w:t>
      </w:r>
      <w:r>
        <w:t>unirradiated</w:t>
      </w:r>
      <w:r w:rsidRPr="00DB79BE">
        <w:t xml:space="preserve"> T-47D cells:  </w:t>
      </w:r>
      <w:r w:rsidRPr="00DB79BE">
        <w:rPr>
          <w:rFonts w:ascii="Arial" w:hAnsi="Arial" w:cs="Arial"/>
          <w:color w:val="202124"/>
          <w:shd w:val="clear" w:color="auto" w:fill="FFFFFF"/>
        </w:rPr>
        <w:t>■</w:t>
      </w:r>
      <w:r w:rsidRPr="00DB79BE">
        <w:rPr>
          <w:rFonts w:cs="Arial"/>
          <w:color w:val="202124"/>
          <w:shd w:val="clear" w:color="auto" w:fill="FFFFFF"/>
        </w:rPr>
        <w:t xml:space="preserve"> – detected, </w:t>
      </w:r>
      <w:r w:rsidRPr="00DB79BE">
        <w:rPr>
          <w:rFonts w:cs="Arial"/>
          <w:bCs/>
          <w:color w:val="202124"/>
          <w:shd w:val="clear" w:color="auto" w:fill="FFFFFF"/>
        </w:rPr>
        <w:t>□ - not detected.</w:t>
      </w:r>
    </w:p>
    <w:p w:rsidR="001C6605" w:rsidRDefault="001C6605" w:rsidP="001C6605">
      <w:pPr>
        <w:pStyle w:val="MDPI52figure"/>
        <w:ind w:left="2608"/>
        <w:jc w:val="left"/>
        <w:rPr>
          <w:b/>
        </w:rPr>
      </w:pPr>
      <w:r>
        <w:rPr>
          <w:b/>
          <w:noProof/>
          <w:snapToGrid/>
          <w:lang w:val="nb-NO" w:eastAsia="nb-NO" w:bidi="ar-SA"/>
        </w:rPr>
        <w:drawing>
          <wp:inline distT="0" distB="0" distL="0" distR="0">
            <wp:extent cx="4323809" cy="2990476"/>
            <wp:effectExtent l="0" t="0" r="635" b="63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_s1_b.png"/>
                    <pic:cNvPicPr/>
                  </pic:nvPicPr>
                  <pic:blipFill>
                    <a:blip r:embed="rId6">
                      <a:extLst>
                        <a:ext uri="{28A0092B-C50C-407E-A947-70E740481C1C}">
                          <a14:useLocalDpi xmlns:a14="http://schemas.microsoft.com/office/drawing/2010/main" val="0"/>
                        </a:ext>
                      </a:extLst>
                    </a:blip>
                    <a:stretch>
                      <a:fillRect/>
                    </a:stretch>
                  </pic:blipFill>
                  <pic:spPr>
                    <a:xfrm>
                      <a:off x="0" y="0"/>
                      <a:ext cx="4323809" cy="2990476"/>
                    </a:xfrm>
                    <a:prstGeom prst="rect">
                      <a:avLst/>
                    </a:prstGeom>
                  </pic:spPr>
                </pic:pic>
              </a:graphicData>
            </a:graphic>
          </wp:inline>
        </w:drawing>
      </w:r>
    </w:p>
    <w:p w:rsidR="001C6605" w:rsidRDefault="001C6605" w:rsidP="001C6605">
      <w:pPr>
        <w:pStyle w:val="MDPI51figurecaption"/>
      </w:pPr>
      <w:r>
        <w:rPr>
          <w:b/>
        </w:rPr>
        <w:t>Figure S2.</w:t>
      </w:r>
      <w:r w:rsidR="00311BE3">
        <w:rPr>
          <w:b/>
        </w:rPr>
        <w:t xml:space="preserve"> </w:t>
      </w:r>
      <w:r w:rsidR="00311BE3" w:rsidRPr="00311BE3">
        <w:rPr>
          <w:b/>
        </w:rPr>
        <w:t>Transmission electron microscope (TEM) images of extracellular vesicles</w:t>
      </w:r>
      <w:r w:rsidR="00311BE3">
        <w:t xml:space="preserve"> isolated from LDR primed (</w:t>
      </w:r>
      <w:proofErr w:type="spellStart"/>
      <w:r w:rsidR="00311BE3">
        <w:t>a</w:t>
      </w:r>
      <w:proofErr w:type="gramStart"/>
      <w:r w:rsidR="00311BE3">
        <w:t>,b</w:t>
      </w:r>
      <w:proofErr w:type="spellEnd"/>
      <w:proofErr w:type="gramEnd"/>
      <w:r w:rsidR="00311BE3">
        <w:t>) and unirradiated (</w:t>
      </w:r>
      <w:proofErr w:type="spellStart"/>
      <w:r w:rsidR="00311BE3">
        <w:t>d,e</w:t>
      </w:r>
      <w:proofErr w:type="spellEnd"/>
      <w:r w:rsidR="00311BE3">
        <w:t xml:space="preserve">) T-47D cells. The </w:t>
      </w:r>
      <w:r w:rsidR="00311BE3">
        <w:lastRenderedPageBreak/>
        <w:t>shape and size of the isolated particles are consistent with that of extracellular exosomes.</w:t>
      </w:r>
    </w:p>
    <w:p w:rsidR="00484527" w:rsidRDefault="00484527" w:rsidP="00311BE3">
      <w:pPr>
        <w:rPr>
          <w:rFonts w:ascii="Palatino Linotype" w:hAnsi="Palatino Linotype"/>
          <w:sz w:val="18"/>
          <w:szCs w:val="18"/>
          <w:lang w:val="en-US"/>
        </w:rPr>
      </w:pPr>
    </w:p>
    <w:p w:rsidR="0026743E" w:rsidRDefault="007F1487" w:rsidP="0026743E">
      <w:pPr>
        <w:pStyle w:val="MDPI51figurecaption"/>
        <w:rPr>
          <w:b/>
        </w:rPr>
      </w:pPr>
      <w:r>
        <w:rPr>
          <w:b/>
          <w:noProof/>
          <w:lang w:val="nb-NO" w:eastAsia="nb-NO" w:bidi="ar-SA"/>
        </w:rPr>
        <w:drawing>
          <wp:inline distT="0" distB="0" distL="0" distR="0">
            <wp:extent cx="3190476" cy="3533333"/>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if_s5_a.png"/>
                    <pic:cNvPicPr/>
                  </pic:nvPicPr>
                  <pic:blipFill>
                    <a:blip r:embed="rId7">
                      <a:extLst>
                        <a:ext uri="{28A0092B-C50C-407E-A947-70E740481C1C}">
                          <a14:useLocalDpi xmlns:a14="http://schemas.microsoft.com/office/drawing/2010/main" val="0"/>
                        </a:ext>
                      </a:extLst>
                    </a:blip>
                    <a:stretch>
                      <a:fillRect/>
                    </a:stretch>
                  </pic:blipFill>
                  <pic:spPr>
                    <a:xfrm>
                      <a:off x="0" y="0"/>
                      <a:ext cx="3190476" cy="3533333"/>
                    </a:xfrm>
                    <a:prstGeom prst="rect">
                      <a:avLst/>
                    </a:prstGeom>
                  </pic:spPr>
                </pic:pic>
              </a:graphicData>
            </a:graphic>
          </wp:inline>
        </w:drawing>
      </w:r>
    </w:p>
    <w:p w:rsidR="00BA2CEC" w:rsidRDefault="0005013B" w:rsidP="00BA2CEC">
      <w:pPr>
        <w:pStyle w:val="MDPI51figurecaption"/>
        <w:rPr>
          <w:i/>
          <w:color w:val="000000" w:themeColor="text1"/>
        </w:rPr>
      </w:pPr>
      <w:r>
        <w:rPr>
          <w:b/>
        </w:rPr>
        <w:t>Figure S3</w:t>
      </w:r>
      <w:r w:rsidR="0026743E">
        <w:rPr>
          <w:b/>
        </w:rPr>
        <w:t xml:space="preserve">. Survival of T-47D cells after pretreatment with control cell conditioned medium (CCCM) and recombinant matrix metalloproteinase 14 (MMP14). </w:t>
      </w:r>
      <w:r w:rsidR="0026743E">
        <w:t xml:space="preserve">Pre-treatment with MMP14 did not lead to a change in radioresistance after 0.1 Gy consistent with removal of HRS, and the surviving fraction was lower than that of LDR primed cells and those pretreated with ICCM. Surviving fraction </w:t>
      </w:r>
      <w:r w:rsidR="0026743E" w:rsidRPr="005B29D8">
        <w:t>is given as error-weighted average of three separate experiments, each with four biological replicates. Error</w:t>
      </w:r>
      <w:r w:rsidR="0026743E">
        <w:t xml:space="preserve"> bars: SEM</w:t>
      </w:r>
      <w:r w:rsidR="0026743E" w:rsidRPr="005B29D8">
        <w:t>. Statistical analysis: student’s t-test. *p&lt;0.05</w:t>
      </w:r>
      <w:r w:rsidR="0026743E">
        <w:t>.</w:t>
      </w:r>
      <w:r w:rsidR="00BA2CEC">
        <w:t xml:space="preserve"> </w:t>
      </w:r>
      <w:r w:rsidR="00BA2CEC" w:rsidRPr="00FF12DD">
        <w:rPr>
          <w:rFonts w:cstheme="minorHAnsi"/>
          <w:color w:val="202124"/>
          <w:shd w:val="clear" w:color="auto" w:fill="FFFFFF"/>
        </w:rPr>
        <w:t xml:space="preserve">Note that the surviving fractions </w:t>
      </w:r>
      <w:proofErr w:type="gramStart"/>
      <w:r w:rsidR="00BA2CEC" w:rsidRPr="00FF12DD">
        <w:rPr>
          <w:rFonts w:cstheme="minorHAnsi"/>
          <w:color w:val="202124"/>
          <w:shd w:val="clear" w:color="auto" w:fill="FFFFFF"/>
        </w:rPr>
        <w:t>were calculated</w:t>
      </w:r>
      <w:proofErr w:type="gramEnd"/>
      <w:r w:rsidR="00BA2CEC" w:rsidRPr="00FF12DD">
        <w:rPr>
          <w:rFonts w:cstheme="minorHAnsi"/>
          <w:color w:val="202124"/>
          <w:shd w:val="clear" w:color="auto" w:fill="FFFFFF"/>
        </w:rPr>
        <w:t xml:space="preserve"> relative to the plating efficiency of control cells, which were also exposed to the pretreatments.</w:t>
      </w:r>
    </w:p>
    <w:p w:rsidR="0026743E" w:rsidRDefault="0026743E" w:rsidP="0026743E">
      <w:pPr>
        <w:pStyle w:val="MDPI51figurecaption"/>
      </w:pPr>
    </w:p>
    <w:p w:rsidR="0005013B" w:rsidRDefault="0005013B" w:rsidP="0005013B">
      <w:pPr>
        <w:pStyle w:val="MDPI52figure"/>
        <w:ind w:left="2608"/>
        <w:jc w:val="left"/>
        <w:rPr>
          <w:b/>
        </w:rPr>
      </w:pPr>
      <w:r>
        <w:rPr>
          <w:b/>
          <w:noProof/>
          <w:snapToGrid/>
          <w:lang w:val="nb-NO" w:eastAsia="nb-NO" w:bidi="ar-SA"/>
        </w:rPr>
        <w:lastRenderedPageBreak/>
        <w:drawing>
          <wp:inline distT="0" distB="0" distL="0" distR="0" wp14:anchorId="144F5A06" wp14:editId="433D4776">
            <wp:extent cx="3238095" cy="4771429"/>
            <wp:effectExtent l="0" t="0" r="63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_s4.png"/>
                    <pic:cNvPicPr/>
                  </pic:nvPicPr>
                  <pic:blipFill>
                    <a:blip r:embed="rId8">
                      <a:extLst>
                        <a:ext uri="{28A0092B-C50C-407E-A947-70E740481C1C}">
                          <a14:useLocalDpi xmlns:a14="http://schemas.microsoft.com/office/drawing/2010/main" val="0"/>
                        </a:ext>
                      </a:extLst>
                    </a:blip>
                    <a:stretch>
                      <a:fillRect/>
                    </a:stretch>
                  </pic:blipFill>
                  <pic:spPr>
                    <a:xfrm>
                      <a:off x="0" y="0"/>
                      <a:ext cx="3238095" cy="4771429"/>
                    </a:xfrm>
                    <a:prstGeom prst="rect">
                      <a:avLst/>
                    </a:prstGeom>
                  </pic:spPr>
                </pic:pic>
              </a:graphicData>
            </a:graphic>
          </wp:inline>
        </w:drawing>
      </w:r>
    </w:p>
    <w:p w:rsidR="0005013B" w:rsidRPr="0026743E" w:rsidRDefault="0005013B" w:rsidP="0005013B">
      <w:pPr>
        <w:pStyle w:val="MDPI51figurecaption"/>
        <w:rPr>
          <w:rFonts w:cstheme="minorHAnsi"/>
          <w:color w:val="202124"/>
          <w:shd w:val="clear" w:color="auto" w:fill="FFFFFF"/>
        </w:rPr>
      </w:pPr>
      <w:r>
        <w:rPr>
          <w:b/>
        </w:rPr>
        <w:t xml:space="preserve">Figure S4. Survival of T-47D cells after pretreatment with Peptidyl-prolyl cis-trans isomerase FKBP4 (FKBP4). </w:t>
      </w:r>
      <w:r>
        <w:t>Addition of 0.01 ng/mL (</w:t>
      </w:r>
      <w:r w:rsidRPr="00F04CDC">
        <w:rPr>
          <w:rFonts w:cstheme="minorHAnsi"/>
          <w:color w:val="202124"/>
          <w:shd w:val="clear" w:color="auto" w:fill="FFFFFF"/>
        </w:rPr>
        <w:t>●</w:t>
      </w:r>
      <w:r>
        <w:t xml:space="preserve">) or 0.1 ng/mL </w:t>
      </w:r>
      <w:r w:rsidRPr="00F04CDC">
        <w:t>(</w:t>
      </w:r>
      <w:r w:rsidRPr="00593C6B">
        <w:rPr>
          <w:rFonts w:ascii="Arial" w:hAnsi="Arial" w:cs="Arial"/>
          <w:color w:val="202124"/>
          <w:shd w:val="clear" w:color="auto" w:fill="FFFFFF"/>
        </w:rPr>
        <w:t>■</w:t>
      </w:r>
      <w:r w:rsidRPr="00F04CDC">
        <w:t>)</w:t>
      </w:r>
      <w:r>
        <w:t xml:space="preserve"> recombinant FKBP4 to the medium of T-47D cells 48 hours before challenge γ-irradiation did not remove HRS from the cells. IR model= induced repair model-fit for untreated T-47D cells. Error bars represent SEM of three separate experiments, each with five biological replicates. </w:t>
      </w:r>
      <w:r w:rsidRPr="00FF12DD">
        <w:rPr>
          <w:rFonts w:cstheme="minorHAnsi"/>
          <w:color w:val="202124"/>
          <w:shd w:val="clear" w:color="auto" w:fill="FFFFFF"/>
        </w:rPr>
        <w:t xml:space="preserve">Note that the surviving fractions </w:t>
      </w:r>
      <w:proofErr w:type="gramStart"/>
      <w:r w:rsidRPr="00FF12DD">
        <w:rPr>
          <w:rFonts w:cstheme="minorHAnsi"/>
          <w:color w:val="202124"/>
          <w:shd w:val="clear" w:color="auto" w:fill="FFFFFF"/>
        </w:rPr>
        <w:t>were calculated</w:t>
      </w:r>
      <w:proofErr w:type="gramEnd"/>
      <w:r w:rsidRPr="00FF12DD">
        <w:rPr>
          <w:rFonts w:cstheme="minorHAnsi"/>
          <w:color w:val="202124"/>
          <w:shd w:val="clear" w:color="auto" w:fill="FFFFFF"/>
        </w:rPr>
        <w:t xml:space="preserve"> relative to the plating efficiency of control cells, which were also exposed to the pretreatments.</w:t>
      </w:r>
    </w:p>
    <w:p w:rsidR="0026743E" w:rsidRPr="00484527" w:rsidRDefault="0026743E" w:rsidP="00484527">
      <w:pPr>
        <w:pStyle w:val="MDPI51figurecaption"/>
      </w:pPr>
    </w:p>
    <w:p w:rsidR="00311BE3" w:rsidRPr="00484527" w:rsidRDefault="00311BE3" w:rsidP="00311BE3">
      <w:pPr>
        <w:widowControl w:val="0"/>
        <w:autoSpaceDE w:val="0"/>
        <w:autoSpaceDN w:val="0"/>
        <w:adjustRightInd w:val="0"/>
        <w:spacing w:before="120" w:after="240" w:line="240" w:lineRule="auto"/>
        <w:ind w:left="640" w:hanging="640"/>
        <w:rPr>
          <w:rFonts w:ascii="Palatino Linotype" w:hAnsi="Palatino Linotype" w:cs="Times New Roman"/>
          <w:noProof/>
          <w:sz w:val="18"/>
          <w:szCs w:val="24"/>
          <w:lang w:val="en-US"/>
        </w:rPr>
      </w:pPr>
      <w:r>
        <w:fldChar w:fldCharType="begin" w:fldLock="1"/>
      </w:r>
      <w:r w:rsidRPr="00484527">
        <w:rPr>
          <w:lang w:val="en-US"/>
        </w:rPr>
        <w:instrText xml:space="preserve">ADDIN Mendeley Bibliography CSL_BIBLIOGRAPHY </w:instrText>
      </w:r>
      <w:r>
        <w:fldChar w:fldCharType="separate"/>
      </w:r>
      <w:r w:rsidRPr="00484527">
        <w:rPr>
          <w:rFonts w:ascii="Palatino Linotype" w:hAnsi="Palatino Linotype" w:cs="Times New Roman"/>
          <w:noProof/>
          <w:sz w:val="18"/>
          <w:szCs w:val="24"/>
          <w:lang w:val="en-US"/>
        </w:rPr>
        <w:t>[1]</w:t>
      </w:r>
      <w:r w:rsidRPr="00484527">
        <w:rPr>
          <w:rFonts w:ascii="Palatino Linotype" w:hAnsi="Palatino Linotype" w:cs="Times New Roman"/>
          <w:noProof/>
          <w:sz w:val="18"/>
          <w:szCs w:val="24"/>
          <w:lang w:val="en-US"/>
        </w:rPr>
        <w:tab/>
        <w:t xml:space="preserve">Keerthikumar, S.; Chisanga, D.; Ariyaratne, D.; Al Saffar, H.; Anand, S.; Zhao, K.; Samuel, M.; Pathan, M.; Jois, M.; Chilamkurti, N.; et al. ExoCarta: A Web-Based Comendium of Exosomal Cargo. </w:t>
      </w:r>
      <w:r w:rsidRPr="00484527">
        <w:rPr>
          <w:rFonts w:ascii="Palatino Linotype" w:hAnsi="Palatino Linotype" w:cs="Times New Roman"/>
          <w:i/>
          <w:iCs/>
          <w:noProof/>
          <w:sz w:val="18"/>
          <w:szCs w:val="24"/>
          <w:lang w:val="en-US"/>
        </w:rPr>
        <w:t>J Mol Biol</w:t>
      </w:r>
      <w:r w:rsidRPr="00484527">
        <w:rPr>
          <w:rFonts w:ascii="Palatino Linotype" w:hAnsi="Palatino Linotype" w:cs="Times New Roman"/>
          <w:noProof/>
          <w:sz w:val="18"/>
          <w:szCs w:val="24"/>
          <w:lang w:val="en-US"/>
        </w:rPr>
        <w:t xml:space="preserve">, </w:t>
      </w:r>
      <w:r w:rsidRPr="00484527">
        <w:rPr>
          <w:rFonts w:ascii="Palatino Linotype" w:hAnsi="Palatino Linotype" w:cs="Times New Roman"/>
          <w:b/>
          <w:bCs/>
          <w:noProof/>
          <w:sz w:val="18"/>
          <w:szCs w:val="24"/>
          <w:lang w:val="en-US"/>
        </w:rPr>
        <w:t>2017</w:t>
      </w:r>
      <w:r w:rsidRPr="00484527">
        <w:rPr>
          <w:rFonts w:ascii="Palatino Linotype" w:hAnsi="Palatino Linotype" w:cs="Times New Roman"/>
          <w:noProof/>
          <w:sz w:val="18"/>
          <w:szCs w:val="24"/>
          <w:lang w:val="en-US"/>
        </w:rPr>
        <w:t xml:space="preserve">, </w:t>
      </w:r>
      <w:r w:rsidRPr="00484527">
        <w:rPr>
          <w:rFonts w:ascii="Palatino Linotype" w:hAnsi="Palatino Linotype" w:cs="Times New Roman"/>
          <w:i/>
          <w:iCs/>
          <w:noProof/>
          <w:sz w:val="18"/>
          <w:szCs w:val="24"/>
          <w:lang w:val="en-US"/>
        </w:rPr>
        <w:t>428</w:t>
      </w:r>
      <w:r w:rsidRPr="00484527">
        <w:rPr>
          <w:rFonts w:ascii="Palatino Linotype" w:hAnsi="Palatino Linotype" w:cs="Times New Roman"/>
          <w:noProof/>
          <w:sz w:val="18"/>
          <w:szCs w:val="24"/>
          <w:lang w:val="en-US"/>
        </w:rPr>
        <w:t xml:space="preserve"> (4), 688–692. https://doi.org/10.1016/j.jmb.2015.09.019.</w:t>
      </w:r>
    </w:p>
    <w:p w:rsidR="001C6605" w:rsidRPr="00484527" w:rsidRDefault="00311BE3" w:rsidP="00484527">
      <w:pPr>
        <w:pStyle w:val="MDPI51figurecaption"/>
        <w:ind w:left="0"/>
      </w:pPr>
      <w:r>
        <w:fldChar w:fldCharType="end"/>
      </w:r>
    </w:p>
    <w:sectPr w:rsidR="001C6605" w:rsidRPr="00484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05"/>
    <w:rsid w:val="0005013B"/>
    <w:rsid w:val="001C6605"/>
    <w:rsid w:val="0026743E"/>
    <w:rsid w:val="00311BE3"/>
    <w:rsid w:val="0034241F"/>
    <w:rsid w:val="00484527"/>
    <w:rsid w:val="00564D70"/>
    <w:rsid w:val="00593996"/>
    <w:rsid w:val="006E66AC"/>
    <w:rsid w:val="007F1487"/>
    <w:rsid w:val="008D2ADC"/>
    <w:rsid w:val="00B27315"/>
    <w:rsid w:val="00BA2CEC"/>
    <w:rsid w:val="00C66E28"/>
    <w:rsid w:val="00DF3E94"/>
    <w:rsid w:val="00EA1E55"/>
    <w:rsid w:val="00FE2F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60C3"/>
  <w15:chartTrackingRefBased/>
  <w15:docId w15:val="{C4F6AD56-DE5B-4E12-A3D0-78EC2DB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DPI31text">
    <w:name w:val="MDPI_3.1_text"/>
    <w:qFormat/>
    <w:rsid w:val="001C660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1C6605"/>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1C660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1C6605"/>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1C6605"/>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1C6605"/>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character" w:styleId="Fotnotereferanse">
    <w:name w:val="footnote reference"/>
    <w:basedOn w:val="Standardskriftforavsnitt"/>
    <w:uiPriority w:val="99"/>
    <w:semiHidden/>
    <w:unhideWhenUsed/>
    <w:rsid w:val="001C6605"/>
    <w:rPr>
      <w:vertAlign w:val="superscript"/>
    </w:rPr>
  </w:style>
  <w:style w:type="paragraph" w:customStyle="1" w:styleId="MDPI12title">
    <w:name w:val="MDPI_1.2_title"/>
    <w:next w:val="Normal"/>
    <w:qFormat/>
    <w:rsid w:val="00C66E28"/>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C66E28"/>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21heading1">
    <w:name w:val="MDPI_2.1_heading1"/>
    <w:qFormat/>
    <w:rsid w:val="00C66E2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AAA56-11FB-440D-B229-EE809240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889</Words>
  <Characters>4712</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Universitetet i Oslo</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Hanson</dc:creator>
  <cp:keywords/>
  <dc:description/>
  <cp:lastModifiedBy>Ingunn Hanson</cp:lastModifiedBy>
  <cp:revision>6</cp:revision>
  <dcterms:created xsi:type="dcterms:W3CDTF">2022-05-30T08:42:00Z</dcterms:created>
  <dcterms:modified xsi:type="dcterms:W3CDTF">2022-06-23T12:41:00Z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http://www.zotero.org/styles/taylor-and-francis-acs</vt:lpwstr>
  </property>
  <property fmtid="{D5CDD505-2E9C-101B-9397-08002B2CF9AE}" pid="19" name="Mendeley Recent Style Name 8_1">
    <vt:lpwstr>Taylor &amp; Francis - American Chemical Society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3005efa7-d467-3737-a576-9412726219d9</vt:lpwstr>
  </property>
  <property fmtid="{D5CDD505-2E9C-101B-9397-08002B2CF9AE}" pid="24" name="Mendeley Citation Style_1">
    <vt:lpwstr>http://www.zotero.org/styles/taylor-and-francis-acs</vt:lpwstr>
  </property>
</Properties>
</file>