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62D" w:rsidRDefault="0004162D" w:rsidP="0004162D">
      <w:pPr>
        <w:pStyle w:val="01Title"/>
      </w:pPr>
      <w:r>
        <w:t>Flexible multiplane structured illumination microscope with a four-camera detector: Supplementary information</w:t>
      </w:r>
    </w:p>
    <w:p w:rsidR="0004162D" w:rsidRPr="00625254" w:rsidRDefault="0004162D" w:rsidP="0004162D">
      <w:pPr>
        <w:pStyle w:val="02Author-Optica"/>
        <w:rPr>
          <w:color w:val="auto"/>
          <w:vertAlign w:val="superscript"/>
        </w:rPr>
      </w:pPr>
      <w:r w:rsidRPr="00625254">
        <w:rPr>
          <w:color w:val="auto"/>
        </w:rPr>
        <w:t>Karl A. Johnson, Daniel Noble, Rosa Machado, and Guy M. Hagen</w:t>
      </w:r>
      <w:r w:rsidRPr="00625254">
        <w:rPr>
          <w:color w:val="auto"/>
          <w:vertAlign w:val="superscript"/>
        </w:rPr>
        <w:t>*</w:t>
      </w:r>
    </w:p>
    <w:p w:rsidR="0004162D" w:rsidRPr="00C2191B" w:rsidRDefault="0004162D" w:rsidP="0004162D">
      <w:pPr>
        <w:pStyle w:val="03AuthorAffiliation"/>
      </w:pPr>
      <w:r w:rsidRPr="00C2191B">
        <w:t xml:space="preserve">UCCS BioFrontiers Center, University of Colorado </w:t>
      </w:r>
      <w:proofErr w:type="spellStart"/>
      <w:r w:rsidRPr="00C2191B">
        <w:t>Colorado</w:t>
      </w:r>
      <w:proofErr w:type="spellEnd"/>
      <w:r w:rsidRPr="00C2191B">
        <w:t xml:space="preserve"> Springs, 1420 Austin Bluffs Parkway, Colorado Springs, Colorado 80919, USA</w:t>
      </w:r>
    </w:p>
    <w:p w:rsidR="0004162D" w:rsidRDefault="0004162D" w:rsidP="0004162D">
      <w:pPr>
        <w:pStyle w:val="03AuthorAffiliation"/>
        <w:rPr>
          <w:rStyle w:val="Hyperlink"/>
        </w:rPr>
      </w:pPr>
      <w:hyperlink r:id="rId5" w:history="1">
        <w:r w:rsidRPr="00C2191B">
          <w:rPr>
            <w:rStyle w:val="Hyperlink"/>
          </w:rPr>
          <w:t>*ghagen@uccs.edu</w:t>
        </w:r>
      </w:hyperlink>
    </w:p>
    <w:p w:rsidR="0004162D" w:rsidRPr="000C1A2D" w:rsidRDefault="0004162D" w:rsidP="0004162D">
      <w:pPr>
        <w:pStyle w:val="04Email"/>
      </w:pPr>
    </w:p>
    <w:p w:rsidR="0004162D" w:rsidRPr="00FB653C" w:rsidRDefault="0004162D" w:rsidP="0004162D">
      <w:pPr>
        <w:pStyle w:val="08SectionHeader1"/>
        <w:rPr>
          <w:rFonts w:eastAsia="Times New Roman"/>
        </w:rPr>
      </w:pPr>
      <w:r w:rsidRPr="00FB653C">
        <w:rPr>
          <w:rFonts w:eastAsia="Times New Roman"/>
        </w:rPr>
        <w:t xml:space="preserve">1. Performance comparison between </w:t>
      </w:r>
      <w:proofErr w:type="spellStart"/>
      <w:r w:rsidRPr="00FB653C">
        <w:rPr>
          <w:rFonts w:eastAsia="Times New Roman"/>
        </w:rPr>
        <w:t>Flir</w:t>
      </w:r>
      <w:proofErr w:type="spellEnd"/>
      <w:r w:rsidRPr="00FB653C">
        <w:rPr>
          <w:rFonts w:eastAsia="Times New Roman"/>
        </w:rPr>
        <w:t xml:space="preserve"> </w:t>
      </w:r>
      <w:proofErr w:type="spellStart"/>
      <w:r w:rsidRPr="00FB653C">
        <w:rPr>
          <w:rFonts w:eastAsia="Times New Roman"/>
        </w:rPr>
        <w:t>Backfly</w:t>
      </w:r>
      <w:proofErr w:type="spellEnd"/>
      <w:r w:rsidRPr="00FB653C">
        <w:rPr>
          <w:rFonts w:eastAsia="Times New Roman"/>
        </w:rPr>
        <w:t xml:space="preserve"> S </w:t>
      </w:r>
      <w:proofErr w:type="spellStart"/>
      <w:r w:rsidRPr="00FB653C">
        <w:rPr>
          <w:rFonts w:eastAsia="Times New Roman"/>
        </w:rPr>
        <w:t>3154M</w:t>
      </w:r>
      <w:proofErr w:type="spellEnd"/>
      <w:r w:rsidRPr="00FB653C">
        <w:rPr>
          <w:rFonts w:eastAsia="Times New Roman"/>
        </w:rPr>
        <w:t xml:space="preserve"> and Andor Zyla 4.2+</w:t>
      </w:r>
    </w:p>
    <w:p w:rsidR="0004162D" w:rsidRPr="00FB653C" w:rsidRDefault="0004162D" w:rsidP="0004162D">
      <w:pPr>
        <w:pStyle w:val="09BodyFirstParagraph"/>
        <w:rPr>
          <w:rFonts w:eastAsia="Times New Roman"/>
        </w:rPr>
      </w:pPr>
      <w:r w:rsidRPr="00FB653C">
        <w:rPr>
          <w:rFonts w:eastAsia="Times New Roman"/>
        </w:rPr>
        <w:t xml:space="preserve">To compare the noise performance of the </w:t>
      </w:r>
      <w:proofErr w:type="spellStart"/>
      <w:r w:rsidRPr="00FB653C">
        <w:rPr>
          <w:rFonts w:eastAsia="Times New Roman"/>
        </w:rPr>
        <w:t>FLIR</w:t>
      </w:r>
      <w:proofErr w:type="spellEnd"/>
      <w:r w:rsidRPr="00FB653C">
        <w:rPr>
          <w:rFonts w:eastAsia="Times New Roman"/>
        </w:rPr>
        <w:t xml:space="preserve"> industrial cameras used in the 4-camera splitter configuration with the Andor Zyla 4.2+, images of an Argo-SIM calibration slide (</w:t>
      </w:r>
      <w:proofErr w:type="spellStart"/>
      <w:r w:rsidRPr="00FB653C">
        <w:rPr>
          <w:rFonts w:eastAsia="Times New Roman"/>
        </w:rPr>
        <w:t>Argolight</w:t>
      </w:r>
      <w:proofErr w:type="spellEnd"/>
      <w:r w:rsidRPr="00FB653C">
        <w:rPr>
          <w:rFonts w:eastAsia="Times New Roman"/>
        </w:rPr>
        <w:t xml:space="preserve">, Pessac, France) were acquired with varying exposure times using each detector configuration. Additionally, to evaluate the impact of the 4-way image splitter, the same experiment was performed with a single </w:t>
      </w:r>
      <w:proofErr w:type="spellStart"/>
      <w:r w:rsidRPr="00FB653C">
        <w:rPr>
          <w:rFonts w:eastAsia="Times New Roman"/>
        </w:rPr>
        <w:t>FLIR</w:t>
      </w:r>
      <w:proofErr w:type="spellEnd"/>
      <w:r w:rsidRPr="00FB653C">
        <w:rPr>
          <w:rFonts w:eastAsia="Times New Roman"/>
        </w:rPr>
        <w:t xml:space="preserve"> camera mounted directly on the microscope. To compare the signal-to-noise ratio (SNR) of a common feature across different cameras, the average intensity of the 8</w:t>
      </w:r>
      <w:r w:rsidRPr="00FB653C">
        <w:rPr>
          <w:rFonts w:eastAsia="Times New Roman"/>
          <w:vertAlign w:val="superscript"/>
        </w:rPr>
        <w:t>th</w:t>
      </w:r>
      <w:r w:rsidRPr="00FB653C">
        <w:rPr>
          <w:rFonts w:eastAsia="Times New Roman"/>
        </w:rPr>
        <w:t xml:space="preserve"> brightest line in the intensity gradient pattern was measured and normalized to the standard deviation of the noise level at that exposure time. Ten images were captured at each exposure time for each camera setup. The results are summarized in Figure </w:t>
      </w:r>
      <w:proofErr w:type="spellStart"/>
      <w:r w:rsidRPr="00FB653C">
        <w:rPr>
          <w:rFonts w:eastAsia="Times New Roman"/>
        </w:rPr>
        <w:t>S1</w:t>
      </w:r>
      <w:proofErr w:type="spellEnd"/>
      <w:r w:rsidRPr="00FB653C">
        <w:rPr>
          <w:rFonts w:eastAsia="Times New Roman"/>
        </w:rPr>
        <w:t>.</w:t>
      </w:r>
    </w:p>
    <w:p w:rsidR="0004162D" w:rsidRPr="00FB653C" w:rsidRDefault="0004162D" w:rsidP="0004162D">
      <w:pPr>
        <w:spacing w:line="240" w:lineRule="auto"/>
        <w:jc w:val="both"/>
        <w:rPr>
          <w:rFonts w:ascii="Times New Roman" w:eastAsia="Times New Roman" w:hAnsi="Times New Roman" w:cs="Times New Roman"/>
          <w:sz w:val="20"/>
          <w:szCs w:val="20"/>
        </w:rPr>
      </w:pPr>
      <w:r w:rsidRPr="00FB653C">
        <w:rPr>
          <w:rFonts w:ascii="Times New Roman" w:eastAsia="Times New Roman" w:hAnsi="Times New Roman" w:cs="Times New Roman"/>
          <w:noProof/>
          <w:sz w:val="20"/>
          <w:szCs w:val="20"/>
        </w:rPr>
        <w:drawing>
          <wp:inline distT="0" distB="0" distL="0" distR="0" wp14:anchorId="4DC6697D" wp14:editId="4FC9BC6C">
            <wp:extent cx="4933950" cy="2694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Rfigur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36518" cy="2696097"/>
                    </a:xfrm>
                    <a:prstGeom prst="rect">
                      <a:avLst/>
                    </a:prstGeom>
                  </pic:spPr>
                </pic:pic>
              </a:graphicData>
            </a:graphic>
          </wp:inline>
        </w:drawing>
      </w:r>
    </w:p>
    <w:p w:rsidR="0004162D" w:rsidRPr="00FB653C" w:rsidRDefault="0004162D" w:rsidP="0004162D">
      <w:pPr>
        <w:pStyle w:val="12FigureCaptionLong"/>
        <w:rPr>
          <w:rFonts w:eastAsia="Times New Roman"/>
        </w:rPr>
      </w:pPr>
      <w:r w:rsidRPr="00FB653C">
        <w:rPr>
          <w:rFonts w:eastAsia="Times New Roman"/>
        </w:rPr>
        <w:t xml:space="preserve">Figure </w:t>
      </w:r>
      <w:proofErr w:type="spellStart"/>
      <w:r w:rsidRPr="00FB653C">
        <w:rPr>
          <w:rFonts w:eastAsia="Times New Roman"/>
        </w:rPr>
        <w:t>S1</w:t>
      </w:r>
      <w:proofErr w:type="spellEnd"/>
      <w:r w:rsidRPr="00FB653C">
        <w:rPr>
          <w:rFonts w:eastAsia="Times New Roman"/>
        </w:rPr>
        <w:t xml:space="preserve">. Log-log SNR measurements for the indicated camera configurations and qualitative image quality comparison. The plot to the left shows the SNR as the exposure time is varied for the Andor Zyla camera, </w:t>
      </w:r>
      <w:proofErr w:type="spellStart"/>
      <w:r w:rsidRPr="00FB653C">
        <w:rPr>
          <w:rFonts w:eastAsia="Times New Roman"/>
        </w:rPr>
        <w:t>FLIR</w:t>
      </w:r>
      <w:proofErr w:type="spellEnd"/>
      <w:r w:rsidRPr="00FB653C">
        <w:rPr>
          <w:rFonts w:eastAsia="Times New Roman"/>
        </w:rPr>
        <w:t xml:space="preserve"> camera directly mounted on the microscope, and </w:t>
      </w:r>
      <w:proofErr w:type="spellStart"/>
      <w:r w:rsidRPr="00FB653C">
        <w:rPr>
          <w:rFonts w:eastAsia="Times New Roman"/>
        </w:rPr>
        <w:t>FLIR</w:t>
      </w:r>
      <w:proofErr w:type="spellEnd"/>
      <w:r w:rsidRPr="00FB653C">
        <w:rPr>
          <w:rFonts w:eastAsia="Times New Roman"/>
        </w:rPr>
        <w:t xml:space="preserve"> camera as part of the 4-camera detection setup. Images a, b, and c show an image of the </w:t>
      </w:r>
      <w:proofErr w:type="spellStart"/>
      <w:r w:rsidRPr="00FB653C">
        <w:rPr>
          <w:rFonts w:eastAsia="Times New Roman"/>
        </w:rPr>
        <w:t>Argolight</w:t>
      </w:r>
      <w:proofErr w:type="spellEnd"/>
      <w:r w:rsidRPr="00FB653C">
        <w:rPr>
          <w:rFonts w:eastAsia="Times New Roman"/>
        </w:rPr>
        <w:t xml:space="preserve"> intensity gradient structure captured with a 100 ms exposure time using the Andor Zyla, </w:t>
      </w:r>
      <w:proofErr w:type="spellStart"/>
      <w:r w:rsidRPr="00FB653C">
        <w:rPr>
          <w:rFonts w:eastAsia="Times New Roman"/>
        </w:rPr>
        <w:t>FLIR</w:t>
      </w:r>
      <w:proofErr w:type="spellEnd"/>
      <w:r w:rsidRPr="00FB653C">
        <w:rPr>
          <w:rFonts w:eastAsia="Times New Roman"/>
        </w:rPr>
        <w:t xml:space="preserve"> camera directly mounted on the microscope, and </w:t>
      </w:r>
      <w:proofErr w:type="spellStart"/>
      <w:r w:rsidRPr="00FB653C">
        <w:rPr>
          <w:rFonts w:eastAsia="Times New Roman"/>
        </w:rPr>
        <w:t>FLIR</w:t>
      </w:r>
      <w:proofErr w:type="spellEnd"/>
      <w:r w:rsidRPr="00FB653C">
        <w:rPr>
          <w:rFonts w:eastAsia="Times New Roman"/>
        </w:rPr>
        <w:t xml:space="preserve"> camera as part of the 4-camera detection setup, respectively.</w:t>
      </w:r>
    </w:p>
    <w:p w:rsidR="0004162D" w:rsidRDefault="0004162D" w:rsidP="0004162D">
      <w:pPr>
        <w:pStyle w:val="10BodySubsequentParagraph"/>
        <w:rPr>
          <w:rFonts w:eastAsia="Times New Roman"/>
        </w:rPr>
      </w:pPr>
      <w:r w:rsidRPr="00FB653C">
        <w:rPr>
          <w:rFonts w:eastAsia="Times New Roman"/>
        </w:rPr>
        <w:t xml:space="preserve">As is evident from the figure, the SNR of the </w:t>
      </w:r>
      <w:proofErr w:type="spellStart"/>
      <w:r w:rsidRPr="00FB653C">
        <w:rPr>
          <w:rFonts w:eastAsia="Times New Roman"/>
        </w:rPr>
        <w:t>FLIR</w:t>
      </w:r>
      <w:proofErr w:type="spellEnd"/>
      <w:r w:rsidRPr="00FB653C">
        <w:rPr>
          <w:rFonts w:eastAsia="Times New Roman"/>
        </w:rPr>
        <w:t xml:space="preserve"> cameras in the 4-camera setup are on average </w:t>
      </w:r>
      <w:proofErr w:type="spellStart"/>
      <w:r w:rsidRPr="00FB653C">
        <w:rPr>
          <w:rFonts w:eastAsia="Times New Roman"/>
        </w:rPr>
        <w:t>10dB</w:t>
      </w:r>
      <w:proofErr w:type="spellEnd"/>
      <w:r w:rsidRPr="00FB653C">
        <w:rPr>
          <w:rFonts w:eastAsia="Times New Roman"/>
        </w:rPr>
        <w:t xml:space="preserve"> lower than that of the Andor Zyla on this particular image feature. </w:t>
      </w:r>
    </w:p>
    <w:p w:rsidR="0004162D" w:rsidRDefault="0004162D" w:rsidP="0004162D">
      <w:pPr>
        <w:pStyle w:val="10BodySubsequentParagraph"/>
      </w:pPr>
    </w:p>
    <w:p w:rsidR="0004162D" w:rsidRPr="00132E44" w:rsidRDefault="0004162D" w:rsidP="0004162D">
      <w:pPr>
        <w:pStyle w:val="10BodySubsequentParagraph"/>
      </w:pPr>
    </w:p>
    <w:p w:rsidR="0004162D" w:rsidRPr="00FB653C" w:rsidRDefault="0004162D" w:rsidP="0004162D">
      <w:pPr>
        <w:pStyle w:val="08SectionHeader1"/>
        <w:rPr>
          <w:rFonts w:eastAsia="Times New Roman"/>
        </w:rPr>
      </w:pPr>
      <w:r w:rsidRPr="00FB653C">
        <w:rPr>
          <w:rFonts w:eastAsia="Times New Roman"/>
        </w:rPr>
        <w:lastRenderedPageBreak/>
        <w:t>2. Modulation of the illumination p</w:t>
      </w:r>
      <w:r>
        <w:rPr>
          <w:rFonts w:eastAsia="Times New Roman"/>
        </w:rPr>
        <w:t xml:space="preserve">attern as a function of defocus </w:t>
      </w:r>
      <w:r w:rsidRPr="00FB653C">
        <w:rPr>
          <w:rFonts w:eastAsia="Times New Roman"/>
        </w:rPr>
        <w:t>distance</w:t>
      </w:r>
    </w:p>
    <w:p w:rsidR="0004162D" w:rsidRDefault="0004162D" w:rsidP="0004162D">
      <w:pPr>
        <w:pStyle w:val="09BodyFirstParagraph"/>
        <w:rPr>
          <w:rFonts w:cs="Times New Roman"/>
          <w:noProof/>
          <w:szCs w:val="20"/>
        </w:rPr>
      </w:pPr>
      <w:r w:rsidRPr="00FB653C">
        <w:rPr>
          <w:rFonts w:eastAsia="Times New Roman"/>
        </w:rPr>
        <w:t xml:space="preserve">To characterize the effects of sensor defocus on the contrast of the SIM illumination pattern, we imaged a uniform thin fluorescent layer with SIM patterns of varying spatial frequencies and recorded the modulation as a function of sensor defocus. The modulation was calculated from the intensity data as (max - min) / (max + min). A summary of the results are shown in Figure </w:t>
      </w:r>
      <w:proofErr w:type="spellStart"/>
      <w:r w:rsidRPr="00FB653C">
        <w:rPr>
          <w:rFonts w:eastAsia="Times New Roman"/>
        </w:rPr>
        <w:t>S2</w:t>
      </w:r>
      <w:proofErr w:type="spellEnd"/>
      <w:r w:rsidRPr="00FB653C">
        <w:rPr>
          <w:rFonts w:eastAsia="Times New Roman"/>
        </w:rPr>
        <w:t>.</w:t>
      </w:r>
      <w:r w:rsidRPr="00132E44">
        <w:rPr>
          <w:rFonts w:cs="Times New Roman"/>
          <w:noProof/>
          <w:szCs w:val="20"/>
        </w:rPr>
        <w:t xml:space="preserve"> </w:t>
      </w:r>
    </w:p>
    <w:p w:rsidR="0004162D" w:rsidRPr="00FB653C" w:rsidRDefault="0004162D" w:rsidP="0004162D">
      <w:pPr>
        <w:pStyle w:val="09BodyFirstParagraph"/>
        <w:rPr>
          <w:rFonts w:eastAsia="Times New Roman"/>
        </w:rPr>
      </w:pPr>
      <w:r w:rsidRPr="00FB653C">
        <w:rPr>
          <w:rFonts w:cs="Times New Roman"/>
          <w:noProof/>
          <w:szCs w:val="20"/>
        </w:rPr>
        <w:drawing>
          <wp:inline distT="0" distB="0" distL="0" distR="0" wp14:anchorId="094E572D" wp14:editId="1D7307F5">
            <wp:extent cx="4791710" cy="2817976"/>
            <wp:effectExtent l="0" t="0" r="0" b="190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91710" cy="2817976"/>
                    </a:xfrm>
                    <a:prstGeom prst="rect">
                      <a:avLst/>
                    </a:prstGeom>
                    <a:noFill/>
                  </pic:spPr>
                </pic:pic>
              </a:graphicData>
            </a:graphic>
          </wp:inline>
        </w:drawing>
      </w:r>
    </w:p>
    <w:p w:rsidR="0004162D" w:rsidRPr="00FB653C" w:rsidRDefault="0004162D" w:rsidP="0004162D">
      <w:pPr>
        <w:pStyle w:val="12FigureCaptionLong"/>
        <w:rPr>
          <w:rFonts w:eastAsia="Times New Roman"/>
        </w:rPr>
      </w:pPr>
      <w:r w:rsidRPr="00FB653C">
        <w:rPr>
          <w:rFonts w:eastAsia="Times New Roman"/>
        </w:rPr>
        <w:t xml:space="preserve">Figure </w:t>
      </w:r>
      <w:proofErr w:type="spellStart"/>
      <w:r w:rsidRPr="00FB653C">
        <w:rPr>
          <w:rFonts w:eastAsia="Times New Roman"/>
        </w:rPr>
        <w:t>S2</w:t>
      </w:r>
      <w:proofErr w:type="spellEnd"/>
      <w:r w:rsidRPr="00FB653C">
        <w:rPr>
          <w:rFonts w:eastAsia="Times New Roman"/>
        </w:rPr>
        <w:t>. Measured SIM pattern modulation as a function of sensor defocus for 30×/1.05</w:t>
      </w:r>
      <w:r>
        <w:rPr>
          <w:rFonts w:eastAsia="Times New Roman"/>
        </w:rPr>
        <w:t xml:space="preserve"> </w:t>
      </w:r>
      <w:r w:rsidRPr="00FB653C">
        <w:rPr>
          <w:rFonts w:eastAsia="Times New Roman"/>
        </w:rPr>
        <w:t>NA and 60×/1.35</w:t>
      </w:r>
      <w:r>
        <w:rPr>
          <w:rFonts w:eastAsia="Times New Roman"/>
        </w:rPr>
        <w:t xml:space="preserve"> </w:t>
      </w:r>
      <w:r w:rsidRPr="00FB653C">
        <w:rPr>
          <w:rFonts w:eastAsia="Times New Roman"/>
        </w:rPr>
        <w:t xml:space="preserve">NA objectives. Individual colored lines on each plot represent the modulation versus sensor defocus for each illumination pattern. The legend at the bottom of the figure indicates the spatial period of each pattern on the </w:t>
      </w:r>
      <w:proofErr w:type="spellStart"/>
      <w:r w:rsidRPr="00FB653C">
        <w:rPr>
          <w:rFonts w:eastAsia="Times New Roman"/>
        </w:rPr>
        <w:t>SLM</w:t>
      </w:r>
      <w:proofErr w:type="spellEnd"/>
      <w:r w:rsidRPr="00FB653C">
        <w:rPr>
          <w:rFonts w:eastAsia="Times New Roman"/>
        </w:rPr>
        <w:t xml:space="preserve">, as well as the corresponding normalized spatial frequency of the patterns for each objective. </w:t>
      </w:r>
    </w:p>
    <w:p w:rsidR="0004162D" w:rsidRDefault="0004162D" w:rsidP="0004162D">
      <w:pPr>
        <w:pStyle w:val="10BodySubsequentParagraph"/>
        <w:rPr>
          <w:rFonts w:eastAsia="Times New Roman"/>
        </w:rPr>
      </w:pPr>
      <w:r w:rsidRPr="00FB653C">
        <w:rPr>
          <w:rFonts w:eastAsia="Times New Roman"/>
        </w:rPr>
        <w:t xml:space="preserve">Though sensor defocus has the anticipated impact of reducing the </w:t>
      </w:r>
      <w:r>
        <w:rPr>
          <w:rFonts w:eastAsia="Times New Roman"/>
        </w:rPr>
        <w:t xml:space="preserve">modulation </w:t>
      </w:r>
      <w:r w:rsidRPr="00FB653C">
        <w:rPr>
          <w:rFonts w:eastAsia="Times New Roman"/>
        </w:rPr>
        <w:t xml:space="preserve">of higher-spatial-frequency SIM patterns, Figure </w:t>
      </w:r>
      <w:proofErr w:type="spellStart"/>
      <w:r w:rsidRPr="00FB653C">
        <w:rPr>
          <w:rFonts w:eastAsia="Times New Roman"/>
        </w:rPr>
        <w:t>S2</w:t>
      </w:r>
      <w:proofErr w:type="spellEnd"/>
      <w:r w:rsidRPr="00FB653C">
        <w:rPr>
          <w:rFonts w:eastAsia="Times New Roman"/>
        </w:rPr>
        <w:t xml:space="preserve"> demonstrates that the adverse effects of defocus on the </w:t>
      </w:r>
      <w:r>
        <w:rPr>
          <w:rFonts w:eastAsia="Times New Roman"/>
        </w:rPr>
        <w:t xml:space="preserve">modulation </w:t>
      </w:r>
      <w:r w:rsidRPr="00FB653C">
        <w:rPr>
          <w:rFonts w:eastAsia="Times New Roman"/>
        </w:rPr>
        <w:t xml:space="preserve">of the illumination can be combated simply by selecting a lower-spatial-frequency SIM pattern. </w:t>
      </w: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10BodySubsequentParagraph"/>
        <w:rPr>
          <w:rFonts w:eastAsia="Times New Roman"/>
        </w:rPr>
      </w:pPr>
    </w:p>
    <w:p w:rsidR="0004162D" w:rsidRDefault="0004162D" w:rsidP="0004162D">
      <w:pPr>
        <w:pStyle w:val="08SectionHeader1"/>
      </w:pPr>
      <w:r>
        <w:lastRenderedPageBreak/>
        <w:t xml:space="preserve">3. </w:t>
      </w:r>
      <w:r w:rsidRPr="00132E44">
        <w:t>Acquisition parameter summary</w:t>
      </w:r>
    </w:p>
    <w:p w:rsidR="0004162D" w:rsidRPr="00412160" w:rsidRDefault="0004162D" w:rsidP="0004162D">
      <w:pPr>
        <w:pStyle w:val="09BodyFirstParagraph"/>
      </w:pPr>
    </w:p>
    <w:p w:rsidR="0004162D" w:rsidRPr="00412160" w:rsidRDefault="0004162D" w:rsidP="0004162D">
      <w:pPr>
        <w:pStyle w:val="15TableBody"/>
        <w:jc w:val="center"/>
        <w:rPr>
          <w:b/>
        </w:rPr>
      </w:pPr>
      <w:r w:rsidRPr="00412160">
        <w:rPr>
          <w:b/>
        </w:rPr>
        <w:t xml:space="preserve">Table </w:t>
      </w:r>
      <w:proofErr w:type="spellStart"/>
      <w:r w:rsidRPr="00412160">
        <w:rPr>
          <w:b/>
        </w:rPr>
        <w:t>S1</w:t>
      </w:r>
      <w:proofErr w:type="spellEnd"/>
      <w:r w:rsidRPr="00412160">
        <w:rPr>
          <w:b/>
        </w:rPr>
        <w:t>. Summary of acquisition parameters</w:t>
      </w:r>
    </w:p>
    <w:p w:rsidR="0004162D" w:rsidRPr="00F624D8" w:rsidRDefault="0004162D" w:rsidP="0004162D">
      <w:pPr>
        <w:pStyle w:val="09BodyFirstParagraph"/>
      </w:pPr>
    </w:p>
    <w:tbl>
      <w:tblPr>
        <w:tblStyle w:val="PlainTable2"/>
        <w:tblW w:w="7546" w:type="dxa"/>
        <w:jc w:val="center"/>
        <w:tblBorders>
          <w:top w:val="none" w:sz="0" w:space="0" w:color="auto"/>
          <w:bottom w:val="none" w:sz="0" w:space="0" w:color="auto"/>
          <w:insideH w:val="single" w:sz="4" w:space="0" w:color="auto"/>
        </w:tblBorders>
        <w:tblLook w:val="04A0" w:firstRow="1" w:lastRow="0" w:firstColumn="1" w:lastColumn="0" w:noHBand="0" w:noVBand="1"/>
      </w:tblPr>
      <w:tblGrid>
        <w:gridCol w:w="1919"/>
        <w:gridCol w:w="2086"/>
        <w:gridCol w:w="1886"/>
        <w:gridCol w:w="1655"/>
      </w:tblGrid>
      <w:tr w:rsidR="0004162D" w:rsidRPr="00C2191B" w:rsidTr="00E12BB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hideMark/>
          </w:tcPr>
          <w:p w:rsidR="0004162D" w:rsidRPr="00412160" w:rsidRDefault="0004162D" w:rsidP="00E12BB9">
            <w:pPr>
              <w:pStyle w:val="15TableBody"/>
            </w:pPr>
            <w:r w:rsidRPr="00412160">
              <w:t>Parameter</w:t>
            </w:r>
          </w:p>
        </w:tc>
        <w:tc>
          <w:tcPr>
            <w:tcW w:w="2086" w:type="dxa"/>
            <w:hideMark/>
          </w:tcPr>
          <w:p w:rsidR="0004162D" w:rsidRPr="00412160" w:rsidRDefault="0004162D" w:rsidP="00E12BB9">
            <w:pPr>
              <w:pStyle w:val="15TableBody"/>
              <w:cnfStyle w:val="100000000000" w:firstRow="1" w:lastRow="0" w:firstColumn="0" w:lastColumn="0" w:oddVBand="0" w:evenVBand="0" w:oddHBand="0" w:evenHBand="0" w:firstRowFirstColumn="0" w:firstRowLastColumn="0" w:lastRowFirstColumn="0" w:lastRowLastColumn="0"/>
            </w:pPr>
            <w:r w:rsidRPr="00412160">
              <w:t xml:space="preserve">mitochondria </w:t>
            </w:r>
          </w:p>
          <w:p w:rsidR="0004162D" w:rsidRPr="00412160" w:rsidRDefault="0004162D" w:rsidP="00E12BB9">
            <w:pPr>
              <w:pStyle w:val="15TableBody"/>
              <w:cnfStyle w:val="100000000000" w:firstRow="1" w:lastRow="0" w:firstColumn="0" w:lastColumn="0" w:oddVBand="0" w:evenVBand="0" w:oddHBand="0" w:evenHBand="0" w:firstRowFirstColumn="0" w:firstRowLastColumn="0" w:lastRowFirstColumn="0" w:lastRowLastColumn="0"/>
            </w:pPr>
            <w:r w:rsidRPr="00412160">
              <w:t>(Figure 4)</w:t>
            </w:r>
          </w:p>
        </w:tc>
        <w:tc>
          <w:tcPr>
            <w:tcW w:w="1886" w:type="dxa"/>
          </w:tcPr>
          <w:p w:rsidR="0004162D" w:rsidRPr="00412160" w:rsidRDefault="0004162D" w:rsidP="00E12BB9">
            <w:pPr>
              <w:pStyle w:val="15TableBody"/>
              <w:cnfStyle w:val="100000000000" w:firstRow="1" w:lastRow="0" w:firstColumn="0" w:lastColumn="0" w:oddVBand="0" w:evenVBand="0" w:oddHBand="0" w:evenHBand="0" w:firstRowFirstColumn="0" w:firstRowLastColumn="0" w:lastRowFirstColumn="0" w:lastRowLastColumn="0"/>
            </w:pPr>
            <w:r w:rsidRPr="00412160">
              <w:t xml:space="preserve">mouse brain </w:t>
            </w:r>
          </w:p>
          <w:p w:rsidR="0004162D" w:rsidRPr="00412160" w:rsidRDefault="0004162D" w:rsidP="00E12BB9">
            <w:pPr>
              <w:pStyle w:val="15TableBody"/>
              <w:cnfStyle w:val="100000000000" w:firstRow="1" w:lastRow="0" w:firstColumn="0" w:lastColumn="0" w:oddVBand="0" w:evenVBand="0" w:oddHBand="0" w:evenHBand="0" w:firstRowFirstColumn="0" w:firstRowLastColumn="0" w:lastRowFirstColumn="0" w:lastRowLastColumn="0"/>
            </w:pPr>
            <w:r w:rsidRPr="00412160">
              <w:t>(Figure 5)</w:t>
            </w:r>
          </w:p>
        </w:tc>
        <w:tc>
          <w:tcPr>
            <w:tcW w:w="1655" w:type="dxa"/>
          </w:tcPr>
          <w:p w:rsidR="0004162D" w:rsidRPr="00412160" w:rsidRDefault="0004162D" w:rsidP="00E12BB9">
            <w:pPr>
              <w:pStyle w:val="15TableBody"/>
              <w:cnfStyle w:val="100000000000" w:firstRow="1" w:lastRow="0" w:firstColumn="0" w:lastColumn="0" w:oddVBand="0" w:evenVBand="0" w:oddHBand="0" w:evenHBand="0" w:firstRowFirstColumn="0" w:firstRowLastColumn="0" w:lastRowFirstColumn="0" w:lastRowLastColumn="0"/>
            </w:pPr>
            <w:proofErr w:type="spellStart"/>
            <w:r w:rsidRPr="00412160">
              <w:t>Drosphila</w:t>
            </w:r>
            <w:proofErr w:type="spellEnd"/>
            <w:r w:rsidRPr="00412160">
              <w:t xml:space="preserve"> larva</w:t>
            </w:r>
          </w:p>
          <w:p w:rsidR="0004162D" w:rsidRPr="00412160" w:rsidRDefault="0004162D" w:rsidP="00E12BB9">
            <w:pPr>
              <w:pStyle w:val="15TableBody"/>
              <w:cnfStyle w:val="100000000000" w:firstRow="1" w:lastRow="0" w:firstColumn="0" w:lastColumn="0" w:oddVBand="0" w:evenVBand="0" w:oddHBand="0" w:evenHBand="0" w:firstRowFirstColumn="0" w:firstRowLastColumn="0" w:lastRowFirstColumn="0" w:lastRowLastColumn="0"/>
            </w:pPr>
            <w:r w:rsidRPr="00412160">
              <w:t>(Figure 6)</w:t>
            </w:r>
          </w:p>
        </w:tc>
      </w:tr>
      <w:tr w:rsidR="0004162D" w:rsidRPr="00C2191B" w:rsidTr="00E12B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hideMark/>
          </w:tcPr>
          <w:p w:rsidR="0004162D" w:rsidRPr="00412160" w:rsidRDefault="0004162D" w:rsidP="00E12BB9">
            <w:pPr>
              <w:pStyle w:val="15TableBody"/>
            </w:pPr>
            <w:r w:rsidRPr="00412160">
              <w:t>SIM pattern period (pixels)</w:t>
            </w:r>
          </w:p>
        </w:tc>
        <w:tc>
          <w:tcPr>
            <w:tcW w:w="2086"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r w:rsidRPr="00412160">
              <w:t>11</w:t>
            </w:r>
          </w:p>
        </w:tc>
        <w:tc>
          <w:tcPr>
            <w:tcW w:w="1886"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r w:rsidRPr="00412160">
              <w:t>12</w:t>
            </w:r>
          </w:p>
        </w:tc>
        <w:tc>
          <w:tcPr>
            <w:tcW w:w="1655"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r w:rsidRPr="00412160">
              <w:t>12</w:t>
            </w:r>
          </w:p>
        </w:tc>
      </w:tr>
      <w:tr w:rsidR="0004162D" w:rsidRPr="00C2191B" w:rsidTr="00E12BB9">
        <w:trPr>
          <w:jc w:val="center"/>
        </w:trPr>
        <w:tc>
          <w:tcPr>
            <w:cnfStyle w:val="001000000000" w:firstRow="0" w:lastRow="0" w:firstColumn="1" w:lastColumn="0" w:oddVBand="0" w:evenVBand="0" w:oddHBand="0" w:evenHBand="0" w:firstRowFirstColumn="0" w:firstRowLastColumn="0" w:lastRowFirstColumn="0" w:lastRowLastColumn="0"/>
            <w:tcW w:w="1919" w:type="dxa"/>
          </w:tcPr>
          <w:p w:rsidR="0004162D" w:rsidRPr="00412160" w:rsidRDefault="0004162D" w:rsidP="00E12BB9">
            <w:pPr>
              <w:pStyle w:val="15TableBody"/>
            </w:pPr>
            <w:r w:rsidRPr="00412160">
              <w:t>SIM pattern normalized spatial frequency</w:t>
            </w:r>
          </w:p>
        </w:tc>
        <w:tc>
          <w:tcPr>
            <w:tcW w:w="2086" w:type="dxa"/>
          </w:tcPr>
          <w:p w:rsidR="0004162D" w:rsidRPr="00412160" w:rsidRDefault="0004162D" w:rsidP="00E12BB9">
            <w:pPr>
              <w:pStyle w:val="15TableBody"/>
              <w:cnfStyle w:val="000000000000" w:firstRow="0" w:lastRow="0" w:firstColumn="0" w:lastColumn="0" w:oddVBand="0" w:evenVBand="0" w:oddHBand="0" w:evenHBand="0" w:firstRowFirstColumn="0" w:firstRowLastColumn="0" w:lastRowFirstColumn="0" w:lastRowLastColumn="0"/>
            </w:pPr>
            <w:r w:rsidRPr="00412160">
              <w:t>0.163</w:t>
            </w:r>
          </w:p>
        </w:tc>
        <w:tc>
          <w:tcPr>
            <w:tcW w:w="1886" w:type="dxa"/>
          </w:tcPr>
          <w:p w:rsidR="0004162D" w:rsidRPr="00412160" w:rsidRDefault="0004162D" w:rsidP="00E12BB9">
            <w:pPr>
              <w:pStyle w:val="15TableBody"/>
              <w:cnfStyle w:val="000000000000" w:firstRow="0" w:lastRow="0" w:firstColumn="0" w:lastColumn="0" w:oddVBand="0" w:evenVBand="0" w:oddHBand="0" w:evenHBand="0" w:firstRowFirstColumn="0" w:firstRowLastColumn="0" w:lastRowFirstColumn="0" w:lastRowLastColumn="0"/>
            </w:pPr>
            <w:r w:rsidRPr="00412160">
              <w:t>0.150</w:t>
            </w:r>
          </w:p>
        </w:tc>
        <w:tc>
          <w:tcPr>
            <w:tcW w:w="1655" w:type="dxa"/>
          </w:tcPr>
          <w:p w:rsidR="0004162D" w:rsidRPr="00412160" w:rsidRDefault="0004162D" w:rsidP="00E12BB9">
            <w:pPr>
              <w:pStyle w:val="15TableBody"/>
              <w:cnfStyle w:val="000000000000" w:firstRow="0" w:lastRow="0" w:firstColumn="0" w:lastColumn="0" w:oddVBand="0" w:evenVBand="0" w:oddHBand="0" w:evenHBand="0" w:firstRowFirstColumn="0" w:firstRowLastColumn="0" w:lastRowFirstColumn="0" w:lastRowLastColumn="0"/>
            </w:pPr>
            <w:r w:rsidRPr="00412160">
              <w:t>0.096</w:t>
            </w:r>
          </w:p>
        </w:tc>
      </w:tr>
      <w:tr w:rsidR="0004162D" w:rsidRPr="00C2191B" w:rsidTr="00E12B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Pr>
          <w:p w:rsidR="0004162D" w:rsidRPr="00412160" w:rsidRDefault="0004162D" w:rsidP="00E12BB9">
            <w:pPr>
              <w:pStyle w:val="15TableBody"/>
            </w:pPr>
            <w:r w:rsidRPr="00412160">
              <w:t>fluorophore</w:t>
            </w:r>
          </w:p>
        </w:tc>
        <w:tc>
          <w:tcPr>
            <w:tcW w:w="2086"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proofErr w:type="spellStart"/>
            <w:r w:rsidRPr="00412160">
              <w:t>mitotracker</w:t>
            </w:r>
            <w:proofErr w:type="spellEnd"/>
          </w:p>
        </w:tc>
        <w:tc>
          <w:tcPr>
            <w:tcW w:w="1886"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proofErr w:type="spellStart"/>
            <w:r w:rsidRPr="00412160">
              <w:t>eGFP</w:t>
            </w:r>
            <w:proofErr w:type="spellEnd"/>
          </w:p>
        </w:tc>
        <w:tc>
          <w:tcPr>
            <w:tcW w:w="1655"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proofErr w:type="spellStart"/>
            <w:r w:rsidRPr="00412160">
              <w:t>tdTomato</w:t>
            </w:r>
            <w:proofErr w:type="spellEnd"/>
          </w:p>
        </w:tc>
      </w:tr>
      <w:tr w:rsidR="0004162D" w:rsidRPr="00C2191B" w:rsidTr="00E12BB9">
        <w:trPr>
          <w:jc w:val="center"/>
        </w:trPr>
        <w:tc>
          <w:tcPr>
            <w:cnfStyle w:val="001000000000" w:firstRow="0" w:lastRow="0" w:firstColumn="1" w:lastColumn="0" w:oddVBand="0" w:evenVBand="0" w:oddHBand="0" w:evenHBand="0" w:firstRowFirstColumn="0" w:firstRowLastColumn="0" w:lastRowFirstColumn="0" w:lastRowLastColumn="0"/>
            <w:tcW w:w="1919" w:type="dxa"/>
          </w:tcPr>
          <w:p w:rsidR="0004162D" w:rsidRPr="00412160" w:rsidRDefault="0004162D" w:rsidP="00E12BB9">
            <w:pPr>
              <w:pStyle w:val="15TableBody"/>
            </w:pPr>
            <w:r w:rsidRPr="00412160">
              <w:t>exposure time</w:t>
            </w:r>
          </w:p>
        </w:tc>
        <w:tc>
          <w:tcPr>
            <w:tcW w:w="2086" w:type="dxa"/>
          </w:tcPr>
          <w:p w:rsidR="0004162D" w:rsidRPr="00412160" w:rsidRDefault="0004162D" w:rsidP="00E12BB9">
            <w:pPr>
              <w:pStyle w:val="15TableBody"/>
              <w:cnfStyle w:val="000000000000" w:firstRow="0" w:lastRow="0" w:firstColumn="0" w:lastColumn="0" w:oddVBand="0" w:evenVBand="0" w:oddHBand="0" w:evenHBand="0" w:firstRowFirstColumn="0" w:firstRowLastColumn="0" w:lastRowFirstColumn="0" w:lastRowLastColumn="0"/>
            </w:pPr>
            <w:r w:rsidRPr="00412160">
              <w:t>250 ms</w:t>
            </w:r>
          </w:p>
        </w:tc>
        <w:tc>
          <w:tcPr>
            <w:tcW w:w="1886" w:type="dxa"/>
          </w:tcPr>
          <w:p w:rsidR="0004162D" w:rsidRPr="00412160" w:rsidRDefault="0004162D" w:rsidP="00E12BB9">
            <w:pPr>
              <w:pStyle w:val="15TableBody"/>
              <w:cnfStyle w:val="000000000000" w:firstRow="0" w:lastRow="0" w:firstColumn="0" w:lastColumn="0" w:oddVBand="0" w:evenVBand="0" w:oddHBand="0" w:evenHBand="0" w:firstRowFirstColumn="0" w:firstRowLastColumn="0" w:lastRowFirstColumn="0" w:lastRowLastColumn="0"/>
            </w:pPr>
            <w:r w:rsidRPr="00412160">
              <w:t>100 ms</w:t>
            </w:r>
          </w:p>
        </w:tc>
        <w:tc>
          <w:tcPr>
            <w:tcW w:w="1655" w:type="dxa"/>
          </w:tcPr>
          <w:p w:rsidR="0004162D" w:rsidRPr="00412160" w:rsidRDefault="0004162D" w:rsidP="00E12BB9">
            <w:pPr>
              <w:pStyle w:val="15TableBody"/>
              <w:cnfStyle w:val="000000000000" w:firstRow="0" w:lastRow="0" w:firstColumn="0" w:lastColumn="0" w:oddVBand="0" w:evenVBand="0" w:oddHBand="0" w:evenHBand="0" w:firstRowFirstColumn="0" w:firstRowLastColumn="0" w:lastRowFirstColumn="0" w:lastRowLastColumn="0"/>
            </w:pPr>
            <w:r w:rsidRPr="00412160">
              <w:t>1500 ms</w:t>
            </w:r>
          </w:p>
        </w:tc>
      </w:tr>
      <w:tr w:rsidR="0004162D" w:rsidRPr="00C2191B" w:rsidTr="00E12B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Pr>
          <w:p w:rsidR="0004162D" w:rsidRPr="00412160" w:rsidRDefault="0004162D" w:rsidP="00E12BB9">
            <w:pPr>
              <w:pStyle w:val="15TableBody"/>
            </w:pPr>
            <w:r w:rsidRPr="00412160">
              <w:t>Ex/</w:t>
            </w:r>
            <w:proofErr w:type="spellStart"/>
            <w:r w:rsidRPr="00412160">
              <w:t>Em</w:t>
            </w:r>
            <w:proofErr w:type="spellEnd"/>
            <w:r w:rsidRPr="00412160">
              <w:t xml:space="preserve"> wavelengths (nm)</w:t>
            </w:r>
          </w:p>
        </w:tc>
        <w:tc>
          <w:tcPr>
            <w:tcW w:w="2086"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r w:rsidRPr="00412160">
              <w:t>550/600</w:t>
            </w:r>
          </w:p>
        </w:tc>
        <w:tc>
          <w:tcPr>
            <w:tcW w:w="1886"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r w:rsidRPr="00412160">
              <w:t>470/525</w:t>
            </w:r>
          </w:p>
        </w:tc>
        <w:tc>
          <w:tcPr>
            <w:tcW w:w="1655"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r w:rsidRPr="00412160">
              <w:t>550/600</w:t>
            </w:r>
          </w:p>
        </w:tc>
      </w:tr>
      <w:tr w:rsidR="0004162D" w:rsidRPr="00C2191B" w:rsidTr="00E12BB9">
        <w:trPr>
          <w:jc w:val="center"/>
        </w:trPr>
        <w:tc>
          <w:tcPr>
            <w:cnfStyle w:val="001000000000" w:firstRow="0" w:lastRow="0" w:firstColumn="1" w:lastColumn="0" w:oddVBand="0" w:evenVBand="0" w:oddHBand="0" w:evenHBand="0" w:firstRowFirstColumn="0" w:firstRowLastColumn="0" w:lastRowFirstColumn="0" w:lastRowLastColumn="0"/>
            <w:tcW w:w="1919" w:type="dxa"/>
          </w:tcPr>
          <w:p w:rsidR="0004162D" w:rsidRPr="00412160" w:rsidRDefault="0004162D" w:rsidP="00E12BB9">
            <w:pPr>
              <w:pStyle w:val="15TableBody"/>
            </w:pPr>
            <w:r w:rsidRPr="00412160">
              <w:t>objective</w:t>
            </w:r>
          </w:p>
        </w:tc>
        <w:tc>
          <w:tcPr>
            <w:tcW w:w="2086" w:type="dxa"/>
          </w:tcPr>
          <w:p w:rsidR="0004162D" w:rsidRPr="00412160" w:rsidRDefault="0004162D" w:rsidP="00E12BB9">
            <w:pPr>
              <w:pStyle w:val="15TableBody"/>
              <w:cnfStyle w:val="000000000000" w:firstRow="0" w:lastRow="0" w:firstColumn="0" w:lastColumn="0" w:oddVBand="0" w:evenVBand="0" w:oddHBand="0" w:evenHBand="0" w:firstRowFirstColumn="0" w:firstRowLastColumn="0" w:lastRowFirstColumn="0" w:lastRowLastColumn="0"/>
            </w:pPr>
            <w:r w:rsidRPr="00412160">
              <w:t>60×/1.35 oil</w:t>
            </w:r>
          </w:p>
        </w:tc>
        <w:tc>
          <w:tcPr>
            <w:tcW w:w="1886" w:type="dxa"/>
          </w:tcPr>
          <w:p w:rsidR="0004162D" w:rsidRPr="00412160" w:rsidRDefault="0004162D" w:rsidP="00E12BB9">
            <w:pPr>
              <w:pStyle w:val="15TableBody"/>
              <w:cnfStyle w:val="000000000000" w:firstRow="0" w:lastRow="0" w:firstColumn="0" w:lastColumn="0" w:oddVBand="0" w:evenVBand="0" w:oddHBand="0" w:evenHBand="0" w:firstRowFirstColumn="0" w:firstRowLastColumn="0" w:lastRowFirstColumn="0" w:lastRowLastColumn="0"/>
            </w:pPr>
            <w:r w:rsidRPr="00412160">
              <w:t>60×/1.35 oil</w:t>
            </w:r>
          </w:p>
        </w:tc>
        <w:tc>
          <w:tcPr>
            <w:tcW w:w="1655" w:type="dxa"/>
          </w:tcPr>
          <w:p w:rsidR="0004162D" w:rsidRPr="00412160" w:rsidRDefault="0004162D" w:rsidP="00E12BB9">
            <w:pPr>
              <w:pStyle w:val="15TableBody"/>
              <w:cnfStyle w:val="000000000000" w:firstRow="0" w:lastRow="0" w:firstColumn="0" w:lastColumn="0" w:oddVBand="0" w:evenVBand="0" w:oddHBand="0" w:evenHBand="0" w:firstRowFirstColumn="0" w:firstRowLastColumn="0" w:lastRowFirstColumn="0" w:lastRowLastColumn="0"/>
            </w:pPr>
            <w:r w:rsidRPr="00412160">
              <w:t>30×/1.05 silicone oil</w:t>
            </w:r>
          </w:p>
        </w:tc>
      </w:tr>
      <w:tr w:rsidR="0004162D" w:rsidRPr="00C2191B" w:rsidTr="00E12BB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19" w:type="dxa"/>
          </w:tcPr>
          <w:p w:rsidR="0004162D" w:rsidRPr="00412160" w:rsidRDefault="0004162D" w:rsidP="00E12BB9">
            <w:pPr>
              <w:pStyle w:val="15TableBody"/>
            </w:pPr>
            <w:r w:rsidRPr="00412160">
              <w:t>back-projected</w:t>
            </w:r>
          </w:p>
          <w:p w:rsidR="0004162D" w:rsidRPr="00412160" w:rsidRDefault="0004162D" w:rsidP="00E12BB9">
            <w:pPr>
              <w:pStyle w:val="15TableBody"/>
            </w:pPr>
            <w:r w:rsidRPr="00412160">
              <w:t>pixel size</w:t>
            </w:r>
          </w:p>
        </w:tc>
        <w:tc>
          <w:tcPr>
            <w:tcW w:w="2086"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r w:rsidRPr="00412160">
              <w:t>57.5 nm</w:t>
            </w:r>
          </w:p>
        </w:tc>
        <w:tc>
          <w:tcPr>
            <w:tcW w:w="1886"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r w:rsidRPr="00412160">
              <w:t>57.5 nm</w:t>
            </w:r>
          </w:p>
        </w:tc>
        <w:tc>
          <w:tcPr>
            <w:tcW w:w="1655" w:type="dxa"/>
          </w:tcPr>
          <w:p w:rsidR="0004162D" w:rsidRPr="00412160" w:rsidRDefault="0004162D" w:rsidP="00E12BB9">
            <w:pPr>
              <w:pStyle w:val="15TableBody"/>
              <w:cnfStyle w:val="000000100000" w:firstRow="0" w:lastRow="0" w:firstColumn="0" w:lastColumn="0" w:oddVBand="0" w:evenVBand="0" w:oddHBand="1" w:evenHBand="0" w:firstRowFirstColumn="0" w:firstRowLastColumn="0" w:lastRowFirstColumn="0" w:lastRowLastColumn="0"/>
            </w:pPr>
            <w:r w:rsidRPr="00412160">
              <w:t>115 nm</w:t>
            </w:r>
          </w:p>
        </w:tc>
      </w:tr>
    </w:tbl>
    <w:p w:rsidR="0004162D" w:rsidRPr="00132E44" w:rsidRDefault="0004162D" w:rsidP="0004162D">
      <w:pPr>
        <w:pStyle w:val="09BodyFirstParagraph"/>
      </w:pPr>
    </w:p>
    <w:p w:rsidR="0004162D" w:rsidRDefault="0004162D" w:rsidP="0004162D"/>
    <w:p w:rsidR="0004162D" w:rsidRDefault="0004162D" w:rsidP="0004162D">
      <w:pPr>
        <w:pStyle w:val="24References"/>
        <w:numPr>
          <w:ilvl w:val="0"/>
          <w:numId w:val="0"/>
        </w:numPr>
        <w:rPr>
          <w:color w:val="000000" w:themeColor="text1"/>
          <w:szCs w:val="16"/>
        </w:rPr>
      </w:pPr>
    </w:p>
    <w:p w:rsidR="0004162D" w:rsidRDefault="0004162D" w:rsidP="0004162D">
      <w:pPr>
        <w:pStyle w:val="24References"/>
        <w:numPr>
          <w:ilvl w:val="0"/>
          <w:numId w:val="0"/>
        </w:numPr>
        <w:rPr>
          <w:color w:val="000000" w:themeColor="text1"/>
          <w:szCs w:val="16"/>
        </w:rPr>
      </w:pPr>
    </w:p>
    <w:p w:rsidR="00EB5C70" w:rsidRDefault="00EB5C70">
      <w:bookmarkStart w:id="0" w:name="_GoBack"/>
      <w:bookmarkEnd w:id="0"/>
    </w:p>
    <w:sectPr w:rsidR="00EB5C70" w:rsidSect="0081577A">
      <w:pgSz w:w="12240" w:h="15840"/>
      <w:pgMar w:top="1872" w:right="2347" w:bottom="1872" w:left="23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2220"/>
    <w:multiLevelType w:val="hybridMultilevel"/>
    <w:tmpl w:val="4C54C734"/>
    <w:lvl w:ilvl="0" w:tplc="D04ED72E">
      <w:start w:val="1"/>
      <w:numFmt w:val="decimal"/>
      <w:pStyle w:val="24References"/>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2D"/>
    <w:rsid w:val="0004162D"/>
    <w:rsid w:val="000E64A6"/>
    <w:rsid w:val="0010718E"/>
    <w:rsid w:val="00230F04"/>
    <w:rsid w:val="002A0CEF"/>
    <w:rsid w:val="002C3638"/>
    <w:rsid w:val="006E78A4"/>
    <w:rsid w:val="00746169"/>
    <w:rsid w:val="007749E1"/>
    <w:rsid w:val="00835B8A"/>
    <w:rsid w:val="00931662"/>
    <w:rsid w:val="00A6674A"/>
    <w:rsid w:val="00CE06CF"/>
    <w:rsid w:val="00EA3E07"/>
    <w:rsid w:val="00EB5C70"/>
    <w:rsid w:val="00EE3A15"/>
    <w:rsid w:val="00EF4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FBC39-135B-4C5C-868D-E11FF613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rsid w:val="0004162D"/>
    <w:pPr>
      <w:spacing w:after="200" w:line="276" w:lineRule="auto"/>
    </w:pPr>
    <w:rPr>
      <w:rFonts w:asciiTheme="minorHAnsi" w:eastAsiaTheme="minorEastAsia"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Normal"/>
    <w:qFormat/>
    <w:rsid w:val="0004162D"/>
    <w:pPr>
      <w:spacing w:after="0" w:line="240" w:lineRule="auto"/>
    </w:pPr>
    <w:rPr>
      <w:rFonts w:ascii="Arial" w:hAnsi="Arial"/>
      <w:b/>
      <w:spacing w:val="10"/>
      <w:kern w:val="32"/>
      <w:sz w:val="32"/>
    </w:rPr>
  </w:style>
  <w:style w:type="paragraph" w:customStyle="1" w:styleId="10BodySubsequentParagraph">
    <w:name w:val="10. Body Subsequent Paragraph"/>
    <w:basedOn w:val="09BodyFirstParagraph"/>
    <w:qFormat/>
    <w:rsid w:val="0004162D"/>
    <w:pPr>
      <w:spacing w:before="0"/>
      <w:ind w:firstLine="288"/>
    </w:pPr>
  </w:style>
  <w:style w:type="paragraph" w:customStyle="1" w:styleId="03AuthorAffiliation">
    <w:name w:val="03. Author Affiliation"/>
    <w:basedOn w:val="NoSpacing"/>
    <w:next w:val="04Email"/>
    <w:qFormat/>
    <w:rsid w:val="0004162D"/>
    <w:rPr>
      <w:rFonts w:ascii="Times New Roman" w:hAnsi="Times New Roman"/>
      <w:i/>
      <w:sz w:val="18"/>
    </w:rPr>
  </w:style>
  <w:style w:type="paragraph" w:customStyle="1" w:styleId="04Email">
    <w:name w:val="04. Email"/>
    <w:basedOn w:val="03AuthorAffiliation"/>
    <w:next w:val="Normal"/>
    <w:qFormat/>
    <w:rsid w:val="0004162D"/>
    <w:rPr>
      <w:color w:val="2E2EB1"/>
    </w:rPr>
  </w:style>
  <w:style w:type="paragraph" w:customStyle="1" w:styleId="24References">
    <w:name w:val="24. References"/>
    <w:qFormat/>
    <w:rsid w:val="0004162D"/>
    <w:pPr>
      <w:numPr>
        <w:numId w:val="1"/>
      </w:numPr>
      <w:spacing w:after="0" w:line="240" w:lineRule="auto"/>
    </w:pPr>
    <w:rPr>
      <w:rFonts w:eastAsiaTheme="minorEastAsia" w:cstheme="minorBidi"/>
      <w:sz w:val="16"/>
    </w:rPr>
  </w:style>
  <w:style w:type="paragraph" w:customStyle="1" w:styleId="09BodyFirstParagraph">
    <w:name w:val="09. Body First Paragraph"/>
    <w:basedOn w:val="Normal"/>
    <w:next w:val="10BodySubsequentParagraph"/>
    <w:qFormat/>
    <w:rsid w:val="0004162D"/>
    <w:pPr>
      <w:spacing w:before="120" w:after="0" w:line="240" w:lineRule="auto"/>
      <w:jc w:val="both"/>
    </w:pPr>
    <w:rPr>
      <w:rFonts w:ascii="Times New Roman" w:hAnsi="Times New Roman"/>
      <w:color w:val="000000" w:themeColor="text1"/>
      <w:sz w:val="20"/>
    </w:rPr>
  </w:style>
  <w:style w:type="paragraph" w:customStyle="1" w:styleId="12FigureCaptionLong">
    <w:name w:val="12. Figure Caption Long"/>
    <w:basedOn w:val="Normal"/>
    <w:next w:val="10BodySubsequentParagraph"/>
    <w:qFormat/>
    <w:rsid w:val="0004162D"/>
    <w:pPr>
      <w:spacing w:before="120" w:after="120" w:line="240" w:lineRule="auto"/>
      <w:ind w:left="720" w:right="720"/>
      <w:jc w:val="both"/>
    </w:pPr>
    <w:rPr>
      <w:rFonts w:ascii="Times New Roman" w:hAnsi="Times New Roman"/>
      <w:color w:val="000000" w:themeColor="text1"/>
      <w:sz w:val="16"/>
    </w:rPr>
  </w:style>
  <w:style w:type="paragraph" w:customStyle="1" w:styleId="15TableBody">
    <w:name w:val="15. Table Body"/>
    <w:basedOn w:val="09BodyFirstParagraph"/>
    <w:next w:val="10BodySubsequentParagraph"/>
    <w:qFormat/>
    <w:rsid w:val="0004162D"/>
    <w:pPr>
      <w:spacing w:before="0" w:after="80"/>
    </w:pPr>
    <w:rPr>
      <w:sz w:val="16"/>
    </w:rPr>
  </w:style>
  <w:style w:type="paragraph" w:customStyle="1" w:styleId="02Author-Optica">
    <w:name w:val="02. Author - Optica"/>
    <w:basedOn w:val="Normal"/>
    <w:next w:val="03AuthorAffiliation"/>
    <w:qFormat/>
    <w:rsid w:val="0004162D"/>
    <w:pPr>
      <w:spacing w:before="240" w:after="80" w:line="240" w:lineRule="auto"/>
    </w:pPr>
    <w:rPr>
      <w:rFonts w:ascii="Arial" w:hAnsi="Arial"/>
      <w:b/>
      <w:smallCaps/>
      <w:color w:val="007B4A"/>
      <w:sz w:val="24"/>
    </w:rPr>
  </w:style>
  <w:style w:type="character" w:styleId="Hyperlink">
    <w:name w:val="Hyperlink"/>
    <w:basedOn w:val="DefaultParagraphFont"/>
    <w:uiPriority w:val="99"/>
    <w:unhideWhenUsed/>
    <w:rsid w:val="0004162D"/>
    <w:rPr>
      <w:color w:val="0563C1" w:themeColor="hyperlink"/>
      <w:u w:val="single"/>
    </w:rPr>
  </w:style>
  <w:style w:type="paragraph" w:customStyle="1" w:styleId="08SectionHeader1">
    <w:name w:val="08. Section Header 1"/>
    <w:next w:val="09BodyFirstParagraph"/>
    <w:qFormat/>
    <w:rsid w:val="0004162D"/>
    <w:pPr>
      <w:spacing w:before="120" w:after="0" w:line="240" w:lineRule="auto"/>
      <w:ind w:left="360" w:hanging="360"/>
    </w:pPr>
    <w:rPr>
      <w:rFonts w:ascii="Arial" w:eastAsiaTheme="minorEastAsia" w:hAnsi="Arial" w:cstheme="minorBidi"/>
      <w:b/>
      <w:sz w:val="20"/>
    </w:rPr>
  </w:style>
  <w:style w:type="table" w:styleId="PlainTable2">
    <w:name w:val="Plain Table 2"/>
    <w:basedOn w:val="TableNormal"/>
    <w:uiPriority w:val="42"/>
    <w:rsid w:val="0004162D"/>
    <w:pPr>
      <w:spacing w:after="0" w:line="240" w:lineRule="auto"/>
    </w:pPr>
    <w:rPr>
      <w:rFonts w:ascii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04162D"/>
    <w:pPr>
      <w:spacing w:after="0"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ghagen@uccs.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UCCS</Company>
  <LinksUpToDate>false</LinksUpToDate>
  <CharactersWithSpaces>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Hagen</dc:creator>
  <cp:keywords/>
  <dc:description/>
  <cp:lastModifiedBy>Guy Hagen</cp:lastModifiedBy>
  <cp:revision>1</cp:revision>
  <dcterms:created xsi:type="dcterms:W3CDTF">2022-04-28T23:13:00Z</dcterms:created>
  <dcterms:modified xsi:type="dcterms:W3CDTF">2022-04-28T23:14:00Z</dcterms:modified>
</cp:coreProperties>
</file>