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CF" w:rsidRPr="00BC3416" w:rsidRDefault="00CB7BCF" w:rsidP="00CB7BCF">
      <w:pPr>
        <w:autoSpaceDE w:val="0"/>
        <w:autoSpaceDN w:val="0"/>
        <w:adjustRightInd w:val="0"/>
        <w:spacing w:line="360" w:lineRule="auto"/>
        <w:ind w:left="2552"/>
        <w:rPr>
          <w:rFonts w:cs="Calibri"/>
          <w:b/>
          <w:lang w:val="en-GB"/>
        </w:rPr>
      </w:pPr>
      <w:r w:rsidRPr="00BC3416">
        <w:rPr>
          <w:lang w:val="en-GB"/>
        </w:rPr>
        <w:t xml:space="preserve">Supplementary Table SI. </w:t>
      </w:r>
      <w:r w:rsidRPr="00BC3416">
        <w:rPr>
          <w:rFonts w:cs="Calibri"/>
          <w:lang w:val="en-GB"/>
        </w:rPr>
        <w:t xml:space="preserve">Genes </w:t>
      </w:r>
      <w:r w:rsidRPr="00BC3416">
        <w:t>analyzed by a custom CGH-array (left) and by NGS panel (right)</w:t>
      </w:r>
    </w:p>
    <w:tbl>
      <w:tblPr>
        <w:tblW w:w="0" w:type="auto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4"/>
        <w:gridCol w:w="1533"/>
      </w:tblGrid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SRY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SRY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SOX9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SOX9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FGF9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FGFR2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PGD2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 xml:space="preserve">NR5A1 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NR5A1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 xml:space="preserve">NR0B1 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NR0B1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GATA4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 xml:space="preserve">ZFPM2 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DMRT1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DMRT2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WWOX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MAP3K1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MAP3K1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MAMLD1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MAMLD1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DHH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DHH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HHAT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CBX2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CBX2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WT1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WT1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RSPO1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WNT4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rPr>
                <w:lang w:eastAsia="it-IT"/>
              </w:rPr>
              <w:t>CTNNB1</w:t>
            </w:r>
            <w:r w:rsidRPr="00BC3416">
              <w:t xml:space="preserve"> 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  <w:rPr>
                <w:rFonts w:cs="MyriadPro-Regular"/>
                <w:lang w:eastAsia="it-IT"/>
              </w:rPr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BMP15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BMP15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FOXL2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SOX3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SOX10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AMH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AMH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AMHR2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AMHR2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AR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AR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STAR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STAR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HSD17B3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HSD17B3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CYP17A1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CYP17A1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HSD3B2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HSD3B2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POR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POR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CYP11B1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CYP11B1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CYP11A1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CYP21A2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SRD5A2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  <w:r w:rsidRPr="00BC3416">
              <w:t>SRD5A2</w:t>
            </w: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AKR1C4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AKR1C2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LHCGR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 xml:space="preserve">ZFPM2 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  <w:tr w:rsidR="00CB7BCF" w:rsidRPr="00BC3416" w:rsidTr="00C02699">
        <w:tc>
          <w:tcPr>
            <w:tcW w:w="1444" w:type="dxa"/>
          </w:tcPr>
          <w:p w:rsidR="00CB7BCF" w:rsidRPr="00BC3416" w:rsidRDefault="00CB7BCF" w:rsidP="00C02699">
            <w:pPr>
              <w:spacing w:line="240" w:lineRule="auto"/>
              <w:ind w:left="317"/>
              <w:jc w:val="left"/>
            </w:pPr>
            <w:r w:rsidRPr="00BC3416">
              <w:t>CY19A1</w:t>
            </w:r>
          </w:p>
        </w:tc>
        <w:tc>
          <w:tcPr>
            <w:tcW w:w="1533" w:type="dxa"/>
          </w:tcPr>
          <w:p w:rsidR="00CB7BCF" w:rsidRPr="00BC3416" w:rsidRDefault="00CB7BCF" w:rsidP="00C02699">
            <w:pPr>
              <w:spacing w:line="240" w:lineRule="auto"/>
              <w:ind w:left="149"/>
              <w:jc w:val="left"/>
            </w:pPr>
          </w:p>
        </w:tc>
      </w:tr>
    </w:tbl>
    <w:p w:rsidR="00CB7BCF" w:rsidRDefault="00CB7BCF" w:rsidP="00CB7BCF">
      <w:pPr>
        <w:pStyle w:val="MDPI62BackMatter"/>
        <w:rPr>
          <w:b/>
        </w:rPr>
      </w:pPr>
    </w:p>
    <w:p w:rsidR="002204FB" w:rsidRDefault="002204FB">
      <w:bookmarkStart w:id="0" w:name="_GoBack"/>
      <w:bookmarkEnd w:id="0"/>
    </w:p>
    <w:sectPr w:rsidR="002204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CF"/>
    <w:rsid w:val="002204FB"/>
    <w:rsid w:val="00C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59F5F-9A14-4EF5-AB6F-996C398B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7BCF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62BackMatter">
    <w:name w:val="MDPI_6.2_BackMatter"/>
    <w:qFormat/>
    <w:rsid w:val="00CB7BC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2021-12-07T21:24:00Z</dcterms:created>
  <dcterms:modified xsi:type="dcterms:W3CDTF">2021-12-07T21:25:00Z</dcterms:modified>
</cp:coreProperties>
</file>