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74636" w14:textId="3B22E696" w:rsidR="00F46D30" w:rsidRPr="0015716A" w:rsidRDefault="0015716A" w:rsidP="0015716A">
      <w:pPr>
        <w:spacing w:line="360" w:lineRule="auto"/>
        <w:jc w:val="both"/>
        <w:rPr>
          <w:rFonts w:ascii="Palatino Linotype" w:hAnsi="Palatino Linotype" w:cs="Arial"/>
          <w:b/>
          <w:sz w:val="32"/>
          <w:szCs w:val="32"/>
          <w:lang w:val="en-US"/>
        </w:rPr>
      </w:pPr>
      <w:bookmarkStart w:id="0" w:name="_Hlk56186545"/>
      <w:bookmarkStart w:id="1" w:name="_GoBack"/>
      <w:bookmarkEnd w:id="1"/>
      <w:r w:rsidRPr="0015716A">
        <w:rPr>
          <w:rFonts w:ascii="Palatino Linotype" w:hAnsi="Palatino Linotype" w:cs="Arial"/>
          <w:b/>
          <w:sz w:val="32"/>
          <w:szCs w:val="32"/>
          <w:lang w:val="en-US"/>
        </w:rPr>
        <w:t xml:space="preserve">The </w:t>
      </w:r>
      <w:r w:rsidRPr="008E6374">
        <w:rPr>
          <w:rFonts w:ascii="Palatino Linotype" w:hAnsi="Palatino Linotype" w:cs="Arial"/>
          <w:b/>
          <w:sz w:val="32"/>
          <w:szCs w:val="32"/>
          <w:lang w:val="en-US"/>
        </w:rPr>
        <w:t>α</w:t>
      </w:r>
      <w:r w:rsidRPr="0015716A">
        <w:rPr>
          <w:rFonts w:ascii="Palatino Linotype" w:hAnsi="Palatino Linotype" w:cs="Arial"/>
          <w:b/>
          <w:sz w:val="32"/>
          <w:szCs w:val="32"/>
          <w:lang w:val="en-US"/>
        </w:rPr>
        <w:t>-lipoic acid improves hepatic metabolic dysfunction</w:t>
      </w:r>
      <w:r w:rsidR="00D0330C">
        <w:rPr>
          <w:rFonts w:ascii="Palatino Linotype" w:hAnsi="Palatino Linotype" w:cs="Arial"/>
          <w:b/>
          <w:sz w:val="32"/>
          <w:szCs w:val="32"/>
          <w:lang w:val="en-US"/>
        </w:rPr>
        <w:t>s</w:t>
      </w:r>
      <w:r w:rsidRPr="0015716A">
        <w:rPr>
          <w:rFonts w:ascii="Palatino Linotype" w:hAnsi="Palatino Linotype" w:cs="Arial"/>
          <w:b/>
          <w:sz w:val="32"/>
          <w:szCs w:val="32"/>
          <w:lang w:val="en-US"/>
        </w:rPr>
        <w:t xml:space="preserve"> in Acute Intermittent Porphyria: a proof-of-concept study</w:t>
      </w:r>
    </w:p>
    <w:bookmarkEnd w:id="0"/>
    <w:p w14:paraId="675EC731" w14:textId="77777777" w:rsidR="00267B51" w:rsidRPr="008E6374" w:rsidRDefault="00267B51" w:rsidP="00267B51">
      <w:pPr>
        <w:spacing w:line="360" w:lineRule="auto"/>
        <w:jc w:val="both"/>
        <w:rPr>
          <w:rFonts w:ascii="Palatino Linotype" w:hAnsi="Palatino Linotype" w:cs="Times New Roman"/>
          <w:bCs/>
          <w:iCs/>
        </w:rPr>
      </w:pPr>
      <w:r w:rsidRPr="008E6374">
        <w:rPr>
          <w:rFonts w:ascii="Palatino Linotype" w:hAnsi="Palatino Linotype" w:cs="Times New Roman"/>
          <w:bCs/>
          <w:iCs/>
        </w:rPr>
        <w:t>Miriam Longo</w:t>
      </w:r>
      <w:r w:rsidRPr="008E6374">
        <w:rPr>
          <w:rFonts w:ascii="Palatino Linotype" w:hAnsi="Palatino Linotype" w:cs="Times New Roman"/>
          <w:bCs/>
          <w:iCs/>
          <w:vertAlign w:val="superscript"/>
        </w:rPr>
        <w:t>1,2</w:t>
      </w:r>
      <w:r w:rsidRPr="008E6374">
        <w:rPr>
          <w:rFonts w:ascii="Palatino Linotype" w:hAnsi="Palatino Linotype" w:cs="Times New Roman"/>
          <w:bCs/>
          <w:iCs/>
        </w:rPr>
        <w:t>; Erika Paolini</w:t>
      </w:r>
      <w:r w:rsidRPr="008E6374">
        <w:rPr>
          <w:rFonts w:ascii="Palatino Linotype" w:hAnsi="Palatino Linotype" w:cs="Times New Roman"/>
          <w:bCs/>
          <w:iCs/>
          <w:vertAlign w:val="superscript"/>
        </w:rPr>
        <w:t>1</w:t>
      </w:r>
      <w:r>
        <w:rPr>
          <w:rFonts w:ascii="Palatino Linotype" w:hAnsi="Palatino Linotype" w:cs="Times New Roman"/>
          <w:bCs/>
          <w:iCs/>
          <w:vertAlign w:val="superscript"/>
        </w:rPr>
        <w:t>,3</w:t>
      </w:r>
      <w:r>
        <w:rPr>
          <w:rFonts w:ascii="Palatino Linotype" w:hAnsi="Palatino Linotype" w:cs="Times New Roman"/>
          <w:bCs/>
          <w:iCs/>
        </w:rPr>
        <w:t>;</w:t>
      </w:r>
      <w:r>
        <w:rPr>
          <w:rFonts w:ascii="Palatino Linotype" w:hAnsi="Palatino Linotype" w:cs="Times New Roman"/>
          <w:bCs/>
          <w:iCs/>
          <w:vertAlign w:val="superscript"/>
        </w:rPr>
        <w:t xml:space="preserve"> </w:t>
      </w:r>
      <w:r>
        <w:rPr>
          <w:rFonts w:ascii="Palatino Linotype" w:hAnsi="Palatino Linotype" w:cs="Times New Roman"/>
          <w:bCs/>
          <w:iCs/>
        </w:rPr>
        <w:t xml:space="preserve">Marica </w:t>
      </w:r>
      <w:r w:rsidRPr="008E6374">
        <w:rPr>
          <w:rFonts w:ascii="Palatino Linotype" w:hAnsi="Palatino Linotype" w:cs="Times New Roman"/>
          <w:bCs/>
          <w:iCs/>
        </w:rPr>
        <w:t>Meroni</w:t>
      </w:r>
      <w:r w:rsidRPr="008E6374">
        <w:rPr>
          <w:rFonts w:ascii="Palatino Linotype" w:hAnsi="Palatino Linotype" w:cs="Times New Roman"/>
          <w:bCs/>
          <w:iCs/>
          <w:vertAlign w:val="superscript"/>
        </w:rPr>
        <w:t>1</w:t>
      </w:r>
      <w:r w:rsidRPr="008E6374">
        <w:rPr>
          <w:rFonts w:ascii="Palatino Linotype" w:hAnsi="Palatino Linotype" w:cs="Times New Roman"/>
          <w:bCs/>
          <w:iCs/>
        </w:rPr>
        <w:t xml:space="preserve">; </w:t>
      </w:r>
      <w:r>
        <w:rPr>
          <w:rFonts w:ascii="Palatino Linotype" w:hAnsi="Palatino Linotype" w:cs="Times New Roman"/>
          <w:bCs/>
          <w:iCs/>
        </w:rPr>
        <w:t>Lorena Duca</w:t>
      </w:r>
      <w:r>
        <w:rPr>
          <w:rFonts w:ascii="Palatino Linotype" w:hAnsi="Palatino Linotype" w:cs="Times New Roman"/>
          <w:bCs/>
          <w:iCs/>
          <w:vertAlign w:val="superscript"/>
        </w:rPr>
        <w:t>4</w:t>
      </w:r>
      <w:r>
        <w:rPr>
          <w:rFonts w:ascii="Palatino Linotype" w:hAnsi="Palatino Linotype" w:cs="Times New Roman"/>
          <w:bCs/>
          <w:iCs/>
        </w:rPr>
        <w:t xml:space="preserve">, </w:t>
      </w:r>
      <w:r w:rsidRPr="008E6374">
        <w:rPr>
          <w:rFonts w:ascii="Palatino Linotype" w:hAnsi="Palatino Linotype" w:cs="Times New Roman"/>
          <w:bCs/>
          <w:iCs/>
        </w:rPr>
        <w:t>Irene Motta</w:t>
      </w:r>
      <w:r w:rsidRPr="008E6374">
        <w:rPr>
          <w:rFonts w:ascii="Palatino Linotype" w:hAnsi="Palatino Linotype" w:cs="Times New Roman"/>
          <w:bCs/>
          <w:iCs/>
          <w:vertAlign w:val="superscript"/>
        </w:rPr>
        <w:t>1,2</w:t>
      </w:r>
      <w:r w:rsidRPr="008E6374">
        <w:rPr>
          <w:rFonts w:ascii="Palatino Linotype" w:hAnsi="Palatino Linotype" w:cs="Times New Roman"/>
          <w:bCs/>
          <w:iCs/>
        </w:rPr>
        <w:t>; Anna L. Fracanzani</w:t>
      </w:r>
      <w:r w:rsidRPr="008E6374">
        <w:rPr>
          <w:rFonts w:ascii="Palatino Linotype" w:hAnsi="Palatino Linotype" w:cs="Times New Roman"/>
          <w:bCs/>
          <w:iCs/>
          <w:vertAlign w:val="superscript"/>
        </w:rPr>
        <w:t>1,</w:t>
      </w:r>
      <w:r>
        <w:rPr>
          <w:rFonts w:ascii="Palatino Linotype" w:hAnsi="Palatino Linotype" w:cs="Times New Roman"/>
          <w:bCs/>
          <w:iCs/>
          <w:vertAlign w:val="superscript"/>
        </w:rPr>
        <w:t>5</w:t>
      </w:r>
      <w:r w:rsidRPr="008E6374">
        <w:rPr>
          <w:rFonts w:ascii="Palatino Linotype" w:hAnsi="Palatino Linotype" w:cs="Times New Roman"/>
          <w:bCs/>
          <w:iCs/>
        </w:rPr>
        <w:t>; Elena Di Pierro</w:t>
      </w:r>
      <w:r>
        <w:rPr>
          <w:rFonts w:ascii="Palatino Linotype" w:hAnsi="Palatino Linotype" w:cs="Times New Roman"/>
          <w:bCs/>
          <w:iCs/>
          <w:vertAlign w:val="superscript"/>
        </w:rPr>
        <w:t>4*</w:t>
      </w:r>
      <w:r w:rsidRPr="008E6374">
        <w:rPr>
          <w:rFonts w:ascii="Palatino Linotype" w:hAnsi="Palatino Linotype" w:cs="Times New Roman"/>
          <w:bCs/>
          <w:iCs/>
        </w:rPr>
        <w:t>; Paola Dongiovanni</w:t>
      </w:r>
      <w:r w:rsidRPr="008E6374">
        <w:rPr>
          <w:rFonts w:ascii="Palatino Linotype" w:hAnsi="Palatino Linotype" w:cs="Times New Roman"/>
          <w:bCs/>
          <w:iCs/>
          <w:vertAlign w:val="superscript"/>
        </w:rPr>
        <w:t>1</w:t>
      </w:r>
      <w:r>
        <w:rPr>
          <w:rFonts w:ascii="Palatino Linotype" w:hAnsi="Palatino Linotype" w:cs="Times New Roman"/>
          <w:bCs/>
          <w:iCs/>
          <w:vertAlign w:val="superscript"/>
        </w:rPr>
        <w:t>*</w:t>
      </w:r>
    </w:p>
    <w:p w14:paraId="3A0C99DD" w14:textId="77777777" w:rsidR="00267B51" w:rsidRPr="008E6374" w:rsidRDefault="00267B51" w:rsidP="00267B51">
      <w:pPr>
        <w:spacing w:after="0" w:line="240" w:lineRule="auto"/>
        <w:jc w:val="both"/>
        <w:rPr>
          <w:rFonts w:ascii="Palatino Linotype" w:hAnsi="Palatino Linotype" w:cs="Times New Roman"/>
          <w:bCs/>
          <w:iCs/>
        </w:rPr>
      </w:pPr>
      <w:r w:rsidRPr="008E6374">
        <w:rPr>
          <w:rFonts w:ascii="Palatino Linotype" w:hAnsi="Palatino Linotype" w:cs="Times New Roman"/>
          <w:bCs/>
          <w:iCs/>
          <w:vertAlign w:val="superscript"/>
        </w:rPr>
        <w:t>1</w:t>
      </w:r>
      <w:r w:rsidRPr="008E6374">
        <w:rPr>
          <w:rFonts w:ascii="Palatino Linotype" w:hAnsi="Palatino Linotype" w:cs="Times New Roman"/>
          <w:bCs/>
          <w:iCs/>
        </w:rPr>
        <w:t xml:space="preserve">General Medicine and Metabolic Diseases; Fondazione IRCCS Cà Granda Ospedale Maggiore Policlinico, Milan, Italy. </w:t>
      </w:r>
    </w:p>
    <w:p w14:paraId="10777ED1" w14:textId="77777777" w:rsidR="00267B51" w:rsidRPr="005A2E4A" w:rsidRDefault="00267B51" w:rsidP="00267B51">
      <w:pPr>
        <w:spacing w:after="0" w:line="240" w:lineRule="auto"/>
        <w:jc w:val="both"/>
        <w:rPr>
          <w:rFonts w:ascii="Palatino Linotype" w:hAnsi="Palatino Linotype" w:cs="Times New Roman"/>
          <w:bCs/>
          <w:iCs/>
          <w:lang w:val="en-US"/>
        </w:rPr>
      </w:pPr>
      <w:r w:rsidRPr="008E6374">
        <w:rPr>
          <w:rFonts w:ascii="Palatino Linotype" w:hAnsi="Palatino Linotype" w:cs="Times New Roman"/>
          <w:bCs/>
          <w:iCs/>
          <w:vertAlign w:val="superscript"/>
          <w:lang w:val="en-US"/>
        </w:rPr>
        <w:t xml:space="preserve">2 </w:t>
      </w:r>
      <w:r w:rsidRPr="008E6374">
        <w:rPr>
          <w:rFonts w:ascii="Palatino Linotype" w:hAnsi="Palatino Linotype" w:cs="Times New Roman"/>
          <w:bCs/>
          <w:iCs/>
          <w:lang w:val="en-US"/>
        </w:rPr>
        <w:t>Department of Clinical Sciences and Community Health, Università degli Studi di Milano, Milano, Italy.</w:t>
      </w:r>
    </w:p>
    <w:p w14:paraId="5348CEFF" w14:textId="77777777" w:rsidR="00267B51" w:rsidRPr="00267B51" w:rsidRDefault="00267B51" w:rsidP="00267B51">
      <w:pPr>
        <w:spacing w:line="240" w:lineRule="auto"/>
        <w:contextualSpacing/>
        <w:jc w:val="both"/>
        <w:rPr>
          <w:rFonts w:ascii="Palatino Linotype" w:hAnsi="Palatino Linotype" w:cs="Times New Roman"/>
          <w:bCs/>
          <w:iCs/>
        </w:rPr>
      </w:pPr>
      <w:r w:rsidRPr="00267B51">
        <w:rPr>
          <w:rFonts w:ascii="Palatino Linotype" w:hAnsi="Palatino Linotype" w:cs="Times New Roman"/>
          <w:bCs/>
          <w:iCs/>
          <w:vertAlign w:val="superscript"/>
        </w:rPr>
        <w:t>3</w:t>
      </w:r>
      <w:r w:rsidRPr="00267B51">
        <w:rPr>
          <w:rFonts w:ascii="Palatino Linotype" w:hAnsi="Palatino Linotype" w:cs="Times New Roman"/>
          <w:bCs/>
          <w:iCs/>
        </w:rPr>
        <w:t>Department of Pharmacological and Biomolecular Sciences, Università degli Studi di Milano, Milan, Italy.</w:t>
      </w:r>
    </w:p>
    <w:p w14:paraId="2B39F9E2" w14:textId="77777777" w:rsidR="00267B51" w:rsidRPr="006D0A2F" w:rsidRDefault="00267B51" w:rsidP="00267B51">
      <w:pPr>
        <w:spacing w:after="0" w:line="240" w:lineRule="auto"/>
        <w:jc w:val="both"/>
        <w:rPr>
          <w:rFonts w:ascii="Palatino Linotype" w:hAnsi="Palatino Linotype" w:cs="Times New Roman"/>
          <w:bCs/>
          <w:iCs/>
        </w:rPr>
      </w:pPr>
      <w:r>
        <w:rPr>
          <w:rFonts w:ascii="Palatino Linotype" w:hAnsi="Palatino Linotype" w:cs="Times New Roman"/>
          <w:bCs/>
          <w:iCs/>
          <w:vertAlign w:val="superscript"/>
        </w:rPr>
        <w:t>4</w:t>
      </w:r>
      <w:r w:rsidRPr="008E6374">
        <w:rPr>
          <w:rFonts w:ascii="Palatino Linotype" w:hAnsi="Palatino Linotype" w:cs="Times New Roman"/>
          <w:bCs/>
          <w:iCs/>
        </w:rPr>
        <w:t>Fondazione IRCCS Cà Granda Ospedale Maggiore Policlinico,</w:t>
      </w:r>
      <w:r>
        <w:rPr>
          <w:rFonts w:ascii="Palatino Linotype" w:hAnsi="Palatino Linotype" w:cs="Times New Roman"/>
          <w:bCs/>
          <w:iCs/>
        </w:rPr>
        <w:t xml:space="preserve"> U.O.C Medicina Generale,</w:t>
      </w:r>
      <w:r w:rsidRPr="008E6374">
        <w:rPr>
          <w:rFonts w:ascii="Palatino Linotype" w:hAnsi="Palatino Linotype" w:cs="Times New Roman"/>
          <w:bCs/>
          <w:iCs/>
        </w:rPr>
        <w:t xml:space="preserve"> Milan, Italy. </w:t>
      </w:r>
    </w:p>
    <w:p w14:paraId="6A34267F" w14:textId="77777777" w:rsidR="00267B51" w:rsidRPr="008E6374" w:rsidRDefault="00267B51" w:rsidP="00267B51">
      <w:pPr>
        <w:spacing w:line="240" w:lineRule="auto"/>
        <w:contextualSpacing/>
        <w:jc w:val="both"/>
        <w:rPr>
          <w:rFonts w:ascii="Palatino Linotype" w:hAnsi="Palatino Linotype" w:cs="Times New Roman"/>
          <w:bCs/>
          <w:iCs/>
          <w:lang w:val="en-US"/>
        </w:rPr>
      </w:pPr>
      <w:r>
        <w:rPr>
          <w:rFonts w:ascii="Palatino Linotype" w:hAnsi="Palatino Linotype" w:cs="Times New Roman"/>
          <w:bCs/>
          <w:iCs/>
          <w:vertAlign w:val="superscript"/>
          <w:lang w:val="en-US"/>
        </w:rPr>
        <w:t>5</w:t>
      </w:r>
      <w:r w:rsidRPr="008E6374">
        <w:rPr>
          <w:rFonts w:ascii="Palatino Linotype" w:hAnsi="Palatino Linotype" w:cs="Times New Roman"/>
          <w:bCs/>
          <w:iCs/>
          <w:lang w:val="en-US"/>
        </w:rPr>
        <w:t>Department of Pathophysiology and Transplantation, Università degli Studi di Milano, Italy.</w:t>
      </w:r>
    </w:p>
    <w:p w14:paraId="2C90D0BC" w14:textId="77777777" w:rsidR="006D445C" w:rsidRDefault="006D445C" w:rsidP="006D445C">
      <w:pPr>
        <w:spacing w:after="0" w:line="360" w:lineRule="auto"/>
        <w:jc w:val="both"/>
        <w:rPr>
          <w:rFonts w:ascii="Palatino Linotype" w:hAnsi="Palatino Linotype" w:cs="Arial"/>
          <w:b/>
          <w:sz w:val="24"/>
          <w:szCs w:val="24"/>
          <w:lang w:val="en-US"/>
        </w:rPr>
      </w:pPr>
    </w:p>
    <w:p w14:paraId="4AA49383" w14:textId="77777777" w:rsidR="006D445C" w:rsidRPr="008E6374" w:rsidRDefault="006D445C" w:rsidP="006D445C">
      <w:pPr>
        <w:spacing w:after="0" w:line="360" w:lineRule="auto"/>
        <w:jc w:val="both"/>
        <w:rPr>
          <w:rFonts w:ascii="Palatino Linotype" w:hAnsi="Palatino Linotype" w:cs="Arial"/>
        </w:rPr>
      </w:pPr>
      <w:r w:rsidRPr="008E6374">
        <w:rPr>
          <w:rFonts w:ascii="Palatino Linotype" w:hAnsi="Palatino Linotype" w:cs="Arial"/>
        </w:rPr>
        <w:t>*</w:t>
      </w:r>
      <w:proofErr w:type="spellStart"/>
      <w:r w:rsidRPr="008E6374">
        <w:rPr>
          <w:rFonts w:ascii="Palatino Linotype" w:hAnsi="Palatino Linotype" w:cs="Arial"/>
        </w:rPr>
        <w:t>Equal</w:t>
      </w:r>
      <w:proofErr w:type="spellEnd"/>
      <w:r w:rsidRPr="008E6374">
        <w:rPr>
          <w:rFonts w:ascii="Palatino Linotype" w:hAnsi="Palatino Linotype" w:cs="Arial"/>
        </w:rPr>
        <w:t xml:space="preserve"> </w:t>
      </w:r>
      <w:proofErr w:type="spellStart"/>
      <w:r w:rsidRPr="008E6374">
        <w:rPr>
          <w:rFonts w:ascii="Palatino Linotype" w:hAnsi="Palatino Linotype" w:cs="Arial"/>
        </w:rPr>
        <w:t>contributors</w:t>
      </w:r>
      <w:proofErr w:type="spellEnd"/>
    </w:p>
    <w:p w14:paraId="26BBF2EA" w14:textId="77777777" w:rsidR="006D445C" w:rsidRPr="008E6374" w:rsidRDefault="006D445C" w:rsidP="006D445C">
      <w:pPr>
        <w:rPr>
          <w:lang w:eastAsia="de-DE" w:bidi="en-US"/>
        </w:rPr>
      </w:pPr>
    </w:p>
    <w:p w14:paraId="1362CB2F" w14:textId="77777777" w:rsidR="006D445C" w:rsidRPr="008E6374" w:rsidRDefault="006D445C" w:rsidP="006D445C">
      <w:pPr>
        <w:spacing w:line="240" w:lineRule="auto"/>
        <w:rPr>
          <w:rFonts w:ascii="Palatino Linotype" w:hAnsi="Palatino Linotype" w:cs="Times New Roman"/>
          <w:b/>
          <w:bCs/>
          <w:iCs/>
        </w:rPr>
      </w:pPr>
      <w:proofErr w:type="spellStart"/>
      <w:r w:rsidRPr="00A30FAB">
        <w:rPr>
          <w:rFonts w:ascii="Palatino Linotype" w:hAnsi="Palatino Linotype" w:cs="Times New Roman"/>
          <w:b/>
          <w:bCs/>
          <w:iCs/>
        </w:rPr>
        <w:t>Corresponding</w:t>
      </w:r>
      <w:proofErr w:type="spellEnd"/>
      <w:r w:rsidRPr="00A30FAB">
        <w:rPr>
          <w:rFonts w:ascii="Palatino Linotype" w:hAnsi="Palatino Linotype" w:cs="Times New Roman"/>
          <w:b/>
          <w:bCs/>
          <w:iCs/>
        </w:rPr>
        <w:t xml:space="preserve"> Author</w:t>
      </w:r>
    </w:p>
    <w:p w14:paraId="50198B30" w14:textId="77777777" w:rsidR="006D445C" w:rsidRPr="00A30FAB" w:rsidRDefault="006D445C" w:rsidP="006D445C">
      <w:pPr>
        <w:spacing w:line="240" w:lineRule="auto"/>
        <w:contextualSpacing/>
        <w:rPr>
          <w:rFonts w:ascii="Palatino Linotype" w:hAnsi="Palatino Linotype" w:cs="Times New Roman"/>
          <w:bCs/>
          <w:iCs/>
        </w:rPr>
      </w:pPr>
      <w:r w:rsidRPr="00A30FAB">
        <w:rPr>
          <w:rFonts w:ascii="Palatino Linotype" w:hAnsi="Palatino Linotype" w:cs="Times New Roman"/>
          <w:bCs/>
          <w:iCs/>
        </w:rPr>
        <w:t>Paola Dongiovanni</w:t>
      </w:r>
    </w:p>
    <w:p w14:paraId="7EFD845B" w14:textId="77777777" w:rsidR="006D445C" w:rsidRPr="00A30FAB" w:rsidRDefault="006D445C" w:rsidP="006D445C">
      <w:pPr>
        <w:spacing w:line="240" w:lineRule="auto"/>
        <w:contextualSpacing/>
        <w:rPr>
          <w:rFonts w:ascii="Palatino Linotype" w:hAnsi="Palatino Linotype" w:cs="Times New Roman"/>
          <w:bCs/>
          <w:iCs/>
        </w:rPr>
      </w:pPr>
      <w:r w:rsidRPr="00A30FAB">
        <w:rPr>
          <w:rFonts w:ascii="Palatino Linotype" w:hAnsi="Palatino Linotype" w:cs="Times New Roman"/>
          <w:bCs/>
          <w:iCs/>
        </w:rPr>
        <w:t>General Medicine and Metabolic Diseases, Fondazione IRCCS Cà Granda Ospedale Maggiore Policlinico, Milan, Italy,</w:t>
      </w:r>
    </w:p>
    <w:p w14:paraId="5ECB81AE" w14:textId="77777777" w:rsidR="006D445C" w:rsidRPr="00A30FAB" w:rsidRDefault="006D445C" w:rsidP="006D445C">
      <w:pPr>
        <w:spacing w:line="240" w:lineRule="auto"/>
        <w:contextualSpacing/>
        <w:rPr>
          <w:rFonts w:ascii="Palatino Linotype" w:hAnsi="Palatino Linotype" w:cs="Times New Roman"/>
          <w:bCs/>
          <w:iCs/>
        </w:rPr>
      </w:pPr>
      <w:r w:rsidRPr="00A30FAB">
        <w:rPr>
          <w:rFonts w:ascii="Palatino Linotype" w:hAnsi="Palatino Linotype" w:cs="Times New Roman"/>
          <w:bCs/>
          <w:iCs/>
        </w:rPr>
        <w:t>Via Francesco Sforza 35, 20122 Milano.</w:t>
      </w:r>
    </w:p>
    <w:p w14:paraId="403ADC55" w14:textId="77777777" w:rsidR="006D445C" w:rsidRPr="00A30FAB" w:rsidRDefault="006D445C" w:rsidP="006D445C">
      <w:pPr>
        <w:spacing w:line="240" w:lineRule="auto"/>
        <w:contextualSpacing/>
        <w:rPr>
          <w:rFonts w:ascii="Palatino Linotype" w:hAnsi="Palatino Linotype" w:cs="Times New Roman"/>
          <w:bCs/>
          <w:iCs/>
        </w:rPr>
      </w:pPr>
      <w:r w:rsidRPr="00A30FAB">
        <w:rPr>
          <w:rFonts w:ascii="Palatino Linotype" w:hAnsi="Palatino Linotype" w:cs="Times New Roman"/>
          <w:bCs/>
          <w:iCs/>
        </w:rPr>
        <w:t xml:space="preserve">Phone: +39-02-55033467. Fax +39-02-50320296. </w:t>
      </w:r>
    </w:p>
    <w:p w14:paraId="2D2386D7" w14:textId="77777777" w:rsidR="006D445C" w:rsidRPr="00A30FAB" w:rsidRDefault="006D445C" w:rsidP="006D445C">
      <w:pPr>
        <w:spacing w:line="240" w:lineRule="auto"/>
        <w:contextualSpacing/>
        <w:rPr>
          <w:rFonts w:ascii="Palatino Linotype" w:hAnsi="Palatino Linotype" w:cs="Times New Roman"/>
          <w:bCs/>
          <w:iCs/>
        </w:rPr>
      </w:pPr>
      <w:r w:rsidRPr="00A30FAB">
        <w:rPr>
          <w:rFonts w:ascii="Palatino Linotype" w:hAnsi="Palatino Linotype" w:cs="Times New Roman"/>
          <w:bCs/>
          <w:iCs/>
        </w:rPr>
        <w:t xml:space="preserve">e-mail: </w:t>
      </w:r>
      <w:hyperlink r:id="rId6" w:history="1">
        <w:r w:rsidRPr="00A30FAB">
          <w:rPr>
            <w:rFonts w:ascii="Palatino Linotype" w:hAnsi="Palatino Linotype" w:cs="Times New Roman"/>
            <w:bCs/>
            <w:iCs/>
          </w:rPr>
          <w:t>paola.dongiovanni@policlinico.mi.it</w:t>
        </w:r>
      </w:hyperlink>
    </w:p>
    <w:p w14:paraId="6C75C693" w14:textId="77777777" w:rsidR="0017506E" w:rsidRPr="008E6374" w:rsidRDefault="0017506E" w:rsidP="0017506E">
      <w:pPr>
        <w:spacing w:after="0" w:line="360" w:lineRule="auto"/>
        <w:jc w:val="both"/>
        <w:rPr>
          <w:rFonts w:ascii="Palatino Linotype" w:hAnsi="Palatino Linotype" w:cs="Arial"/>
          <w:b/>
          <w:sz w:val="24"/>
          <w:szCs w:val="24"/>
        </w:rPr>
      </w:pPr>
    </w:p>
    <w:p w14:paraId="526B7113" w14:textId="77777777" w:rsidR="002933C1" w:rsidRPr="0017506E" w:rsidRDefault="002933C1" w:rsidP="00550A44">
      <w:pPr>
        <w:rPr>
          <w:rFonts w:ascii="Times New Roman" w:hAnsi="Times New Roman" w:cs="Times New Roman"/>
          <w:b/>
          <w:sz w:val="40"/>
          <w:szCs w:val="40"/>
        </w:rPr>
      </w:pPr>
    </w:p>
    <w:p w14:paraId="57772050" w14:textId="7EDDC4AF" w:rsidR="002A7184" w:rsidRPr="00E27395" w:rsidRDefault="00443A58" w:rsidP="00550A44">
      <w:pPr>
        <w:spacing w:after="0"/>
        <w:jc w:val="center"/>
        <w:rPr>
          <w:rFonts w:ascii="Palatino Linotype" w:hAnsi="Palatino Linotype" w:cs="Times New Roman"/>
          <w:b/>
          <w:sz w:val="40"/>
          <w:szCs w:val="40"/>
          <w:lang w:val="en-US"/>
        </w:rPr>
      </w:pPr>
      <w:r w:rsidRPr="00E27395">
        <w:rPr>
          <w:rFonts w:ascii="Palatino Linotype" w:hAnsi="Palatino Linotype" w:cs="Times New Roman"/>
          <w:b/>
          <w:sz w:val="40"/>
          <w:szCs w:val="40"/>
          <w:lang w:val="en-US"/>
        </w:rPr>
        <w:t>Supplemental materials and methods</w:t>
      </w:r>
      <w:r w:rsidR="00532A05" w:rsidRPr="00E27395">
        <w:rPr>
          <w:rFonts w:ascii="Palatino Linotype" w:hAnsi="Palatino Linotype"/>
          <w:b/>
          <w:lang w:val="en-US"/>
        </w:rPr>
        <w:br/>
      </w:r>
    </w:p>
    <w:p w14:paraId="1CCF652A" w14:textId="5B68ABD6" w:rsidR="002933C1" w:rsidRDefault="002933C1" w:rsidP="001B2532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14:paraId="599517B1" w14:textId="7C54ABFE" w:rsidR="002933C1" w:rsidRDefault="002933C1" w:rsidP="001B2532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14:paraId="0372786A" w14:textId="0A5592AF" w:rsidR="00550A44" w:rsidRDefault="00550A44" w:rsidP="003764BA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14:paraId="0FE90B5C" w14:textId="25B55BA7" w:rsidR="00550A44" w:rsidRDefault="00550A44" w:rsidP="003764BA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14:paraId="22603774" w14:textId="77777777" w:rsidR="00550A44" w:rsidRDefault="00550A44" w:rsidP="003764BA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14:paraId="3B6F8355" w14:textId="3702DA03" w:rsidR="003764BA" w:rsidRPr="00E27395" w:rsidRDefault="003764BA" w:rsidP="003764BA">
      <w:pPr>
        <w:rPr>
          <w:rFonts w:ascii="Palatino Linotype" w:hAnsi="Palatino Linotype" w:cs="Times New Roman"/>
          <w:b/>
          <w:i/>
          <w:iCs/>
          <w:lang w:val="en-GB"/>
        </w:rPr>
      </w:pPr>
      <w:r w:rsidRPr="00E27395">
        <w:rPr>
          <w:rFonts w:ascii="Palatino Linotype" w:hAnsi="Palatino Linotype" w:cs="Times New Roman"/>
          <w:b/>
          <w:i/>
          <w:iCs/>
          <w:lang w:val="en-GB"/>
        </w:rPr>
        <w:lastRenderedPageBreak/>
        <w:t xml:space="preserve">Chemicals </w:t>
      </w:r>
    </w:p>
    <w:p w14:paraId="715C3F03" w14:textId="04F6E4EE" w:rsidR="001B2532" w:rsidRPr="00E27395" w:rsidRDefault="001B2532" w:rsidP="003764BA">
      <w:pPr>
        <w:spacing w:line="360" w:lineRule="auto"/>
        <w:jc w:val="both"/>
        <w:rPr>
          <w:rFonts w:ascii="Palatino Linotype" w:hAnsi="Palatino Linotype" w:cs="Times New Roman"/>
          <w:lang w:val="en-US"/>
        </w:rPr>
      </w:pPr>
      <w:r w:rsidRPr="00E27395">
        <w:rPr>
          <w:rFonts w:ascii="Palatino Linotype" w:hAnsi="Palatino Linotype"/>
          <w:bCs/>
          <w:lang w:val="en-GB"/>
        </w:rPr>
        <w:t>B</w:t>
      </w:r>
      <w:r w:rsidR="001B1E5F" w:rsidRPr="00E27395">
        <w:rPr>
          <w:rFonts w:ascii="Palatino Linotype" w:hAnsi="Palatino Linotype"/>
          <w:bCs/>
          <w:lang w:val="en-US"/>
        </w:rPr>
        <w:t xml:space="preserve">ovine serum albumin (BSA) </w:t>
      </w:r>
      <w:r w:rsidR="00443A58" w:rsidRPr="00E27395">
        <w:rPr>
          <w:rFonts w:ascii="Palatino Linotype" w:hAnsi="Palatino Linotype" w:cs="Times New Roman"/>
          <w:lang w:val="en-GB"/>
        </w:rPr>
        <w:t>w</w:t>
      </w:r>
      <w:r w:rsidRPr="00E27395">
        <w:rPr>
          <w:rFonts w:ascii="Palatino Linotype" w:hAnsi="Palatino Linotype" w:cs="Times New Roman"/>
          <w:lang w:val="en-GB"/>
        </w:rPr>
        <w:t>as</w:t>
      </w:r>
      <w:r w:rsidR="003764BA" w:rsidRPr="00E27395">
        <w:rPr>
          <w:rFonts w:ascii="Palatino Linotype" w:hAnsi="Palatino Linotype" w:cs="Times New Roman"/>
          <w:lang w:val="en-GB"/>
        </w:rPr>
        <w:t xml:space="preserve"> purchased from </w:t>
      </w:r>
      <w:r w:rsidR="003764BA" w:rsidRPr="00E27395">
        <w:rPr>
          <w:rFonts w:ascii="Palatino Linotype" w:hAnsi="Palatino Linotype" w:cs="Times New Roman"/>
          <w:bCs/>
          <w:lang w:val="en-US"/>
        </w:rPr>
        <w:t>Sigma-Aldrich (St Louis, MO)</w:t>
      </w:r>
      <w:r w:rsidR="003764BA" w:rsidRPr="00E27395">
        <w:rPr>
          <w:rFonts w:ascii="Palatino Linotype" w:hAnsi="Palatino Linotype" w:cs="Times New Roman"/>
          <w:lang w:val="en-US"/>
        </w:rPr>
        <w:t xml:space="preserve">. </w:t>
      </w:r>
      <w:r w:rsidRPr="00E27395">
        <w:rPr>
          <w:rFonts w:ascii="Palatino Linotype" w:hAnsi="Palatino Linotype" w:cs="Times New Roman"/>
          <w:lang w:val="en-GB"/>
        </w:rPr>
        <w:t>Dulbecco’s modified Eagle’s medium (DMEM), fetal bovine serum (FBS), phosphate-buffered saline (PBS), L-Glutamine, penicillin/streptomycin, Trypsin/EDTA, Hank’s balanced salt solution (HBSS),</w:t>
      </w:r>
      <w:r w:rsidRPr="00E27395">
        <w:rPr>
          <w:rFonts w:ascii="Palatino Linotype" w:hAnsi="Palatino Linotype" w:cs="Times New Roman"/>
          <w:lang w:val="en-US"/>
        </w:rPr>
        <w:t xml:space="preserve"> </w:t>
      </w:r>
      <w:r w:rsidRPr="00E27395">
        <w:rPr>
          <w:rFonts w:ascii="Palatino Linotype" w:hAnsi="Palatino Linotype" w:cs="Times New Roman"/>
          <w:lang w:val="en-GB"/>
        </w:rPr>
        <w:t xml:space="preserve">fast SYBR green master mix and </w:t>
      </w:r>
      <w:r w:rsidRPr="00E27395">
        <w:rPr>
          <w:rFonts w:ascii="Palatino Linotype" w:hAnsi="Palatino Linotype" w:cs="Times New Roman"/>
          <w:lang w:val="en-US"/>
        </w:rPr>
        <w:t xml:space="preserve">lipofectamine </w:t>
      </w:r>
      <w:proofErr w:type="spellStart"/>
      <w:r w:rsidRPr="00E27395">
        <w:rPr>
          <w:rFonts w:ascii="Palatino Linotype" w:hAnsi="Palatino Linotype" w:cs="Times New Roman"/>
          <w:lang w:val="en-US"/>
        </w:rPr>
        <w:t>RNAiMAX</w:t>
      </w:r>
      <w:proofErr w:type="spellEnd"/>
      <w:r w:rsidRPr="00E27395">
        <w:rPr>
          <w:rFonts w:ascii="Palatino Linotype" w:hAnsi="Palatino Linotype" w:cs="Times New Roman"/>
          <w:lang w:val="en-US"/>
        </w:rPr>
        <w:t xml:space="preserve"> transfection reagent </w:t>
      </w:r>
      <w:r w:rsidRPr="00E27395">
        <w:rPr>
          <w:rFonts w:ascii="Palatino Linotype" w:hAnsi="Palatino Linotype" w:cs="Times New Roman"/>
          <w:lang w:val="en-GB"/>
        </w:rPr>
        <w:t xml:space="preserve">were obtained Life Technologies-ThermoFisher Scientific (Waltham, United States). </w:t>
      </w:r>
      <w:r w:rsidR="00443A58" w:rsidRPr="00E27395">
        <w:rPr>
          <w:rFonts w:ascii="Palatino Linotype" w:hAnsi="Palatino Linotype" w:cs="Times New Roman"/>
          <w:lang w:val="en-US"/>
        </w:rPr>
        <w:t>Anti-</w:t>
      </w:r>
      <w:r w:rsidRPr="00E27395">
        <w:rPr>
          <w:rFonts w:ascii="Palatino Linotype" w:hAnsi="Palatino Linotype" w:cs="Times New Roman"/>
          <w:lang w:val="en-US"/>
        </w:rPr>
        <w:t>DRP1, anti-</w:t>
      </w:r>
      <w:proofErr w:type="spellStart"/>
      <w:r w:rsidRPr="00E27395">
        <w:rPr>
          <w:rFonts w:ascii="Palatino Linotype" w:hAnsi="Palatino Linotype" w:cs="Times New Roman"/>
          <w:lang w:val="en-US"/>
        </w:rPr>
        <w:t>mtCOXII</w:t>
      </w:r>
      <w:proofErr w:type="spellEnd"/>
      <w:r w:rsidR="00CA017E" w:rsidRPr="00E27395">
        <w:rPr>
          <w:rFonts w:ascii="Palatino Linotype" w:hAnsi="Palatino Linotype" w:cs="Times New Roman"/>
          <w:lang w:val="en-US"/>
        </w:rPr>
        <w:t xml:space="preserve">, </w:t>
      </w:r>
      <w:r w:rsidRPr="00E27395">
        <w:rPr>
          <w:rFonts w:ascii="Palatino Linotype" w:hAnsi="Palatino Linotype" w:cs="Times New Roman"/>
          <w:lang w:val="en-US"/>
        </w:rPr>
        <w:t>anti-</w:t>
      </w:r>
      <w:r w:rsidR="00313812" w:rsidRPr="00E27395">
        <w:rPr>
          <w:rFonts w:ascii="Palatino Linotype" w:hAnsi="Palatino Linotype" w:cs="Times New Roman"/>
          <w:lang w:val="en-US"/>
        </w:rPr>
        <w:t>C</w:t>
      </w:r>
      <w:r w:rsidRPr="00E27395">
        <w:rPr>
          <w:rFonts w:ascii="Palatino Linotype" w:hAnsi="Palatino Linotype" w:cs="Times New Roman"/>
          <w:lang w:val="en-US"/>
        </w:rPr>
        <w:t xml:space="preserve">itrate </w:t>
      </w:r>
      <w:r w:rsidR="00313812" w:rsidRPr="00E27395">
        <w:rPr>
          <w:rFonts w:ascii="Palatino Linotype" w:hAnsi="Palatino Linotype" w:cs="Times New Roman"/>
          <w:lang w:val="en-US"/>
        </w:rPr>
        <w:t>S</w:t>
      </w:r>
      <w:r w:rsidRPr="00E27395">
        <w:rPr>
          <w:rFonts w:ascii="Palatino Linotype" w:hAnsi="Palatino Linotype" w:cs="Times New Roman"/>
          <w:lang w:val="en-US"/>
        </w:rPr>
        <w:t>ynthase</w:t>
      </w:r>
      <w:r w:rsidR="00CA017E" w:rsidRPr="00E27395">
        <w:rPr>
          <w:rFonts w:ascii="Palatino Linotype" w:hAnsi="Palatino Linotype" w:cs="Times New Roman"/>
          <w:lang w:val="en-US"/>
        </w:rPr>
        <w:t xml:space="preserve"> and</w:t>
      </w:r>
      <w:r w:rsidRPr="00E27395">
        <w:rPr>
          <w:rFonts w:ascii="Palatino Linotype" w:hAnsi="Palatino Linotype" w:cs="Times New Roman"/>
          <w:lang w:val="en-US"/>
        </w:rPr>
        <w:t xml:space="preserve"> </w:t>
      </w:r>
      <w:r w:rsidR="00CA017E" w:rsidRPr="00E27395">
        <w:rPr>
          <w:rFonts w:ascii="Palatino Linotype" w:hAnsi="Palatino Linotype" w:cs="Times New Roman"/>
          <w:lang w:val="en-GB"/>
        </w:rPr>
        <w:t xml:space="preserve">anti-vinculin primary </w:t>
      </w:r>
      <w:r w:rsidR="00CA017E" w:rsidRPr="00E27395">
        <w:rPr>
          <w:rFonts w:ascii="Palatino Linotype" w:hAnsi="Palatino Linotype" w:cs="Times New Roman"/>
          <w:lang w:val="en-US"/>
        </w:rPr>
        <w:t xml:space="preserve">antibodies </w:t>
      </w:r>
      <w:r w:rsidR="003764BA" w:rsidRPr="00E27395">
        <w:rPr>
          <w:rFonts w:ascii="Palatino Linotype" w:hAnsi="Palatino Linotype" w:cs="Times New Roman"/>
          <w:lang w:val="en-GB"/>
        </w:rPr>
        <w:t>w</w:t>
      </w:r>
      <w:r w:rsidR="00443A58" w:rsidRPr="00E27395">
        <w:rPr>
          <w:rFonts w:ascii="Palatino Linotype" w:hAnsi="Palatino Linotype" w:cs="Times New Roman"/>
          <w:lang w:val="en-GB"/>
        </w:rPr>
        <w:t>ere</w:t>
      </w:r>
      <w:r w:rsidR="003764BA" w:rsidRPr="00E27395">
        <w:rPr>
          <w:rFonts w:ascii="Palatino Linotype" w:hAnsi="Palatino Linotype" w:cs="Times New Roman"/>
          <w:lang w:val="en-GB"/>
        </w:rPr>
        <w:t xml:space="preserve"> acquired from</w:t>
      </w:r>
      <w:r w:rsidRPr="00E27395">
        <w:rPr>
          <w:rFonts w:ascii="Palatino Linotype" w:hAnsi="Palatino Linotype" w:cs="Times New Roman"/>
          <w:lang w:val="en-GB"/>
        </w:rPr>
        <w:t xml:space="preserve"> </w:t>
      </w:r>
      <w:r w:rsidRPr="00E27395">
        <w:rPr>
          <w:rFonts w:ascii="Palatino Linotype" w:hAnsi="Palatino Linotype" w:cs="Times New Roman"/>
          <w:bCs/>
          <w:lang w:val="en-US"/>
        </w:rPr>
        <w:t>Abcam (Cambridge, UK)</w:t>
      </w:r>
      <w:r w:rsidR="00443A58" w:rsidRPr="00E27395">
        <w:rPr>
          <w:rFonts w:ascii="Palatino Linotype" w:hAnsi="Palatino Linotype" w:cs="Times New Roman"/>
          <w:lang w:val="en-GB"/>
        </w:rPr>
        <w:t xml:space="preserve">. </w:t>
      </w:r>
      <w:r w:rsidR="00CA017E" w:rsidRPr="00E27395">
        <w:rPr>
          <w:rFonts w:ascii="Palatino Linotype" w:hAnsi="Palatino Linotype" w:cs="Times New Roman"/>
          <w:lang w:val="en-GB"/>
        </w:rPr>
        <w:t xml:space="preserve">Anti-PCG1α primary </w:t>
      </w:r>
      <w:r w:rsidR="00CA017E" w:rsidRPr="00E27395">
        <w:rPr>
          <w:rFonts w:ascii="Palatino Linotype" w:hAnsi="Palatino Linotype" w:cs="Times New Roman"/>
          <w:lang w:val="en-US"/>
        </w:rPr>
        <w:t xml:space="preserve">antibody </w:t>
      </w:r>
      <w:r w:rsidR="00CA017E" w:rsidRPr="00E27395">
        <w:rPr>
          <w:rFonts w:ascii="Palatino Linotype" w:hAnsi="Palatino Linotype" w:cs="Times New Roman"/>
          <w:lang w:val="en-GB"/>
        </w:rPr>
        <w:t xml:space="preserve">was obtained from Novus Biologicals (Littleton, U.S.A.). Anti-mouse IgG HRP-linked and anti-rabbit IgG HRP-linked secondary antibodies </w:t>
      </w:r>
      <w:r w:rsidR="00443A58" w:rsidRPr="00E27395">
        <w:rPr>
          <w:rFonts w:ascii="Palatino Linotype" w:hAnsi="Palatino Linotype" w:cs="Times New Roman"/>
          <w:lang w:val="en-GB"/>
        </w:rPr>
        <w:t>w</w:t>
      </w:r>
      <w:r w:rsidR="00CA017E" w:rsidRPr="00E27395">
        <w:rPr>
          <w:rFonts w:ascii="Palatino Linotype" w:hAnsi="Palatino Linotype" w:cs="Times New Roman"/>
          <w:lang w:val="en-GB"/>
        </w:rPr>
        <w:t>ere</w:t>
      </w:r>
      <w:r w:rsidR="003764BA" w:rsidRPr="00E27395">
        <w:rPr>
          <w:rFonts w:ascii="Palatino Linotype" w:hAnsi="Palatino Linotype" w:cs="Times New Roman"/>
          <w:lang w:val="en-GB"/>
        </w:rPr>
        <w:t xml:space="preserve"> purchased from </w:t>
      </w:r>
      <w:r w:rsidR="00CA017E" w:rsidRPr="00E27395">
        <w:rPr>
          <w:rFonts w:ascii="Palatino Linotype" w:hAnsi="Palatino Linotype" w:cs="Times New Roman"/>
          <w:lang w:val="en-GB"/>
        </w:rPr>
        <w:t>Cell Signalling</w:t>
      </w:r>
      <w:r w:rsidR="003764BA" w:rsidRPr="00E27395">
        <w:rPr>
          <w:rFonts w:ascii="Palatino Linotype" w:hAnsi="Palatino Linotype" w:cs="Times New Roman"/>
          <w:lang w:val="en-GB"/>
        </w:rPr>
        <w:t xml:space="preserve"> (</w:t>
      </w:r>
      <w:r w:rsidR="00CA017E" w:rsidRPr="00E27395">
        <w:rPr>
          <w:rFonts w:ascii="Palatino Linotype" w:hAnsi="Palatino Linotype" w:cs="Times New Roman"/>
          <w:lang w:val="en-GB"/>
        </w:rPr>
        <w:t>Boston, United States</w:t>
      </w:r>
      <w:r w:rsidR="003764BA" w:rsidRPr="00E27395">
        <w:rPr>
          <w:rFonts w:ascii="Palatino Linotype" w:hAnsi="Palatino Linotype" w:cs="Times New Roman"/>
          <w:lang w:val="en-GB"/>
        </w:rPr>
        <w:t>)</w:t>
      </w:r>
      <w:r w:rsidR="00443A58" w:rsidRPr="00E27395">
        <w:rPr>
          <w:rFonts w:ascii="Palatino Linotype" w:hAnsi="Palatino Linotype" w:cs="Times New Roman"/>
          <w:lang w:val="en-GB"/>
        </w:rPr>
        <w:t xml:space="preserve">. </w:t>
      </w:r>
      <w:r w:rsidRPr="00E27395">
        <w:rPr>
          <w:rFonts w:ascii="Palatino Linotype" w:hAnsi="Palatino Linotype" w:cs="Times New Roman"/>
          <w:bCs/>
          <w:lang w:val="en-US"/>
        </w:rPr>
        <w:t>VectaMount AQ Mounting Medium was obtained from Maravai Life Sciences Inc. (United Kingdom).</w:t>
      </w:r>
      <w:r w:rsidR="00F47F87" w:rsidRPr="00E27395">
        <w:rPr>
          <w:rFonts w:ascii="Palatino Linotype" w:hAnsi="Palatino Linotype" w:cs="Times New Roman"/>
          <w:lang w:val="en-US"/>
        </w:rPr>
        <w:t xml:space="preserve"> </w:t>
      </w:r>
      <w:r w:rsidR="00AA00B7" w:rsidRPr="00E27395">
        <w:rPr>
          <w:rFonts w:ascii="Palatino Linotype" w:hAnsi="Palatino Linotype" w:cs="Times New Roman"/>
          <w:bCs/>
          <w:lang w:val="en-US"/>
        </w:rPr>
        <w:t>ATP Assay Kit (colorimetric/fluor</w:t>
      </w:r>
      <w:r w:rsidR="00F47F87" w:rsidRPr="00E27395">
        <w:rPr>
          <w:rFonts w:ascii="Palatino Linotype" w:hAnsi="Palatino Linotype" w:cs="Times New Roman"/>
          <w:bCs/>
          <w:lang w:val="en-US"/>
        </w:rPr>
        <w:t>o</w:t>
      </w:r>
      <w:r w:rsidR="00AA00B7" w:rsidRPr="00E27395">
        <w:rPr>
          <w:rFonts w:ascii="Palatino Linotype" w:hAnsi="Palatino Linotype" w:cs="Times New Roman"/>
          <w:bCs/>
          <w:lang w:val="en-US"/>
        </w:rPr>
        <w:t>metric)</w:t>
      </w:r>
      <w:r w:rsidR="00F47F87" w:rsidRPr="00E27395">
        <w:rPr>
          <w:rFonts w:ascii="Palatino Linotype" w:hAnsi="Palatino Linotype" w:cs="Times New Roman"/>
          <w:bCs/>
          <w:lang w:val="en-US"/>
        </w:rPr>
        <w:t xml:space="preserve">, Triglycerides Quantification Assay Kit (colorimetric/fluorometric), Heme Assay Kit </w:t>
      </w:r>
      <w:r w:rsidR="00F56ACE" w:rsidRPr="00E27395">
        <w:rPr>
          <w:rFonts w:ascii="Palatino Linotype" w:hAnsi="Palatino Linotype" w:cs="Times New Roman"/>
          <w:bCs/>
          <w:lang w:val="en-US"/>
        </w:rPr>
        <w:t xml:space="preserve">and </w:t>
      </w:r>
      <w:proofErr w:type="spellStart"/>
      <w:r w:rsidR="00F56ACE" w:rsidRPr="00E27395">
        <w:rPr>
          <w:rFonts w:ascii="Palatino Linotype" w:hAnsi="Palatino Linotype" w:cs="Times New Roman"/>
          <w:bCs/>
          <w:lang w:val="en-US"/>
        </w:rPr>
        <w:t>MitoBiogenesis</w:t>
      </w:r>
      <w:proofErr w:type="spellEnd"/>
      <w:r w:rsidR="00F56ACE" w:rsidRPr="00E27395">
        <w:rPr>
          <w:rFonts w:ascii="Palatino Linotype" w:hAnsi="Palatino Linotype" w:cs="Times New Roman"/>
          <w:bCs/>
          <w:lang w:val="en-US"/>
        </w:rPr>
        <w:t xml:space="preserve">™ In-Cell ELISA Kit </w:t>
      </w:r>
      <w:r w:rsidR="00F47F87" w:rsidRPr="00E27395">
        <w:rPr>
          <w:rFonts w:ascii="Palatino Linotype" w:hAnsi="Palatino Linotype" w:cs="Times New Roman"/>
          <w:bCs/>
          <w:lang w:val="en-US"/>
        </w:rPr>
        <w:t>we</w:t>
      </w:r>
      <w:r w:rsidR="00AA00B7" w:rsidRPr="00E27395">
        <w:rPr>
          <w:rFonts w:ascii="Palatino Linotype" w:hAnsi="Palatino Linotype" w:cs="Times New Roman"/>
          <w:bCs/>
          <w:lang w:val="en-US"/>
        </w:rPr>
        <w:t>re bought from Abcam (Cambridge, UK).</w:t>
      </w:r>
      <w:r w:rsidR="00A91F82" w:rsidRPr="00E27395">
        <w:rPr>
          <w:rFonts w:ascii="Palatino Linotype" w:hAnsi="Palatino Linotype" w:cs="Times New Roman"/>
          <w:bCs/>
          <w:lang w:val="en-US"/>
        </w:rPr>
        <w:t xml:space="preserve"> TaqMan Fast Universal PCR Master Mix No </w:t>
      </w:r>
      <w:proofErr w:type="spellStart"/>
      <w:r w:rsidR="00A91F82" w:rsidRPr="00E27395">
        <w:rPr>
          <w:rFonts w:ascii="Palatino Linotype" w:hAnsi="Palatino Linotype" w:cs="Times New Roman"/>
          <w:bCs/>
          <w:lang w:val="en-US"/>
        </w:rPr>
        <w:t>Amperase</w:t>
      </w:r>
      <w:proofErr w:type="spellEnd"/>
      <w:r w:rsidR="00AE363E" w:rsidRPr="00E27395">
        <w:rPr>
          <w:rFonts w:ascii="Palatino Linotype" w:hAnsi="Palatino Linotype" w:cs="Times New Roman"/>
          <w:bCs/>
          <w:lang w:val="en-US"/>
        </w:rPr>
        <w:t xml:space="preserve">, </w:t>
      </w:r>
      <w:r w:rsidR="00AE363E" w:rsidRPr="00E27395">
        <w:rPr>
          <w:rFonts w:ascii="Palatino Linotype" w:hAnsi="Palatino Linotype" w:cs="Times New Roman"/>
          <w:bCs/>
          <w:lang w:val="en-GB"/>
        </w:rPr>
        <w:t xml:space="preserve">TaqMan Copy Number Assay and Reference Assay </w:t>
      </w:r>
      <w:r w:rsidR="00A91F82" w:rsidRPr="00E27395">
        <w:rPr>
          <w:rFonts w:ascii="Palatino Linotype" w:hAnsi="Palatino Linotype" w:cs="Times New Roman"/>
          <w:bCs/>
          <w:lang w:val="en-US"/>
        </w:rPr>
        <w:t>w</w:t>
      </w:r>
      <w:r w:rsidR="00AE363E" w:rsidRPr="00E27395">
        <w:rPr>
          <w:rFonts w:ascii="Palatino Linotype" w:hAnsi="Palatino Linotype" w:cs="Times New Roman"/>
          <w:bCs/>
          <w:lang w:val="en-US"/>
        </w:rPr>
        <w:t>ere</w:t>
      </w:r>
      <w:r w:rsidR="00A91F82" w:rsidRPr="00E27395">
        <w:rPr>
          <w:rFonts w:ascii="Palatino Linotype" w:hAnsi="Palatino Linotype" w:cs="Times New Roman"/>
          <w:bCs/>
          <w:lang w:val="en-US"/>
        </w:rPr>
        <w:t xml:space="preserve"> obtained from Applied Biosystems (United Kingdom).</w:t>
      </w:r>
      <w:r w:rsidR="00EE7F63" w:rsidRPr="00E27395">
        <w:rPr>
          <w:rFonts w:ascii="Palatino Linotype" w:hAnsi="Palatino Linotype" w:cs="Times New Roman"/>
          <w:bCs/>
          <w:lang w:val="en-US"/>
        </w:rPr>
        <w:t xml:space="preserve"> </w:t>
      </w:r>
      <w:proofErr w:type="spellStart"/>
      <w:r w:rsidR="002E77EB" w:rsidRPr="00E27395">
        <w:rPr>
          <w:rFonts w:ascii="Palatino Linotype" w:hAnsi="Palatino Linotype" w:cs="Times New Roman"/>
          <w:bCs/>
          <w:lang w:val="en-US"/>
        </w:rPr>
        <w:t>QIAmp</w:t>
      </w:r>
      <w:proofErr w:type="spellEnd"/>
      <w:r w:rsidR="002E77EB" w:rsidRPr="00E27395">
        <w:rPr>
          <w:rFonts w:ascii="Palatino Linotype" w:hAnsi="Palatino Linotype" w:cs="Times New Roman"/>
          <w:bCs/>
          <w:lang w:val="en-US"/>
        </w:rPr>
        <w:t xml:space="preserve"> DNA Mini Kit was </w:t>
      </w:r>
      <w:r w:rsidR="002E77EB" w:rsidRPr="00E27395">
        <w:rPr>
          <w:rFonts w:ascii="Palatino Linotype" w:hAnsi="Palatino Linotype" w:cs="Times New Roman"/>
          <w:lang w:val="en-GB"/>
        </w:rPr>
        <w:t>purchased</w:t>
      </w:r>
      <w:r w:rsidR="002E77EB" w:rsidRPr="00E27395">
        <w:rPr>
          <w:rFonts w:ascii="Palatino Linotype" w:hAnsi="Palatino Linotype" w:cs="Times New Roman"/>
          <w:bCs/>
          <w:lang w:val="en-GB"/>
        </w:rPr>
        <w:t xml:space="preserve"> from Qiagen (Manchester, UK). </w:t>
      </w:r>
      <w:r w:rsidR="00EE7F63" w:rsidRPr="00E27395">
        <w:rPr>
          <w:rFonts w:ascii="Palatino Linotype" w:hAnsi="Palatino Linotype" w:cs="Times New Roman"/>
          <w:bCs/>
          <w:lang w:val="en-US"/>
        </w:rPr>
        <w:t xml:space="preserve">α-Lipoic Acid </w:t>
      </w:r>
      <w:r w:rsidR="00BE6621" w:rsidRPr="00E27395">
        <w:rPr>
          <w:rFonts w:ascii="Palatino Linotype" w:hAnsi="Palatino Linotype" w:cs="Times New Roman"/>
          <w:bCs/>
          <w:lang w:val="en-US"/>
        </w:rPr>
        <w:t xml:space="preserve">and </w:t>
      </w:r>
      <w:r w:rsidR="00F34A87" w:rsidRPr="00E27395">
        <w:rPr>
          <w:rFonts w:ascii="Palatino Linotype" w:hAnsi="Palatino Linotype" w:cs="Times New Roman"/>
          <w:bCs/>
          <w:lang w:val="en-US"/>
        </w:rPr>
        <w:t>G</w:t>
      </w:r>
      <w:r w:rsidR="00BE6621" w:rsidRPr="00E27395">
        <w:rPr>
          <w:rFonts w:ascii="Palatino Linotype" w:hAnsi="Palatino Linotype" w:cs="Times New Roman"/>
          <w:bCs/>
          <w:lang w:val="en-US"/>
        </w:rPr>
        <w:t xml:space="preserve">lucose powders </w:t>
      </w:r>
      <w:r w:rsidR="00EE7F63" w:rsidRPr="00E27395">
        <w:rPr>
          <w:rFonts w:ascii="Palatino Linotype" w:hAnsi="Palatino Linotype" w:cs="Times New Roman"/>
          <w:lang w:val="en-GB"/>
        </w:rPr>
        <w:t>w</w:t>
      </w:r>
      <w:r w:rsidR="00BE6621" w:rsidRPr="00E27395">
        <w:rPr>
          <w:rFonts w:ascii="Palatino Linotype" w:hAnsi="Palatino Linotype" w:cs="Times New Roman"/>
          <w:lang w:val="en-GB"/>
        </w:rPr>
        <w:t>ere</w:t>
      </w:r>
      <w:r w:rsidR="00EE7F63" w:rsidRPr="00E27395">
        <w:rPr>
          <w:rFonts w:ascii="Palatino Linotype" w:hAnsi="Palatino Linotype" w:cs="Times New Roman"/>
          <w:lang w:val="en-GB"/>
        </w:rPr>
        <w:t xml:space="preserve"> purchased from </w:t>
      </w:r>
      <w:r w:rsidR="00EE7F63" w:rsidRPr="00E27395">
        <w:rPr>
          <w:rFonts w:ascii="Palatino Linotype" w:hAnsi="Palatino Linotype" w:cs="Times New Roman"/>
          <w:bCs/>
          <w:lang w:val="en-US"/>
        </w:rPr>
        <w:t>Sigma-Aldrich (St Louis, MO)</w:t>
      </w:r>
      <w:r w:rsidR="00EE7F63" w:rsidRPr="00E27395">
        <w:rPr>
          <w:rFonts w:ascii="Palatino Linotype" w:hAnsi="Palatino Linotype" w:cs="Times New Roman"/>
          <w:lang w:val="en-US"/>
        </w:rPr>
        <w:t xml:space="preserve">.  </w:t>
      </w:r>
    </w:p>
    <w:p w14:paraId="459B8E84" w14:textId="77777777" w:rsidR="002933C1" w:rsidRPr="00E27395" w:rsidRDefault="002933C1" w:rsidP="00550A44">
      <w:pPr>
        <w:spacing w:before="240" w:after="0" w:line="360" w:lineRule="auto"/>
        <w:jc w:val="both"/>
        <w:rPr>
          <w:rFonts w:ascii="Palatino Linotype" w:hAnsi="Palatino Linotype" w:cs="Times New Roman"/>
          <w:b/>
          <w:bCs/>
          <w:i/>
          <w:iCs/>
          <w:color w:val="000000" w:themeColor="text1"/>
          <w:lang w:val="en-US"/>
        </w:rPr>
      </w:pPr>
      <w:r w:rsidRPr="00E27395">
        <w:rPr>
          <w:rFonts w:ascii="Palatino Linotype" w:hAnsi="Palatino Linotype" w:cs="Times New Roman"/>
          <w:b/>
          <w:bCs/>
          <w:i/>
          <w:iCs/>
          <w:color w:val="000000" w:themeColor="text1"/>
          <w:lang w:val="en-US"/>
        </w:rPr>
        <w:t>Immunocytochemistry (ICC)</w:t>
      </w:r>
    </w:p>
    <w:p w14:paraId="7BB72C06" w14:textId="5081BCEE" w:rsidR="002933C1" w:rsidRDefault="002933C1" w:rsidP="002933C1">
      <w:pPr>
        <w:spacing w:line="360" w:lineRule="auto"/>
        <w:jc w:val="both"/>
        <w:rPr>
          <w:rFonts w:ascii="Palatino Linotype" w:hAnsi="Palatino Linotype" w:cs="Times New Roman"/>
          <w:color w:val="000000" w:themeColor="text1"/>
          <w:lang w:val="en-US"/>
        </w:rPr>
      </w:pPr>
      <w:r w:rsidRPr="00E27395">
        <w:rPr>
          <w:rFonts w:ascii="Palatino Linotype" w:hAnsi="Palatino Linotype" w:cs="Times New Roman"/>
          <w:color w:val="000000" w:themeColor="text1"/>
          <w:lang w:val="en-US"/>
        </w:rPr>
        <w:t>1x10</w:t>
      </w:r>
      <w:r w:rsidRPr="00E27395">
        <w:rPr>
          <w:rFonts w:ascii="Palatino Linotype" w:hAnsi="Palatino Linotype" w:cs="Times New Roman"/>
          <w:color w:val="000000" w:themeColor="text1"/>
          <w:vertAlign w:val="superscript"/>
          <w:lang w:val="en-US"/>
        </w:rPr>
        <w:t>6</w:t>
      </w:r>
      <w:r w:rsidRPr="00E27395">
        <w:rPr>
          <w:rFonts w:ascii="Palatino Linotype" w:hAnsi="Palatino Linotype" w:cs="Times New Roman"/>
          <w:color w:val="000000" w:themeColor="text1"/>
          <w:lang w:val="en-US"/>
        </w:rPr>
        <w:t xml:space="preserve"> cells were seeded on coverslip lodged in a 6-well plate in duplicate and kept overnight in DMEM medium containing 4500 mg/L glucose, 10% Fetal Bovine Serum (FBS), 1% L-glutamine and 1% Penicillin/Streptomycin. Next, hepatocytes were fixed in 4% formalin for 15 minutes and permeabilized in 0.3% Triton-X 100. Cells were incubated in 5% Bovine Serum Albumin (BSA) for 30 minutes and with anti-DRP1 primary antibody overnight at 4°C. Then, each sample was incubated with anti-mouse HRP-conjugated secondary antibody and 3,3′-Diaminobenzidine (DAB) was provided as chromogen (brown deposits). Nucleus were counterstained with hematoxylin. Finally, samples were mounted with a drop aqueous VectaMount AQ Mounting Medium (Maravai Life Sciences Inc. United Kingdom). </w:t>
      </w:r>
    </w:p>
    <w:p w14:paraId="73D8CA89" w14:textId="77777777" w:rsidR="008A4DFC" w:rsidRPr="00E27395" w:rsidRDefault="008A4DFC" w:rsidP="008A4DFC">
      <w:pPr>
        <w:spacing w:before="240" w:after="0" w:line="360" w:lineRule="auto"/>
        <w:jc w:val="both"/>
        <w:rPr>
          <w:rFonts w:ascii="Palatino Linotype" w:hAnsi="Palatino Linotype" w:cs="Times New Roman"/>
          <w:b/>
          <w:bCs/>
          <w:i/>
          <w:iCs/>
          <w:color w:val="000000" w:themeColor="text1"/>
          <w:lang w:val="en-US"/>
        </w:rPr>
      </w:pPr>
      <w:r w:rsidRPr="00E27395">
        <w:rPr>
          <w:rFonts w:ascii="Palatino Linotype" w:hAnsi="Palatino Linotype" w:cs="Times New Roman"/>
          <w:b/>
          <w:bCs/>
          <w:i/>
          <w:iCs/>
          <w:color w:val="000000" w:themeColor="text1"/>
          <w:lang w:val="en-US"/>
        </w:rPr>
        <w:t xml:space="preserve">Evaluation of mitochondrially DNA (mtDNA)-encoded COX-I </w:t>
      </w:r>
    </w:p>
    <w:p w14:paraId="5EDED657" w14:textId="77777777" w:rsidR="008A4DFC" w:rsidRPr="00E27395" w:rsidRDefault="008A4DFC" w:rsidP="008A4DFC">
      <w:pPr>
        <w:spacing w:line="360" w:lineRule="auto"/>
        <w:jc w:val="both"/>
        <w:rPr>
          <w:rFonts w:ascii="Palatino Linotype" w:hAnsi="Palatino Linotype" w:cs="Times New Roman"/>
          <w:color w:val="000000" w:themeColor="text1"/>
          <w:lang w:val="en-US"/>
        </w:rPr>
      </w:pPr>
      <w:r w:rsidRPr="00E27395">
        <w:rPr>
          <w:rFonts w:ascii="Palatino Linotype" w:hAnsi="Palatino Linotype" w:cs="Times New Roman"/>
          <w:color w:val="000000" w:themeColor="text1"/>
          <w:lang w:val="en-US"/>
        </w:rPr>
        <w:t>Mitobiogenesis In-Cell ELISA Kit Abcam (Cambridge, UK) exploits a quantitative immunocytochemistry (ICC) to measure subunit I of mtDNA-encoded Complex IV (mt-COX-I) and nuclear DNA (</w:t>
      </w:r>
      <w:proofErr w:type="spellStart"/>
      <w:r w:rsidRPr="00E27395">
        <w:rPr>
          <w:rFonts w:ascii="Palatino Linotype" w:hAnsi="Palatino Linotype" w:cs="Times New Roman"/>
          <w:color w:val="000000" w:themeColor="text1"/>
          <w:lang w:val="en-US"/>
        </w:rPr>
        <w:t>nDNA</w:t>
      </w:r>
      <w:proofErr w:type="spellEnd"/>
      <w:r w:rsidRPr="00E27395">
        <w:rPr>
          <w:rFonts w:ascii="Palatino Linotype" w:hAnsi="Palatino Linotype" w:cs="Times New Roman"/>
          <w:color w:val="000000" w:themeColor="text1"/>
          <w:lang w:val="en-US"/>
        </w:rPr>
        <w:t xml:space="preserve">)-encoded succinate dehydrogenase complex flavoprotein subunit A (SDHA, otherwise known as Complex II or Citrate Synthase (CS)) protein levels in live cells and it was </w:t>
      </w:r>
      <w:r w:rsidRPr="00E27395">
        <w:rPr>
          <w:rFonts w:ascii="Palatino Linotype" w:hAnsi="Palatino Linotype" w:cs="Times New Roman"/>
          <w:color w:val="000000" w:themeColor="text1"/>
          <w:lang w:val="en-US"/>
        </w:rPr>
        <w:lastRenderedPageBreak/>
        <w:t xml:space="preserve">performed following the manufacturer’ instructions </w:t>
      </w:r>
      <w:r w:rsidRPr="00E27395">
        <w:rPr>
          <w:rFonts w:ascii="Palatino Linotype" w:hAnsi="Palatino Linotype"/>
          <w:color w:val="000000" w:themeColor="text1"/>
          <w:lang w:val="en-US"/>
        </w:rPr>
        <w:fldChar w:fldCharType="begin">
          <w:fldData xml:space="preserve">PEVuZE5vdGU+PENpdGU+PEF1dGhvcj5DaGlyYW1ibzwvQXV0aG9yPjxZZWFyPjIwMTc8L1llYXI+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</w:fldData>
        </w:fldChar>
      </w:r>
      <w:r>
        <w:rPr>
          <w:rFonts w:ascii="Palatino Linotype" w:hAnsi="Palatino Linotype"/>
          <w:color w:val="000000" w:themeColor="text1"/>
          <w:lang w:val="en-US"/>
        </w:rPr>
        <w:instrText xml:space="preserve"> ADDIN EN.CITE </w:instrText>
      </w:r>
      <w:r>
        <w:rPr>
          <w:rFonts w:ascii="Palatino Linotype" w:hAnsi="Palatino Linotype"/>
          <w:color w:val="000000" w:themeColor="text1"/>
          <w:lang w:val="en-US"/>
        </w:rPr>
        <w:fldChar w:fldCharType="begin">
          <w:fldData xml:space="preserve">PEVuZE5vdGU+PENpdGU+PEF1dGhvcj5DaGlyYW1ibzwvQXV0aG9yPjxZZWFyPjIwMTc8L1llYXI+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</w:fldData>
        </w:fldChar>
      </w:r>
      <w:r>
        <w:rPr>
          <w:rFonts w:ascii="Palatino Linotype" w:hAnsi="Palatino Linotype"/>
          <w:color w:val="000000" w:themeColor="text1"/>
          <w:lang w:val="en-US"/>
        </w:rPr>
        <w:instrText xml:space="preserve"> ADDIN EN.CITE.DATA </w:instrText>
      </w:r>
      <w:r>
        <w:rPr>
          <w:rFonts w:ascii="Palatino Linotype" w:hAnsi="Palatino Linotype"/>
          <w:color w:val="000000" w:themeColor="text1"/>
          <w:lang w:val="en-US"/>
        </w:rPr>
      </w:r>
      <w:r>
        <w:rPr>
          <w:rFonts w:ascii="Palatino Linotype" w:hAnsi="Palatino Linotype"/>
          <w:color w:val="000000" w:themeColor="text1"/>
          <w:lang w:val="en-US"/>
        </w:rPr>
        <w:fldChar w:fldCharType="end"/>
      </w:r>
      <w:r w:rsidRPr="00E27395">
        <w:rPr>
          <w:rFonts w:ascii="Palatino Linotype" w:hAnsi="Palatino Linotype"/>
          <w:color w:val="000000" w:themeColor="text1"/>
          <w:lang w:val="en-US"/>
        </w:rPr>
      </w:r>
      <w:r w:rsidRPr="00E27395">
        <w:rPr>
          <w:rFonts w:ascii="Palatino Linotype" w:hAnsi="Palatino Linotype"/>
          <w:color w:val="000000" w:themeColor="text1"/>
          <w:lang w:val="en-US"/>
        </w:rPr>
        <w:fldChar w:fldCharType="separate"/>
      </w:r>
      <w:r>
        <w:rPr>
          <w:rFonts w:ascii="Palatino Linotype" w:hAnsi="Palatino Linotype"/>
          <w:noProof/>
          <w:color w:val="000000" w:themeColor="text1"/>
          <w:lang w:val="en-US"/>
        </w:rPr>
        <w:t>[</w:t>
      </w:r>
      <w:hyperlink w:anchor="_ENREF_22" w:tooltip="Chirambo, 2017 #385" w:history="1">
        <w:r>
          <w:rPr>
            <w:rFonts w:ascii="Palatino Linotype" w:hAnsi="Palatino Linotype"/>
            <w:noProof/>
            <w:color w:val="000000" w:themeColor="text1"/>
            <w:lang w:val="en-US"/>
          </w:rPr>
          <w:t>22</w:t>
        </w:r>
      </w:hyperlink>
      <w:r>
        <w:rPr>
          <w:rFonts w:ascii="Palatino Linotype" w:hAnsi="Palatino Linotype"/>
          <w:noProof/>
          <w:color w:val="000000" w:themeColor="text1"/>
          <w:lang w:val="en-US"/>
        </w:rPr>
        <w:t>]</w:t>
      </w:r>
      <w:r w:rsidRPr="00E27395">
        <w:rPr>
          <w:rFonts w:ascii="Palatino Linotype" w:hAnsi="Palatino Linotype"/>
          <w:color w:val="000000" w:themeColor="text1"/>
          <w:lang w:val="en-US"/>
        </w:rPr>
        <w:fldChar w:fldCharType="end"/>
      </w:r>
      <w:r w:rsidRPr="00E27395">
        <w:rPr>
          <w:rFonts w:ascii="Palatino Linotype" w:hAnsi="Palatino Linotype" w:cs="Times New Roman"/>
          <w:color w:val="000000" w:themeColor="text1"/>
          <w:lang w:val="en-US"/>
        </w:rPr>
        <w:t>. Briefly, cells are seeded in a 96-well plate (3x10</w:t>
      </w:r>
      <w:r w:rsidRPr="00E27395">
        <w:rPr>
          <w:rFonts w:ascii="Palatino Linotype" w:hAnsi="Palatino Linotype" w:cs="Times New Roman"/>
          <w:color w:val="000000" w:themeColor="text1"/>
          <w:vertAlign w:val="superscript"/>
          <w:lang w:val="en-US"/>
        </w:rPr>
        <w:t>5</w:t>
      </w:r>
      <w:r w:rsidRPr="00E27395">
        <w:rPr>
          <w:rFonts w:ascii="Palatino Linotype" w:hAnsi="Palatino Linotype" w:cs="Times New Roman"/>
          <w:color w:val="000000" w:themeColor="text1"/>
          <w:lang w:val="en-US"/>
        </w:rPr>
        <w:t xml:space="preserve">/well) in triplicate, fixed with 4% paraformaldehyde and permeabilized through 1X Triton-X 100. Targets of interest were detected with highly specific, well-characterized cocktail of monoclonal antibodies, which were incubated overnight at 4°C. Then, AP-labelled and HRP-labeled secondary antibodies were used to generate a colorimetric reaction that could be measured at 405 and 600 nm, respectively. </w:t>
      </w:r>
    </w:p>
    <w:p w14:paraId="25D1A917" w14:textId="77777777" w:rsidR="008A4DFC" w:rsidRPr="00E27395" w:rsidRDefault="008A4DFC" w:rsidP="008A4DFC">
      <w:pPr>
        <w:spacing w:before="240" w:after="0" w:line="360" w:lineRule="auto"/>
        <w:jc w:val="both"/>
        <w:rPr>
          <w:rFonts w:ascii="Palatino Linotype" w:hAnsi="Palatino Linotype" w:cs="Times New Roman"/>
          <w:b/>
          <w:i/>
          <w:iCs/>
          <w:color w:val="000000" w:themeColor="text1"/>
          <w:lang w:val="en-US"/>
        </w:rPr>
      </w:pPr>
      <w:r w:rsidRPr="00E27395">
        <w:rPr>
          <w:rFonts w:ascii="Palatino Linotype" w:hAnsi="Palatino Linotype" w:cs="Times New Roman"/>
          <w:b/>
          <w:i/>
          <w:iCs/>
          <w:color w:val="000000" w:themeColor="text1"/>
          <w:lang w:val="en-US"/>
        </w:rPr>
        <w:t>Measurement of mitochondrial ATP production</w:t>
      </w:r>
    </w:p>
    <w:p w14:paraId="775096E4" w14:textId="77777777" w:rsidR="008A4DFC" w:rsidRPr="00E27395" w:rsidRDefault="008A4DFC" w:rsidP="008A4DFC">
      <w:pPr>
        <w:spacing w:after="0" w:line="360" w:lineRule="auto"/>
        <w:jc w:val="both"/>
        <w:rPr>
          <w:rFonts w:ascii="Palatino Linotype" w:hAnsi="Palatino Linotype" w:cs="Times New Roman"/>
          <w:bCs/>
          <w:color w:val="000000" w:themeColor="text1"/>
          <w:lang w:val="en-US"/>
        </w:rPr>
      </w:pPr>
      <w:r w:rsidRPr="00E27395">
        <w:rPr>
          <w:rFonts w:ascii="Palatino Linotype" w:hAnsi="Palatino Linotype" w:cs="Times New Roman"/>
          <w:bCs/>
          <w:color w:val="000000" w:themeColor="text1"/>
          <w:lang w:val="en-US"/>
        </w:rPr>
        <w:t>1x10</w:t>
      </w:r>
      <w:r w:rsidRPr="00E27395">
        <w:rPr>
          <w:rFonts w:ascii="Palatino Linotype" w:hAnsi="Palatino Linotype" w:cs="Times New Roman"/>
          <w:bCs/>
          <w:color w:val="000000" w:themeColor="text1"/>
          <w:vertAlign w:val="superscript"/>
          <w:lang w:val="en-US"/>
        </w:rPr>
        <w:t>6</w:t>
      </w:r>
      <w:r w:rsidRPr="00E27395">
        <w:rPr>
          <w:rFonts w:ascii="Palatino Linotype" w:hAnsi="Palatino Linotype" w:cs="Times New Roman"/>
          <w:bCs/>
          <w:color w:val="000000" w:themeColor="text1"/>
          <w:lang w:val="en-US"/>
        </w:rPr>
        <w:t xml:space="preserve"> HepG2 cells were seeded in 6-well plates. Pellets were collected and homogenized in 5% IGEPAL® CA-630 (Sigma Aldrich, USA). To avoid enzymes interfering with the assay, samples were deproteinized by adding ice cold 1M perchloric acid (PCA). To neutralize PCA-induced acidification and to restore pH range at 6.5-8, 35% of potassium hydroxide (KOH) 2M was added to each sample. </w:t>
      </w:r>
    </w:p>
    <w:p w14:paraId="1C39E37C" w14:textId="12C46796" w:rsidR="008A4DFC" w:rsidRPr="008A4DFC" w:rsidRDefault="008A4DFC" w:rsidP="002933C1">
      <w:pPr>
        <w:spacing w:line="360" w:lineRule="auto"/>
        <w:jc w:val="both"/>
        <w:rPr>
          <w:rFonts w:ascii="Palatino Linotype" w:hAnsi="Palatino Linotype" w:cs="Times New Roman"/>
          <w:bCs/>
          <w:color w:val="000000" w:themeColor="text1"/>
          <w:lang w:val="en-US"/>
        </w:rPr>
      </w:pPr>
      <w:r w:rsidRPr="00E27395">
        <w:rPr>
          <w:rFonts w:ascii="Palatino Linotype" w:hAnsi="Palatino Linotype" w:cs="Times New Roman"/>
          <w:bCs/>
          <w:color w:val="000000" w:themeColor="text1"/>
          <w:lang w:val="en-US"/>
        </w:rPr>
        <w:t>The excess of PCA/KOH was precipitated by centrifugating e at 13,000 g for 15 minutes at 4°C. Supernatant were collected and loaded in black walled, clear bottom plates for fluorometric detection (Ex/</w:t>
      </w:r>
      <w:proofErr w:type="spellStart"/>
      <w:r w:rsidRPr="00E27395">
        <w:rPr>
          <w:rFonts w:ascii="Palatino Linotype" w:hAnsi="Palatino Linotype" w:cs="Times New Roman"/>
          <w:bCs/>
          <w:color w:val="000000" w:themeColor="text1"/>
          <w:lang w:val="en-US"/>
        </w:rPr>
        <w:t>Em</w:t>
      </w:r>
      <w:proofErr w:type="spellEnd"/>
      <w:r w:rsidRPr="00E27395">
        <w:rPr>
          <w:rFonts w:ascii="Palatino Linotype" w:hAnsi="Palatino Linotype" w:cs="Times New Roman"/>
          <w:bCs/>
          <w:color w:val="000000" w:themeColor="text1"/>
          <w:lang w:val="en-US"/>
        </w:rPr>
        <w:t xml:space="preserve"> = 535/587 nm). </w:t>
      </w:r>
    </w:p>
    <w:p w14:paraId="0C377CF4" w14:textId="12EF17EB" w:rsidR="00E46560" w:rsidRPr="00C31209" w:rsidRDefault="00E46560" w:rsidP="00E46560">
      <w:pPr>
        <w:spacing w:after="0" w:line="360" w:lineRule="auto"/>
        <w:jc w:val="both"/>
        <w:rPr>
          <w:rFonts w:ascii="Palatino Linotype" w:hAnsi="Palatino Linotype" w:cs="Times New Roman"/>
          <w:b/>
          <w:i/>
          <w:iCs/>
          <w:color w:val="000000" w:themeColor="text1"/>
          <w:lang w:val="en-US"/>
        </w:rPr>
      </w:pPr>
      <w:r>
        <w:rPr>
          <w:rFonts w:ascii="Palatino Linotype" w:hAnsi="Palatino Linotype" w:cs="Times New Roman"/>
          <w:b/>
          <w:i/>
          <w:iCs/>
          <w:color w:val="000000" w:themeColor="text1"/>
          <w:lang w:val="en-US"/>
        </w:rPr>
        <w:t>Quantification of</w:t>
      </w:r>
      <w:r w:rsidRPr="00C31209">
        <w:rPr>
          <w:rFonts w:ascii="Palatino Linotype" w:hAnsi="Palatino Linotype" w:cs="Times New Roman"/>
          <w:b/>
          <w:i/>
          <w:iCs/>
          <w:color w:val="000000" w:themeColor="text1"/>
          <w:lang w:val="en-US"/>
        </w:rPr>
        <w:t xml:space="preserve"> mtDNA </w:t>
      </w:r>
      <w:r>
        <w:rPr>
          <w:rFonts w:ascii="Palatino Linotype" w:hAnsi="Palatino Linotype" w:cs="Times New Roman"/>
          <w:b/>
          <w:i/>
          <w:iCs/>
          <w:color w:val="000000" w:themeColor="text1"/>
          <w:lang w:val="en-US"/>
        </w:rPr>
        <w:t xml:space="preserve">content </w:t>
      </w:r>
    </w:p>
    <w:p w14:paraId="47C14374" w14:textId="4764DAD7" w:rsidR="00E46560" w:rsidRDefault="00E46560" w:rsidP="00E46560">
      <w:pPr>
        <w:spacing w:line="360" w:lineRule="auto"/>
        <w:jc w:val="both"/>
        <w:rPr>
          <w:rFonts w:ascii="Palatino Linotype" w:hAnsi="Palatino Linotype" w:cs="Times New Roman"/>
          <w:bCs/>
          <w:color w:val="000000" w:themeColor="text1"/>
          <w:lang w:val="en-US"/>
        </w:rPr>
      </w:pPr>
      <w:r>
        <w:rPr>
          <w:rFonts w:ascii="Palatino Linotype" w:hAnsi="Palatino Linotype" w:cs="Times New Roman"/>
          <w:bCs/>
          <w:color w:val="000000" w:themeColor="text1"/>
          <w:lang w:val="en-US"/>
        </w:rPr>
        <w:t xml:space="preserve">Genomic and mtDNA were extracted from cell lysates through </w:t>
      </w:r>
      <w:proofErr w:type="spellStart"/>
      <w:r w:rsidRPr="0090540F">
        <w:rPr>
          <w:rFonts w:ascii="Palatino Linotype" w:hAnsi="Palatino Linotype" w:cs="Times New Roman"/>
          <w:bCs/>
          <w:color w:val="000000" w:themeColor="text1"/>
          <w:lang w:val="en-US"/>
        </w:rPr>
        <w:t>QIAmp</w:t>
      </w:r>
      <w:proofErr w:type="spellEnd"/>
      <w:r w:rsidRPr="0090540F">
        <w:rPr>
          <w:rFonts w:ascii="Palatino Linotype" w:hAnsi="Palatino Linotype" w:cs="Times New Roman"/>
          <w:bCs/>
          <w:color w:val="000000" w:themeColor="text1"/>
          <w:lang w:val="en-US"/>
        </w:rPr>
        <w:t xml:space="preserve"> DNA Mini Kit</w:t>
      </w:r>
      <w:r>
        <w:rPr>
          <w:rFonts w:ascii="Palatino Linotype" w:hAnsi="Palatino Linotype" w:cs="Times New Roman"/>
          <w:bCs/>
          <w:color w:val="000000" w:themeColor="text1"/>
          <w:lang w:val="en-US"/>
        </w:rPr>
        <w:t xml:space="preserve"> (Manchester, UK). 1x10</w:t>
      </w:r>
      <w:r w:rsidRPr="0090540F">
        <w:rPr>
          <w:rFonts w:ascii="Palatino Linotype" w:hAnsi="Palatino Linotype" w:cs="Times New Roman"/>
          <w:bCs/>
          <w:color w:val="000000" w:themeColor="text1"/>
          <w:vertAlign w:val="superscript"/>
          <w:lang w:val="en-US"/>
        </w:rPr>
        <w:t>6</w:t>
      </w:r>
      <w:r>
        <w:rPr>
          <w:rFonts w:ascii="Palatino Linotype" w:hAnsi="Palatino Linotype" w:cs="Times New Roman"/>
          <w:bCs/>
          <w:color w:val="000000" w:themeColor="text1"/>
          <w:lang w:val="en-US"/>
        </w:rPr>
        <w:t xml:space="preserve"> cells were resuspended in a Protease solution and incubated 56°C for 10 minutes to disrupt protein-DNA interactions. Total DNA was trapped </w:t>
      </w:r>
      <w:r w:rsidRPr="00C31209">
        <w:rPr>
          <w:rFonts w:ascii="Palatino Linotype" w:hAnsi="Palatino Linotype" w:cs="Times New Roman"/>
          <w:bCs/>
          <w:color w:val="000000" w:themeColor="text1"/>
          <w:lang w:val="en-US"/>
        </w:rPr>
        <w:t xml:space="preserve">onto the </w:t>
      </w:r>
      <w:proofErr w:type="spellStart"/>
      <w:r w:rsidRPr="00C31209">
        <w:rPr>
          <w:rFonts w:ascii="Palatino Linotype" w:hAnsi="Palatino Linotype" w:cs="Times New Roman"/>
          <w:bCs/>
          <w:color w:val="000000" w:themeColor="text1"/>
          <w:lang w:val="en-US"/>
        </w:rPr>
        <w:t>QIAamp</w:t>
      </w:r>
      <w:proofErr w:type="spellEnd"/>
      <w:r w:rsidRPr="00C31209">
        <w:rPr>
          <w:rFonts w:ascii="Palatino Linotype" w:hAnsi="Palatino Linotype" w:cs="Times New Roman"/>
          <w:bCs/>
          <w:color w:val="000000" w:themeColor="text1"/>
          <w:lang w:val="en-US"/>
        </w:rPr>
        <w:t xml:space="preserve"> silica membrane</w:t>
      </w:r>
      <w:r>
        <w:rPr>
          <w:rFonts w:ascii="Palatino Linotype" w:hAnsi="Palatino Linotype" w:cs="Times New Roman"/>
          <w:bCs/>
          <w:color w:val="000000" w:themeColor="text1"/>
          <w:lang w:val="en-US"/>
        </w:rPr>
        <w:t xml:space="preserve">, while </w:t>
      </w:r>
      <w:r w:rsidRPr="00C31209">
        <w:rPr>
          <w:rFonts w:ascii="Palatino Linotype" w:hAnsi="Palatino Linotype" w:cs="Times New Roman"/>
          <w:bCs/>
          <w:color w:val="000000" w:themeColor="text1"/>
          <w:lang w:val="en-US"/>
        </w:rPr>
        <w:t xml:space="preserve">contaminants </w:t>
      </w:r>
      <w:r>
        <w:rPr>
          <w:rFonts w:ascii="Palatino Linotype" w:hAnsi="Palatino Linotype" w:cs="Times New Roman"/>
          <w:bCs/>
          <w:color w:val="000000" w:themeColor="text1"/>
          <w:lang w:val="en-US"/>
        </w:rPr>
        <w:t xml:space="preserve">were removed in the flowthrough. Subsequently, DNA was eluted in water and its </w:t>
      </w:r>
      <w:r w:rsidRPr="00C31209">
        <w:rPr>
          <w:rFonts w:ascii="Palatino Linotype" w:hAnsi="Palatino Linotype" w:cs="Times New Roman"/>
          <w:bCs/>
          <w:color w:val="000000" w:themeColor="text1"/>
          <w:lang w:val="en-US"/>
        </w:rPr>
        <w:t>concentration and quality were assessed by Nanodrop 1000 microvolume 42 spectrophotometer (ThermoFisher Scientific, U.S.A.).</w:t>
      </w:r>
      <w:r>
        <w:rPr>
          <w:rFonts w:ascii="Palatino Linotype" w:hAnsi="Palatino Linotype" w:cs="Times New Roman"/>
          <w:bCs/>
          <w:color w:val="000000" w:themeColor="text1"/>
          <w:lang w:val="en-US"/>
        </w:rPr>
        <w:t xml:space="preserve"> 5 ng/µl of DNA was used to quantify</w:t>
      </w:r>
      <w:r w:rsidR="00A8336C">
        <w:rPr>
          <w:rFonts w:ascii="Palatino Linotype" w:hAnsi="Palatino Linotype" w:cs="Times New Roman"/>
          <w:bCs/>
          <w:color w:val="000000" w:themeColor="text1"/>
          <w:lang w:val="en-US"/>
        </w:rPr>
        <w:t xml:space="preserve"> the amount of</w:t>
      </w:r>
      <w:r>
        <w:rPr>
          <w:rFonts w:ascii="Palatino Linotype" w:hAnsi="Palatino Linotype" w:cs="Times New Roman"/>
          <w:bCs/>
          <w:color w:val="000000" w:themeColor="text1"/>
          <w:lang w:val="en-US"/>
        </w:rPr>
        <w:t xml:space="preserve"> </w:t>
      </w:r>
      <w:proofErr w:type="gramStart"/>
      <w:r>
        <w:rPr>
          <w:rFonts w:ascii="Palatino Linotype" w:hAnsi="Palatino Linotype" w:cs="Times New Roman"/>
          <w:bCs/>
          <w:color w:val="000000" w:themeColor="text1"/>
          <w:lang w:val="en-US"/>
        </w:rPr>
        <w:t>mtDNA .</w:t>
      </w:r>
      <w:proofErr w:type="gramEnd"/>
      <w:r>
        <w:rPr>
          <w:rFonts w:ascii="Palatino Linotype" w:hAnsi="Palatino Linotype" w:cs="Times New Roman"/>
          <w:bCs/>
          <w:color w:val="000000" w:themeColor="text1"/>
          <w:lang w:val="en-US"/>
        </w:rPr>
        <w:t xml:space="preserve"> Specifically, we measured D-loop </w:t>
      </w:r>
      <w:r w:rsidR="00A8336C">
        <w:rPr>
          <w:rFonts w:ascii="Palatino Linotype" w:hAnsi="Palatino Linotype" w:cs="Times New Roman"/>
          <w:bCs/>
          <w:color w:val="000000" w:themeColor="text1"/>
          <w:lang w:val="en-US"/>
        </w:rPr>
        <w:t>expression</w:t>
      </w:r>
      <w:r>
        <w:rPr>
          <w:rFonts w:ascii="Palatino Linotype" w:hAnsi="Palatino Linotype" w:cs="Times New Roman"/>
          <w:bCs/>
          <w:color w:val="000000" w:themeColor="text1"/>
          <w:lang w:val="en-US"/>
        </w:rPr>
        <w:t>, the</w:t>
      </w:r>
      <w:r w:rsidRPr="00F94DD4">
        <w:rPr>
          <w:rFonts w:ascii="Palatino Linotype" w:hAnsi="Palatino Linotype" w:cs="Times New Roman"/>
          <w:bCs/>
          <w:color w:val="000000" w:themeColor="text1"/>
          <w:lang w:val="en-US"/>
        </w:rPr>
        <w:t xml:space="preserve"> replication start site of the mtDNA</w:t>
      </w:r>
      <w:r>
        <w:rPr>
          <w:rFonts w:ascii="Palatino Linotype" w:hAnsi="Palatino Linotype" w:cs="Times New Roman"/>
          <w:bCs/>
          <w:color w:val="000000" w:themeColor="text1"/>
          <w:lang w:val="en-US"/>
        </w:rPr>
        <w:t xml:space="preserve">, through TaqMan Assay. RNAse-P, a sequence known to exist in two copies in human genome, was used as a reference gene. </w:t>
      </w:r>
      <w:r w:rsidRPr="0004630C">
        <w:rPr>
          <w:rFonts w:ascii="Palatino Linotype" w:hAnsi="Palatino Linotype" w:cs="Times New Roman"/>
          <w:bCs/>
          <w:color w:val="000000" w:themeColor="text1"/>
          <w:lang w:val="en-US"/>
        </w:rPr>
        <w:t xml:space="preserve">Median ΔCT per assay value </w:t>
      </w:r>
      <w:r>
        <w:rPr>
          <w:rFonts w:ascii="Palatino Linotype" w:hAnsi="Palatino Linotype" w:cs="Times New Roman"/>
          <w:bCs/>
          <w:color w:val="000000" w:themeColor="text1"/>
          <w:lang w:val="en-US"/>
        </w:rPr>
        <w:t xml:space="preserve">was used </w:t>
      </w:r>
      <w:r w:rsidRPr="0004630C">
        <w:rPr>
          <w:rFonts w:ascii="Palatino Linotype" w:hAnsi="Palatino Linotype" w:cs="Times New Roman"/>
          <w:bCs/>
          <w:color w:val="000000" w:themeColor="text1"/>
          <w:lang w:val="en-US"/>
        </w:rPr>
        <w:t xml:space="preserve">as </w:t>
      </w:r>
      <w:proofErr w:type="gramStart"/>
      <w:r w:rsidRPr="0004630C">
        <w:rPr>
          <w:rFonts w:ascii="Palatino Linotype" w:hAnsi="Palatino Linotype" w:cs="Times New Roman"/>
          <w:bCs/>
          <w:color w:val="000000" w:themeColor="text1"/>
          <w:lang w:val="en-US"/>
        </w:rPr>
        <w:t>calibrator</w:t>
      </w:r>
      <w:r>
        <w:rPr>
          <w:rFonts w:ascii="Palatino Linotype" w:hAnsi="Palatino Linotype" w:cs="Times New Roman"/>
          <w:bCs/>
          <w:color w:val="000000" w:themeColor="text1"/>
          <w:lang w:val="en-US"/>
        </w:rPr>
        <w:t>.</w:t>
      </w:r>
      <w:r w:rsidRPr="006F5D22">
        <w:rPr>
          <w:rFonts w:ascii="Palatino Linotype" w:hAnsi="Palatino Linotype" w:cs="Times New Roman"/>
          <w:bCs/>
          <w:color w:val="000000" w:themeColor="text1"/>
          <w:lang w:val="en-US"/>
        </w:rPr>
        <w:t>.</w:t>
      </w:r>
      <w:proofErr w:type="gramEnd"/>
      <w:r w:rsidRPr="006F5D22">
        <w:rPr>
          <w:rFonts w:ascii="Palatino Linotype" w:hAnsi="Palatino Linotype" w:cs="Times New Roman"/>
          <w:bCs/>
          <w:color w:val="000000" w:themeColor="text1"/>
          <w:lang w:val="en-US"/>
        </w:rPr>
        <w:t xml:space="preserve"> </w:t>
      </w:r>
      <w:proofErr w:type="spellStart"/>
      <w:r w:rsidRPr="006F5D22">
        <w:rPr>
          <w:rFonts w:ascii="Palatino Linotype" w:hAnsi="Palatino Linotype" w:cs="Times New Roman"/>
          <w:bCs/>
          <w:color w:val="000000" w:themeColor="text1"/>
          <w:lang w:val="en-US"/>
        </w:rPr>
        <w:t>TaqMAN</w:t>
      </w:r>
      <w:proofErr w:type="spellEnd"/>
      <w:r w:rsidRPr="006F5D22">
        <w:rPr>
          <w:rFonts w:ascii="Palatino Linotype" w:hAnsi="Palatino Linotype" w:cs="Times New Roman"/>
          <w:bCs/>
          <w:color w:val="000000" w:themeColor="text1"/>
          <w:lang w:val="en-US"/>
        </w:rPr>
        <w:t xml:space="preserve"> probes used for D-loop and RNAse-P amplification are listed in </w:t>
      </w:r>
      <w:r w:rsidRPr="006F5D22">
        <w:rPr>
          <w:rFonts w:ascii="Palatino Linotype" w:hAnsi="Palatino Linotype" w:cs="Times New Roman"/>
          <w:b/>
          <w:color w:val="000000" w:themeColor="text1"/>
          <w:lang w:val="en-US"/>
        </w:rPr>
        <w:t>Supplementary Table S1</w:t>
      </w:r>
      <w:r w:rsidRPr="006F5D22">
        <w:rPr>
          <w:rFonts w:ascii="Palatino Linotype" w:hAnsi="Palatino Linotype" w:cs="Times New Roman"/>
          <w:bCs/>
          <w:color w:val="000000" w:themeColor="text1"/>
          <w:lang w:val="en-US"/>
        </w:rPr>
        <w:t>.</w:t>
      </w:r>
      <w:r>
        <w:rPr>
          <w:rFonts w:ascii="Palatino Linotype" w:hAnsi="Palatino Linotype" w:cs="Times New Roman"/>
          <w:bCs/>
          <w:color w:val="000000" w:themeColor="text1"/>
          <w:lang w:val="en-US"/>
        </w:rPr>
        <w:t xml:space="preserve">  </w:t>
      </w:r>
    </w:p>
    <w:p w14:paraId="4E64CDC9" w14:textId="77777777" w:rsidR="00E46560" w:rsidRPr="00E27395" w:rsidRDefault="00E46560" w:rsidP="002933C1">
      <w:pPr>
        <w:spacing w:line="360" w:lineRule="auto"/>
        <w:jc w:val="both"/>
        <w:rPr>
          <w:rFonts w:ascii="Palatino Linotype" w:hAnsi="Palatino Linotype" w:cs="Times New Roman"/>
          <w:bCs/>
          <w:color w:val="000000" w:themeColor="text1"/>
          <w:lang w:val="en-US"/>
        </w:rPr>
      </w:pPr>
    </w:p>
    <w:p w14:paraId="37BC15C2" w14:textId="77777777" w:rsidR="002933C1" w:rsidRPr="00E21BC9" w:rsidRDefault="002933C1" w:rsidP="00E21BC9">
      <w:pPr>
        <w:spacing w:line="360" w:lineRule="auto"/>
        <w:jc w:val="both"/>
        <w:rPr>
          <w:rFonts w:ascii="Times New Roman" w:hAnsi="Times New Roman"/>
          <w:bCs/>
          <w:lang w:val="en-US"/>
        </w:rPr>
      </w:pPr>
    </w:p>
    <w:p w14:paraId="7124D602" w14:textId="2D330011" w:rsidR="007670CB" w:rsidRDefault="007670CB" w:rsidP="00DA7EA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6C9CFD41" w14:textId="5DAC8F36" w:rsidR="00CE2AEF" w:rsidRDefault="00CE2AEF" w:rsidP="004A10C3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lang w:val="en-US" w:eastAsia="ja-JP"/>
        </w:rPr>
      </w:pPr>
    </w:p>
    <w:p w14:paraId="61D481D1" w14:textId="5F3EF795" w:rsidR="00AB0814" w:rsidRDefault="00AB0814" w:rsidP="004A10C3">
      <w:pPr>
        <w:spacing w:after="0" w:line="360" w:lineRule="auto"/>
        <w:jc w:val="center"/>
        <w:rPr>
          <w:rFonts w:ascii="Times New Roman" w:eastAsiaTheme="minorEastAsia" w:hAnsi="Times New Roman" w:cs="Times New Roman"/>
          <w:bCs/>
          <w:lang w:val="en-US" w:eastAsia="ja-JP"/>
        </w:rPr>
      </w:pPr>
    </w:p>
    <w:p w14:paraId="0226897F" w14:textId="77777777" w:rsidR="00E46560" w:rsidRDefault="00E46560" w:rsidP="008A4DF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8E5AA04" w14:textId="7B205313" w:rsidR="00AB0814" w:rsidRPr="00E27395" w:rsidRDefault="004A10C3" w:rsidP="00BB010C">
      <w:pPr>
        <w:spacing w:after="0" w:line="360" w:lineRule="auto"/>
        <w:jc w:val="center"/>
        <w:rPr>
          <w:rFonts w:ascii="Palatino Linotype" w:hAnsi="Palatino Linotype" w:cs="Times New Roman"/>
          <w:b/>
          <w:bCs/>
          <w:sz w:val="24"/>
          <w:szCs w:val="24"/>
          <w:lang w:val="en-US"/>
        </w:rPr>
      </w:pPr>
      <w:r w:rsidRPr="00E27395">
        <w:rPr>
          <w:rFonts w:ascii="Palatino Linotype" w:hAnsi="Palatino Linotype" w:cs="Times New Roman"/>
          <w:b/>
          <w:bCs/>
          <w:sz w:val="24"/>
          <w:szCs w:val="24"/>
          <w:lang w:val="en-US"/>
        </w:rPr>
        <w:lastRenderedPageBreak/>
        <w:t>Tables</w:t>
      </w:r>
    </w:p>
    <w:p w14:paraId="7DB84DDD" w14:textId="77777777" w:rsidR="00AB0814" w:rsidRPr="00E27395" w:rsidRDefault="00AB0814" w:rsidP="00AB0814">
      <w:pPr>
        <w:spacing w:after="0"/>
        <w:jc w:val="both"/>
        <w:rPr>
          <w:rFonts w:ascii="Palatino Linotype" w:hAnsi="Palatino Linotype" w:cs="Times New Roman"/>
          <w:lang w:val="en-US"/>
        </w:rPr>
      </w:pPr>
      <w:r w:rsidRPr="00E27395">
        <w:rPr>
          <w:rFonts w:ascii="Palatino Linotype" w:hAnsi="Palatino Linotype" w:cs="Times New Roman"/>
          <w:b/>
          <w:bCs/>
          <w:lang w:val="en-US"/>
        </w:rPr>
        <w:t>Table S1</w:t>
      </w:r>
      <w:r w:rsidRPr="00E27395">
        <w:rPr>
          <w:rFonts w:ascii="Palatino Linotype" w:hAnsi="Palatino Linotype" w:cs="Times New Roman"/>
          <w:lang w:val="en-US"/>
        </w:rPr>
        <w:t>. List of TaqMan Probes used in quantitative real-time PCR experiments.</w:t>
      </w:r>
    </w:p>
    <w:p w14:paraId="22902580" w14:textId="77777777" w:rsidR="00AB0814" w:rsidRPr="00E27395" w:rsidRDefault="00AB0814" w:rsidP="00AB0814">
      <w:pPr>
        <w:rPr>
          <w:rFonts w:ascii="Palatino Linotype" w:hAnsi="Palatino Linotype" w:cs="Times New Roman"/>
          <w:lang w:val="en-US"/>
        </w:rPr>
      </w:pPr>
    </w:p>
    <w:tbl>
      <w:tblPr>
        <w:tblW w:w="5529" w:type="dxa"/>
        <w:jc w:val="center"/>
        <w:tblBorders>
          <w:top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1"/>
      </w:tblGrid>
      <w:tr w:rsidR="00AB0814" w:rsidRPr="00E27395" w14:paraId="12A9C2BE" w14:textId="77777777" w:rsidTr="00E27395">
        <w:trPr>
          <w:trHeight w:val="540"/>
          <w:jc w:val="center"/>
        </w:trPr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FB700D" w14:textId="77777777" w:rsidR="00AB0814" w:rsidRPr="00E27395" w:rsidRDefault="00AB0814" w:rsidP="00604B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/>
                <w:b/>
                <w:bCs/>
                <w:iCs/>
              </w:rPr>
            </w:pPr>
            <w:r w:rsidRPr="00E27395">
              <w:rPr>
                <w:rFonts w:ascii="Palatino Linotype" w:hAnsi="Palatino Linotype"/>
                <w:b/>
                <w:bCs/>
                <w:iCs/>
              </w:rPr>
              <w:t>Probes</w:t>
            </w: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066050" w14:textId="77777777" w:rsidR="00AB0814" w:rsidRPr="00E27395" w:rsidRDefault="00AB0814" w:rsidP="00604B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alatino Linotype" w:hAnsi="Palatino Linotype"/>
                <w:b/>
                <w:bCs/>
                <w:iCs/>
              </w:rPr>
            </w:pPr>
            <w:proofErr w:type="spellStart"/>
            <w:r w:rsidRPr="00E27395">
              <w:rPr>
                <w:rFonts w:ascii="Palatino Linotype" w:hAnsi="Palatino Linotype"/>
                <w:b/>
                <w:bCs/>
                <w:iCs/>
              </w:rPr>
              <w:t>Catalog</w:t>
            </w:r>
            <w:proofErr w:type="spellEnd"/>
            <w:r w:rsidRPr="00E27395">
              <w:rPr>
                <w:rFonts w:ascii="Palatino Linotype" w:hAnsi="Palatino Linotype"/>
                <w:b/>
                <w:bCs/>
                <w:iCs/>
              </w:rPr>
              <w:t xml:space="preserve"> </w:t>
            </w:r>
            <w:proofErr w:type="spellStart"/>
            <w:r w:rsidRPr="00E27395">
              <w:rPr>
                <w:rFonts w:ascii="Palatino Linotype" w:hAnsi="Palatino Linotype"/>
                <w:b/>
                <w:bCs/>
                <w:iCs/>
              </w:rPr>
              <w:t>Number</w:t>
            </w:r>
            <w:proofErr w:type="spellEnd"/>
          </w:p>
        </w:tc>
      </w:tr>
      <w:tr w:rsidR="00A57A51" w:rsidRPr="00E27395" w14:paraId="28D16AE9" w14:textId="77777777" w:rsidTr="00E27395">
        <w:trPr>
          <w:trHeight w:val="362"/>
          <w:jc w:val="center"/>
        </w:trPr>
        <w:tc>
          <w:tcPr>
            <w:tcW w:w="2268" w:type="dxa"/>
            <w:tcBorders>
              <w:top w:val="nil"/>
              <w:bottom w:val="nil"/>
            </w:tcBorders>
          </w:tcPr>
          <w:p w14:paraId="473CA04E" w14:textId="7039B895" w:rsidR="00A57A51" w:rsidRPr="00E27395" w:rsidRDefault="00A57A51" w:rsidP="00604B1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alatino Linotype" w:hAnsi="Palatino Linotype"/>
              </w:rPr>
            </w:pPr>
            <w:r w:rsidRPr="00E27395">
              <w:rPr>
                <w:rFonts w:ascii="Palatino Linotype" w:hAnsi="Palatino Linotype"/>
              </w:rPr>
              <w:t xml:space="preserve">ALAS1                                                      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7BDEAE4B" w14:textId="495487FC" w:rsidR="00A57A51" w:rsidRPr="00E27395" w:rsidRDefault="00A57A51" w:rsidP="00604B1A">
            <w:pPr>
              <w:autoSpaceDE w:val="0"/>
              <w:autoSpaceDN w:val="0"/>
              <w:adjustRightInd w:val="0"/>
              <w:spacing w:after="0" w:line="360" w:lineRule="auto"/>
              <w:ind w:left="-108"/>
              <w:rPr>
                <w:rFonts w:ascii="Palatino Linotype" w:hAnsi="Palatino Linotype"/>
              </w:rPr>
            </w:pPr>
            <w:r w:rsidRPr="00E27395">
              <w:rPr>
                <w:rFonts w:ascii="Palatino Linotype" w:hAnsi="Palatino Linotype"/>
              </w:rPr>
              <w:t>ThermoFisher #Hs00167441_m1</w:t>
            </w:r>
          </w:p>
        </w:tc>
      </w:tr>
      <w:tr w:rsidR="00A57A51" w:rsidRPr="00E27395" w14:paraId="7C0F4008" w14:textId="77777777" w:rsidTr="00E27395">
        <w:trPr>
          <w:trHeight w:val="362"/>
          <w:jc w:val="center"/>
        </w:trPr>
        <w:tc>
          <w:tcPr>
            <w:tcW w:w="2268" w:type="dxa"/>
            <w:tcBorders>
              <w:top w:val="nil"/>
              <w:bottom w:val="nil"/>
            </w:tcBorders>
          </w:tcPr>
          <w:p w14:paraId="7BF66E7C" w14:textId="34F1F6F3" w:rsidR="00A57A51" w:rsidRPr="00E27395" w:rsidRDefault="00A57A51" w:rsidP="00A57A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alatino Linotype" w:hAnsi="Palatino Linotype"/>
              </w:rPr>
            </w:pPr>
            <w:r w:rsidRPr="00E27395">
              <w:rPr>
                <w:rFonts w:ascii="Palatino Linotype" w:hAnsi="Palatino Linotype"/>
              </w:rPr>
              <w:t xml:space="preserve">GAPDH 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37F98FD2" w14:textId="68D46E4C" w:rsidR="00A57A51" w:rsidRPr="00E27395" w:rsidRDefault="00A57A51" w:rsidP="00A57A51">
            <w:pPr>
              <w:autoSpaceDE w:val="0"/>
              <w:autoSpaceDN w:val="0"/>
              <w:adjustRightInd w:val="0"/>
              <w:spacing w:after="0" w:line="360" w:lineRule="auto"/>
              <w:ind w:left="-108"/>
              <w:rPr>
                <w:rFonts w:ascii="Palatino Linotype" w:hAnsi="Palatino Linotype"/>
              </w:rPr>
            </w:pPr>
            <w:r w:rsidRPr="00E27395">
              <w:rPr>
                <w:rFonts w:ascii="Palatino Linotype" w:hAnsi="Palatino Linotype"/>
              </w:rPr>
              <w:t>ThermoFisher #Hs02786621_g1</w:t>
            </w:r>
          </w:p>
        </w:tc>
      </w:tr>
      <w:tr w:rsidR="00A57A51" w:rsidRPr="00E27395" w14:paraId="0FBDA588" w14:textId="77777777" w:rsidTr="00E27395">
        <w:trPr>
          <w:trHeight w:val="362"/>
          <w:jc w:val="center"/>
        </w:trPr>
        <w:tc>
          <w:tcPr>
            <w:tcW w:w="2268" w:type="dxa"/>
            <w:tcBorders>
              <w:top w:val="nil"/>
              <w:bottom w:val="nil"/>
            </w:tcBorders>
          </w:tcPr>
          <w:p w14:paraId="1586A5ED" w14:textId="598099A9" w:rsidR="00A57A51" w:rsidRPr="00E27395" w:rsidRDefault="00A57A51" w:rsidP="00A57A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alatino Linotype" w:hAnsi="Palatino Linotype"/>
              </w:rPr>
            </w:pPr>
            <w:r w:rsidRPr="00E27395">
              <w:rPr>
                <w:rFonts w:ascii="Palatino Linotype" w:hAnsi="Palatino Linotype"/>
              </w:rPr>
              <w:t>GCK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69983888" w14:textId="510B8B0F" w:rsidR="00A57A51" w:rsidRPr="00E27395" w:rsidRDefault="00A57A51" w:rsidP="00A57A51">
            <w:pPr>
              <w:autoSpaceDE w:val="0"/>
              <w:autoSpaceDN w:val="0"/>
              <w:adjustRightInd w:val="0"/>
              <w:spacing w:after="0" w:line="360" w:lineRule="auto"/>
              <w:ind w:left="-108"/>
              <w:rPr>
                <w:rFonts w:ascii="Palatino Linotype" w:hAnsi="Palatino Linotype"/>
              </w:rPr>
            </w:pPr>
            <w:r w:rsidRPr="00E27395">
              <w:rPr>
                <w:rFonts w:ascii="Palatino Linotype" w:hAnsi="Palatino Linotype"/>
              </w:rPr>
              <w:t>ThermoFisher #Hs01564555_m1</w:t>
            </w:r>
          </w:p>
        </w:tc>
      </w:tr>
      <w:tr w:rsidR="00A57A51" w:rsidRPr="00E27395" w14:paraId="341FE380" w14:textId="77777777" w:rsidTr="00E27395">
        <w:trPr>
          <w:trHeight w:val="353"/>
          <w:jc w:val="center"/>
        </w:trPr>
        <w:tc>
          <w:tcPr>
            <w:tcW w:w="2268" w:type="dxa"/>
            <w:tcBorders>
              <w:top w:val="nil"/>
              <w:bottom w:val="nil"/>
            </w:tcBorders>
          </w:tcPr>
          <w:p w14:paraId="3137A187" w14:textId="17B69237" w:rsidR="00A57A51" w:rsidRPr="00E27395" w:rsidRDefault="00A57A51" w:rsidP="00A57A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alatino Linotype" w:hAnsi="Palatino Linotype"/>
              </w:rPr>
            </w:pPr>
            <w:r w:rsidRPr="00E27395">
              <w:rPr>
                <w:rFonts w:ascii="Palatino Linotype" w:hAnsi="Palatino Linotype"/>
              </w:rPr>
              <w:t>MT-7S (D-loop)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3E3C8DFC" w14:textId="52140A84" w:rsidR="00A57A51" w:rsidRPr="00E27395" w:rsidRDefault="00A57A51" w:rsidP="00A57A51">
            <w:pPr>
              <w:autoSpaceDE w:val="0"/>
              <w:autoSpaceDN w:val="0"/>
              <w:adjustRightInd w:val="0"/>
              <w:spacing w:after="0" w:line="360" w:lineRule="auto"/>
              <w:ind w:left="-108"/>
              <w:rPr>
                <w:rFonts w:ascii="Palatino Linotype" w:hAnsi="Palatino Linotype"/>
              </w:rPr>
            </w:pPr>
            <w:r w:rsidRPr="00E27395">
              <w:rPr>
                <w:rFonts w:ascii="Palatino Linotype" w:hAnsi="Palatino Linotype"/>
              </w:rPr>
              <w:t>ThermoFisher #Hs02596861_s1</w:t>
            </w:r>
          </w:p>
        </w:tc>
      </w:tr>
      <w:tr w:rsidR="00A57A51" w:rsidRPr="00E27395" w14:paraId="7D564B84" w14:textId="77777777" w:rsidTr="00E27395">
        <w:trPr>
          <w:trHeight w:val="362"/>
          <w:jc w:val="center"/>
        </w:trPr>
        <w:tc>
          <w:tcPr>
            <w:tcW w:w="2268" w:type="dxa"/>
            <w:tcBorders>
              <w:top w:val="nil"/>
              <w:bottom w:val="nil"/>
            </w:tcBorders>
          </w:tcPr>
          <w:p w14:paraId="615E85A4" w14:textId="514B5AE3" w:rsidR="00A57A51" w:rsidRPr="00E27395" w:rsidRDefault="00A57A51" w:rsidP="00A57A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alatino Linotype" w:hAnsi="Palatino Linotype"/>
              </w:rPr>
            </w:pPr>
            <w:r w:rsidRPr="00E27395">
              <w:rPr>
                <w:rFonts w:ascii="Palatino Linotype" w:hAnsi="Palatino Linotype"/>
                <w:lang w:val="en-GB"/>
              </w:rPr>
              <w:t xml:space="preserve">PBGD  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0239C564" w14:textId="2FE51473" w:rsidR="00A57A51" w:rsidRPr="00E27395" w:rsidRDefault="00A57A51" w:rsidP="00A57A51">
            <w:pPr>
              <w:autoSpaceDE w:val="0"/>
              <w:autoSpaceDN w:val="0"/>
              <w:adjustRightInd w:val="0"/>
              <w:spacing w:after="0" w:line="360" w:lineRule="auto"/>
              <w:ind w:left="-108"/>
              <w:rPr>
                <w:rFonts w:ascii="Palatino Linotype" w:hAnsi="Palatino Linotype"/>
              </w:rPr>
            </w:pPr>
            <w:r w:rsidRPr="00E27395">
              <w:rPr>
                <w:rFonts w:ascii="Palatino Linotype" w:hAnsi="Palatino Linotype"/>
              </w:rPr>
              <w:t>ThermoFisher #Hs00609297_m1</w:t>
            </w:r>
          </w:p>
        </w:tc>
      </w:tr>
      <w:tr w:rsidR="00A57A51" w:rsidRPr="00E27395" w14:paraId="6A0B041E" w14:textId="77777777" w:rsidTr="00E27395">
        <w:trPr>
          <w:trHeight w:val="362"/>
          <w:jc w:val="center"/>
        </w:trPr>
        <w:tc>
          <w:tcPr>
            <w:tcW w:w="2268" w:type="dxa"/>
            <w:tcBorders>
              <w:top w:val="nil"/>
              <w:bottom w:val="nil"/>
            </w:tcBorders>
          </w:tcPr>
          <w:p w14:paraId="5D216D14" w14:textId="7448A0E5" w:rsidR="00A57A51" w:rsidRPr="00E27395" w:rsidRDefault="00A57A51" w:rsidP="00A57A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alatino Linotype" w:hAnsi="Palatino Linotype"/>
                <w:lang w:val="en-GB"/>
              </w:rPr>
            </w:pPr>
            <w:r w:rsidRPr="00E27395">
              <w:rPr>
                <w:rFonts w:ascii="Palatino Linotype" w:hAnsi="Palatino Linotype"/>
                <w:lang w:val="en-GB"/>
              </w:rPr>
              <w:t>PFK-L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6662740D" w14:textId="53773C7C" w:rsidR="00A57A51" w:rsidRPr="00E27395" w:rsidRDefault="00A57A51" w:rsidP="00A57A51">
            <w:pPr>
              <w:autoSpaceDE w:val="0"/>
              <w:autoSpaceDN w:val="0"/>
              <w:adjustRightInd w:val="0"/>
              <w:spacing w:after="0" w:line="360" w:lineRule="auto"/>
              <w:ind w:left="-108"/>
              <w:rPr>
                <w:rFonts w:ascii="Palatino Linotype" w:hAnsi="Palatino Linotype"/>
              </w:rPr>
            </w:pPr>
            <w:r w:rsidRPr="00E27395">
              <w:rPr>
                <w:rFonts w:ascii="Palatino Linotype" w:hAnsi="Palatino Linotype"/>
              </w:rPr>
              <w:t>ThermoFisher #Hs01036347_m1</w:t>
            </w:r>
          </w:p>
        </w:tc>
      </w:tr>
      <w:tr w:rsidR="00A57A51" w:rsidRPr="00E27395" w14:paraId="23B2B755" w14:textId="77777777" w:rsidTr="00E27395">
        <w:trPr>
          <w:trHeight w:val="362"/>
          <w:jc w:val="center"/>
        </w:trPr>
        <w:tc>
          <w:tcPr>
            <w:tcW w:w="2268" w:type="dxa"/>
            <w:tcBorders>
              <w:top w:val="nil"/>
              <w:bottom w:val="nil"/>
            </w:tcBorders>
          </w:tcPr>
          <w:p w14:paraId="334FCEAE" w14:textId="3C7E870F" w:rsidR="00A57A51" w:rsidRPr="00E27395" w:rsidRDefault="00A57A51" w:rsidP="00A57A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alatino Linotype" w:hAnsi="Palatino Linotype"/>
                <w:lang w:val="en-GB"/>
              </w:rPr>
            </w:pPr>
            <w:r w:rsidRPr="00E27395">
              <w:rPr>
                <w:rFonts w:ascii="Palatino Linotype" w:hAnsi="Palatino Linotype"/>
                <w:lang w:val="en-GB"/>
              </w:rPr>
              <w:t>PK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17B8B2DE" w14:textId="5C4CF7F5" w:rsidR="00A57A51" w:rsidRPr="00E27395" w:rsidRDefault="00A57A51" w:rsidP="00A57A51">
            <w:pPr>
              <w:autoSpaceDE w:val="0"/>
              <w:autoSpaceDN w:val="0"/>
              <w:adjustRightInd w:val="0"/>
              <w:spacing w:after="0" w:line="360" w:lineRule="auto"/>
              <w:ind w:left="-108"/>
              <w:rPr>
                <w:rFonts w:ascii="Palatino Linotype" w:hAnsi="Palatino Linotype"/>
              </w:rPr>
            </w:pPr>
            <w:r w:rsidRPr="00E27395">
              <w:rPr>
                <w:rFonts w:ascii="Palatino Linotype" w:hAnsi="Palatino Linotype"/>
              </w:rPr>
              <w:t>ThermoFisher #Hs00176075_m1</w:t>
            </w:r>
          </w:p>
        </w:tc>
      </w:tr>
      <w:tr w:rsidR="00A57A51" w:rsidRPr="00E27395" w14:paraId="61755048" w14:textId="77777777" w:rsidTr="00E27395">
        <w:trPr>
          <w:trHeight w:val="362"/>
          <w:jc w:val="center"/>
        </w:trPr>
        <w:tc>
          <w:tcPr>
            <w:tcW w:w="2268" w:type="dxa"/>
            <w:tcBorders>
              <w:top w:val="nil"/>
              <w:bottom w:val="nil"/>
            </w:tcBorders>
          </w:tcPr>
          <w:p w14:paraId="52DA5BAD" w14:textId="18657222" w:rsidR="00A57A51" w:rsidRPr="00E27395" w:rsidRDefault="00A57A51" w:rsidP="00A57A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alatino Linotype" w:hAnsi="Palatino Linotype"/>
                <w:lang w:val="en-GB"/>
              </w:rPr>
            </w:pPr>
            <w:r w:rsidRPr="00E27395">
              <w:rPr>
                <w:rFonts w:ascii="Palatino Linotype" w:hAnsi="Palatino Linotype"/>
              </w:rPr>
              <w:t>PGC1</w:t>
            </w:r>
            <w:r w:rsidRPr="00E27395">
              <w:rPr>
                <w:rFonts w:ascii="Palatino Linotype" w:hAnsi="Palatino Linotype" w:cs="Times New Roman"/>
              </w:rPr>
              <w:t>α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1DFBD70A" w14:textId="60429B52" w:rsidR="00A57A51" w:rsidRPr="00E27395" w:rsidRDefault="00A57A51" w:rsidP="00A57A51">
            <w:pPr>
              <w:autoSpaceDE w:val="0"/>
              <w:autoSpaceDN w:val="0"/>
              <w:adjustRightInd w:val="0"/>
              <w:spacing w:after="0" w:line="360" w:lineRule="auto"/>
              <w:ind w:left="-108"/>
              <w:rPr>
                <w:rFonts w:ascii="Palatino Linotype" w:hAnsi="Palatino Linotype"/>
              </w:rPr>
            </w:pPr>
            <w:r w:rsidRPr="00E27395">
              <w:rPr>
                <w:rFonts w:ascii="Palatino Linotype" w:hAnsi="Palatino Linotype"/>
              </w:rPr>
              <w:t>ThermoFisher #Hs00173304_m1</w:t>
            </w:r>
          </w:p>
        </w:tc>
      </w:tr>
      <w:tr w:rsidR="00A57A51" w:rsidRPr="00E27395" w14:paraId="527D5617" w14:textId="77777777" w:rsidTr="00E27395">
        <w:trPr>
          <w:trHeight w:val="362"/>
          <w:jc w:val="center"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E69F728" w14:textId="3D0831BD" w:rsidR="00A57A51" w:rsidRPr="00E27395" w:rsidRDefault="00A57A51" w:rsidP="00A57A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alatino Linotype" w:hAnsi="Palatino Linotype"/>
              </w:rPr>
            </w:pPr>
            <w:r w:rsidRPr="00E27395">
              <w:rPr>
                <w:rFonts w:ascii="Palatino Linotype" w:hAnsi="Palatino Linotype"/>
              </w:rPr>
              <w:t xml:space="preserve">RNAse P </w:t>
            </w: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14:paraId="523B92D8" w14:textId="73790357" w:rsidR="00A57A51" w:rsidRPr="00E27395" w:rsidRDefault="00A57A51" w:rsidP="00A57A51">
            <w:pPr>
              <w:autoSpaceDE w:val="0"/>
              <w:autoSpaceDN w:val="0"/>
              <w:adjustRightInd w:val="0"/>
              <w:spacing w:after="0" w:line="360" w:lineRule="auto"/>
              <w:ind w:left="-108"/>
              <w:rPr>
                <w:rFonts w:ascii="Palatino Linotype" w:hAnsi="Palatino Linotype"/>
              </w:rPr>
            </w:pPr>
            <w:r w:rsidRPr="00E27395">
              <w:rPr>
                <w:rFonts w:ascii="Palatino Linotype" w:hAnsi="Palatino Linotype"/>
              </w:rPr>
              <w:t>ThermoFisher #4401631</w:t>
            </w:r>
          </w:p>
        </w:tc>
      </w:tr>
    </w:tbl>
    <w:p w14:paraId="2EE23BBF" w14:textId="77777777" w:rsidR="004A10C3" w:rsidRDefault="004A10C3" w:rsidP="004A10C3">
      <w:pPr>
        <w:rPr>
          <w:rFonts w:ascii="Times New Roman" w:hAnsi="Times New Roman" w:cs="Times New Roman"/>
          <w:lang w:val="en-US"/>
        </w:rPr>
      </w:pPr>
    </w:p>
    <w:p w14:paraId="0FAF2AB0" w14:textId="4E054946" w:rsidR="002D01C1" w:rsidRDefault="002D01C1" w:rsidP="004A10C3">
      <w:pPr>
        <w:rPr>
          <w:rFonts w:ascii="Times New Roman" w:hAnsi="Times New Roman" w:cs="Times New Roman"/>
          <w:lang w:val="en-US"/>
        </w:rPr>
      </w:pPr>
    </w:p>
    <w:p w14:paraId="3BD8EA22" w14:textId="50AC83B9" w:rsidR="002D01C1" w:rsidRDefault="002D01C1" w:rsidP="004A10C3">
      <w:pPr>
        <w:rPr>
          <w:rFonts w:ascii="Times New Roman" w:hAnsi="Times New Roman" w:cs="Times New Roman"/>
          <w:lang w:val="en-US"/>
        </w:rPr>
      </w:pPr>
    </w:p>
    <w:p w14:paraId="05462BA0" w14:textId="70043D50" w:rsidR="00E21BC9" w:rsidRDefault="00E21BC9" w:rsidP="004A10C3">
      <w:pPr>
        <w:rPr>
          <w:rFonts w:ascii="Times New Roman" w:hAnsi="Times New Roman" w:cs="Times New Roman"/>
          <w:lang w:val="en-US"/>
        </w:rPr>
      </w:pPr>
    </w:p>
    <w:p w14:paraId="6DB11BFF" w14:textId="3E8C023E" w:rsidR="00E21BC9" w:rsidRDefault="00E21BC9" w:rsidP="004A10C3">
      <w:pPr>
        <w:rPr>
          <w:rFonts w:ascii="Times New Roman" w:hAnsi="Times New Roman" w:cs="Times New Roman"/>
          <w:lang w:val="en-US"/>
        </w:rPr>
      </w:pPr>
    </w:p>
    <w:p w14:paraId="1C3EE110" w14:textId="334CE2CD" w:rsidR="00E21BC9" w:rsidRDefault="00E21BC9" w:rsidP="004A10C3">
      <w:pPr>
        <w:rPr>
          <w:rFonts w:ascii="Times New Roman" w:hAnsi="Times New Roman" w:cs="Times New Roman"/>
          <w:lang w:val="en-US"/>
        </w:rPr>
      </w:pPr>
    </w:p>
    <w:p w14:paraId="27A5B0F6" w14:textId="1A8282B8" w:rsidR="00E21BC9" w:rsidRDefault="00E21BC9" w:rsidP="004A10C3">
      <w:pPr>
        <w:rPr>
          <w:rFonts w:ascii="Times New Roman" w:hAnsi="Times New Roman" w:cs="Times New Roman"/>
          <w:lang w:val="en-US"/>
        </w:rPr>
      </w:pPr>
    </w:p>
    <w:p w14:paraId="1BDD8CE9" w14:textId="1D7385BD" w:rsidR="00E21BC9" w:rsidRDefault="00E21BC9" w:rsidP="004A10C3">
      <w:pPr>
        <w:rPr>
          <w:rFonts w:ascii="Times New Roman" w:hAnsi="Times New Roman" w:cs="Times New Roman"/>
          <w:lang w:val="en-US"/>
        </w:rPr>
      </w:pPr>
    </w:p>
    <w:p w14:paraId="73DE54E3" w14:textId="336B6F44" w:rsidR="00E21BC9" w:rsidRDefault="00E21BC9" w:rsidP="004A10C3">
      <w:pPr>
        <w:rPr>
          <w:rFonts w:ascii="Times New Roman" w:hAnsi="Times New Roman" w:cs="Times New Roman"/>
          <w:lang w:val="en-US"/>
        </w:rPr>
      </w:pPr>
    </w:p>
    <w:p w14:paraId="3B9865A3" w14:textId="607FE133" w:rsidR="00E21BC9" w:rsidRDefault="00E21BC9" w:rsidP="004A10C3">
      <w:pPr>
        <w:rPr>
          <w:rFonts w:ascii="Times New Roman" w:hAnsi="Times New Roman" w:cs="Times New Roman"/>
          <w:lang w:val="en-US"/>
        </w:rPr>
      </w:pPr>
    </w:p>
    <w:p w14:paraId="24EF4A34" w14:textId="0AFE7D38" w:rsidR="00E21BC9" w:rsidRDefault="00E21BC9" w:rsidP="004A10C3">
      <w:pPr>
        <w:rPr>
          <w:rFonts w:ascii="Times New Roman" w:hAnsi="Times New Roman" w:cs="Times New Roman"/>
          <w:lang w:val="en-US"/>
        </w:rPr>
      </w:pPr>
    </w:p>
    <w:p w14:paraId="60167607" w14:textId="58BADC95" w:rsidR="00E21BC9" w:rsidRDefault="00E21BC9" w:rsidP="004A10C3">
      <w:pPr>
        <w:rPr>
          <w:rFonts w:ascii="Times New Roman" w:hAnsi="Times New Roman" w:cs="Times New Roman"/>
          <w:lang w:val="en-US"/>
        </w:rPr>
      </w:pPr>
    </w:p>
    <w:p w14:paraId="13AD2B81" w14:textId="756AB280" w:rsidR="00E21BC9" w:rsidRDefault="00E21BC9" w:rsidP="004A10C3">
      <w:pPr>
        <w:rPr>
          <w:rFonts w:ascii="Times New Roman" w:hAnsi="Times New Roman" w:cs="Times New Roman"/>
          <w:lang w:val="en-US"/>
        </w:rPr>
      </w:pPr>
    </w:p>
    <w:p w14:paraId="194ED303" w14:textId="0001CCF8" w:rsidR="00E21BC9" w:rsidRDefault="00E21BC9" w:rsidP="004A10C3">
      <w:pPr>
        <w:rPr>
          <w:rFonts w:ascii="Times New Roman" w:hAnsi="Times New Roman" w:cs="Times New Roman"/>
          <w:lang w:val="en-US"/>
        </w:rPr>
      </w:pPr>
    </w:p>
    <w:p w14:paraId="60210661" w14:textId="6DFEB198" w:rsidR="00E21BC9" w:rsidRDefault="00E21BC9" w:rsidP="004A10C3">
      <w:pPr>
        <w:rPr>
          <w:rFonts w:ascii="Times New Roman" w:hAnsi="Times New Roman" w:cs="Times New Roman"/>
          <w:lang w:val="en-US"/>
        </w:rPr>
      </w:pPr>
    </w:p>
    <w:p w14:paraId="5EF013AC" w14:textId="3B2F8646" w:rsidR="00E21BC9" w:rsidRDefault="00E21BC9" w:rsidP="004A10C3">
      <w:pPr>
        <w:rPr>
          <w:rFonts w:ascii="Times New Roman" w:hAnsi="Times New Roman" w:cs="Times New Roman"/>
          <w:lang w:val="en-US"/>
        </w:rPr>
      </w:pPr>
    </w:p>
    <w:p w14:paraId="293F0EA3" w14:textId="221FFDA2" w:rsidR="00E21BC9" w:rsidRDefault="00E21BC9" w:rsidP="004A10C3">
      <w:pPr>
        <w:rPr>
          <w:rFonts w:ascii="Times New Roman" w:hAnsi="Times New Roman" w:cs="Times New Roman"/>
          <w:lang w:val="en-US"/>
        </w:rPr>
      </w:pPr>
    </w:p>
    <w:p w14:paraId="405201E6" w14:textId="77777777" w:rsidR="00BB010C" w:rsidRDefault="00BB010C" w:rsidP="004A10C3">
      <w:pPr>
        <w:rPr>
          <w:rFonts w:ascii="Times New Roman" w:hAnsi="Times New Roman" w:cs="Times New Roman"/>
          <w:lang w:val="en-US"/>
        </w:rPr>
      </w:pPr>
    </w:p>
    <w:p w14:paraId="5F105562" w14:textId="77777777" w:rsidR="00E21BC9" w:rsidRDefault="00E21BC9" w:rsidP="004A10C3">
      <w:pPr>
        <w:rPr>
          <w:rFonts w:ascii="Times New Roman" w:hAnsi="Times New Roman" w:cs="Times New Roman"/>
          <w:lang w:val="en-US"/>
        </w:rPr>
      </w:pPr>
    </w:p>
    <w:p w14:paraId="6399B3D6" w14:textId="709CD2E0" w:rsidR="004A10C3" w:rsidRPr="00E27395" w:rsidRDefault="004A10C3" w:rsidP="004A10C3">
      <w:pPr>
        <w:pStyle w:val="Heading3"/>
        <w:spacing w:line="480" w:lineRule="auto"/>
        <w:jc w:val="both"/>
        <w:rPr>
          <w:rFonts w:ascii="Palatino Linotype" w:hAnsi="Palatino Linotype" w:cs="Times New Roman"/>
          <w:b w:val="0"/>
          <w:color w:val="auto"/>
          <w:sz w:val="22"/>
          <w:szCs w:val="22"/>
        </w:rPr>
      </w:pPr>
      <w:r w:rsidRPr="00E27395">
        <w:rPr>
          <w:rFonts w:ascii="Palatino Linotype" w:hAnsi="Palatino Linotype" w:cs="Times New Roman"/>
          <w:bCs w:val="0"/>
          <w:color w:val="auto"/>
          <w:sz w:val="22"/>
          <w:szCs w:val="22"/>
        </w:rPr>
        <w:lastRenderedPageBreak/>
        <w:t>Table S</w:t>
      </w:r>
      <w:r w:rsidR="00AB0814" w:rsidRPr="00E27395">
        <w:rPr>
          <w:rFonts w:ascii="Palatino Linotype" w:hAnsi="Palatino Linotype" w:cs="Times New Roman"/>
          <w:bCs w:val="0"/>
          <w:color w:val="auto"/>
          <w:sz w:val="22"/>
          <w:szCs w:val="22"/>
        </w:rPr>
        <w:t>2</w:t>
      </w:r>
      <w:r w:rsidRPr="00E27395">
        <w:rPr>
          <w:rFonts w:ascii="Palatino Linotype" w:hAnsi="Palatino Linotype" w:cs="Times New Roman"/>
          <w:b w:val="0"/>
          <w:color w:val="auto"/>
          <w:sz w:val="22"/>
          <w:szCs w:val="22"/>
        </w:rPr>
        <w:t>. Sequence of</w:t>
      </w:r>
      <w:r w:rsidRPr="00E27395">
        <w:rPr>
          <w:rFonts w:ascii="Palatino Linotype" w:hAnsi="Palatino Linotype" w:cs="Times New Roman"/>
          <w:color w:val="auto"/>
          <w:sz w:val="22"/>
          <w:szCs w:val="22"/>
        </w:rPr>
        <w:t xml:space="preserve"> </w:t>
      </w:r>
      <w:r w:rsidRPr="00E27395">
        <w:rPr>
          <w:rFonts w:ascii="Palatino Linotype" w:hAnsi="Palatino Linotype" w:cs="Times New Roman"/>
          <w:b w:val="0"/>
          <w:bCs w:val="0"/>
          <w:color w:val="auto"/>
          <w:sz w:val="22"/>
          <w:szCs w:val="22"/>
        </w:rPr>
        <w:t xml:space="preserve">primers used in quantitative real-time PCR experiments. </w:t>
      </w:r>
    </w:p>
    <w:tbl>
      <w:tblPr>
        <w:tblW w:w="9214" w:type="dxa"/>
        <w:jc w:val="center"/>
        <w:tblBorders>
          <w:top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828"/>
        <w:gridCol w:w="3685"/>
      </w:tblGrid>
      <w:tr w:rsidR="004A10C3" w:rsidRPr="006716A8" w14:paraId="3A1D4037" w14:textId="77777777" w:rsidTr="007867F0">
        <w:trPr>
          <w:trHeight w:val="567"/>
          <w:jc w:val="center"/>
        </w:trPr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A9515F3" w14:textId="77777777" w:rsidR="004A10C3" w:rsidRPr="00FF3E4E" w:rsidRDefault="004A10C3" w:rsidP="007867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lang w:val="en-US"/>
              </w:rPr>
            </w:pPr>
          </w:p>
        </w:tc>
        <w:tc>
          <w:tcPr>
            <w:tcW w:w="382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477D2C2" w14:textId="77777777" w:rsidR="004A10C3" w:rsidRPr="00E27395" w:rsidRDefault="004A10C3" w:rsidP="007867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alatino Linotype" w:hAnsi="Palatino Linotype"/>
                <w:b/>
                <w:bCs/>
                <w:iCs/>
              </w:rPr>
            </w:pPr>
            <w:r w:rsidRPr="00E27395">
              <w:rPr>
                <w:rFonts w:ascii="Palatino Linotype" w:hAnsi="Palatino Linotype"/>
                <w:b/>
                <w:bCs/>
                <w:iCs/>
              </w:rPr>
              <w:t>Forward 5’</w:t>
            </w:r>
            <w:r w:rsidRPr="00E27395">
              <w:rPr>
                <w:rFonts w:ascii="Palatino Linotype" w:hAnsi="Palatino Linotype"/>
                <w:b/>
                <w:bCs/>
                <w:iCs/>
              </w:rPr>
              <w:sym w:font="Wingdings" w:char="F0E0"/>
            </w:r>
            <w:r w:rsidRPr="00E27395">
              <w:rPr>
                <w:rFonts w:ascii="Palatino Linotype" w:hAnsi="Palatino Linotype"/>
                <w:b/>
                <w:bCs/>
                <w:iCs/>
              </w:rPr>
              <w:t>3’</w:t>
            </w:r>
          </w:p>
        </w:tc>
        <w:tc>
          <w:tcPr>
            <w:tcW w:w="368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3DD4141" w14:textId="77777777" w:rsidR="004A10C3" w:rsidRPr="00E27395" w:rsidRDefault="004A10C3" w:rsidP="007867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alatino Linotype" w:hAnsi="Palatino Linotype"/>
                <w:b/>
                <w:bCs/>
                <w:iCs/>
              </w:rPr>
            </w:pPr>
            <w:r w:rsidRPr="00E27395">
              <w:rPr>
                <w:rFonts w:ascii="Palatino Linotype" w:hAnsi="Palatino Linotype"/>
                <w:b/>
                <w:bCs/>
                <w:iCs/>
              </w:rPr>
              <w:t>Reverse 5’</w:t>
            </w:r>
            <w:r w:rsidRPr="00E27395">
              <w:rPr>
                <w:rFonts w:ascii="Palatino Linotype" w:hAnsi="Palatino Linotype"/>
                <w:b/>
                <w:bCs/>
                <w:iCs/>
              </w:rPr>
              <w:sym w:font="Wingdings" w:char="F0E0"/>
            </w:r>
            <w:r w:rsidRPr="00E27395">
              <w:rPr>
                <w:rFonts w:ascii="Palatino Linotype" w:hAnsi="Palatino Linotype"/>
                <w:b/>
                <w:bCs/>
                <w:iCs/>
              </w:rPr>
              <w:t>3’</w:t>
            </w:r>
          </w:p>
        </w:tc>
      </w:tr>
      <w:tr w:rsidR="004A10C3" w:rsidRPr="006716A8" w14:paraId="0B6AE256" w14:textId="77777777" w:rsidTr="007867F0">
        <w:trPr>
          <w:jc w:val="center"/>
        </w:trPr>
        <w:tc>
          <w:tcPr>
            <w:tcW w:w="1701" w:type="dxa"/>
            <w:tcBorders>
              <w:top w:val="nil"/>
              <w:bottom w:val="nil"/>
            </w:tcBorders>
          </w:tcPr>
          <w:p w14:paraId="0F356383" w14:textId="609B90E2" w:rsidR="004A10C3" w:rsidRPr="00E27395" w:rsidRDefault="00A57F3A" w:rsidP="007867F0">
            <w:pPr>
              <w:autoSpaceDE w:val="0"/>
              <w:autoSpaceDN w:val="0"/>
              <w:adjustRightInd w:val="0"/>
              <w:spacing w:after="0" w:line="360" w:lineRule="auto"/>
              <w:rPr>
                <w:rFonts w:ascii="Palatino Linotype" w:hAnsi="Palatino Linotype" w:cs="Times New Roman"/>
                <w:i/>
              </w:rPr>
            </w:pPr>
            <w:r w:rsidRPr="00E27395">
              <w:rPr>
                <w:rFonts w:ascii="Palatino Linotype" w:hAnsi="Palatino Linotype" w:cs="Times New Roman"/>
                <w:i/>
              </w:rPr>
              <w:t>DRP1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0E3750CA" w14:textId="20AB0A51" w:rsidR="004A10C3" w:rsidRPr="00E27395" w:rsidRDefault="00A57F3A" w:rsidP="007867F0">
            <w:pPr>
              <w:autoSpaceDE w:val="0"/>
              <w:autoSpaceDN w:val="0"/>
              <w:adjustRightInd w:val="0"/>
              <w:spacing w:after="0" w:line="360" w:lineRule="auto"/>
              <w:rPr>
                <w:rFonts w:ascii="Palatino Linotype" w:hAnsi="Palatino Linotype" w:cs="Times New Roman"/>
              </w:rPr>
            </w:pPr>
            <w:r w:rsidRPr="00E27395">
              <w:rPr>
                <w:rFonts w:ascii="Palatino Linotype" w:hAnsi="Palatino Linotype" w:cs="Times New Roman"/>
              </w:rPr>
              <w:t>ACCCGGAGACCTCTCATTCT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B2311B2" w14:textId="61EA6BE9" w:rsidR="004A10C3" w:rsidRPr="00E27395" w:rsidRDefault="00A57F3A" w:rsidP="007867F0">
            <w:pPr>
              <w:autoSpaceDE w:val="0"/>
              <w:autoSpaceDN w:val="0"/>
              <w:adjustRightInd w:val="0"/>
              <w:spacing w:after="0" w:line="360" w:lineRule="auto"/>
              <w:ind w:left="-108"/>
              <w:rPr>
                <w:rFonts w:ascii="Palatino Linotype" w:hAnsi="Palatino Linotype" w:cs="Times New Roman"/>
              </w:rPr>
            </w:pPr>
            <w:r w:rsidRPr="00E27395">
              <w:rPr>
                <w:rFonts w:ascii="Palatino Linotype" w:hAnsi="Palatino Linotype" w:cs="Times New Roman"/>
              </w:rPr>
              <w:t>TGACAACGTTGGGTGAAAAA</w:t>
            </w:r>
          </w:p>
        </w:tc>
      </w:tr>
      <w:tr w:rsidR="004A10C3" w:rsidRPr="006716A8" w14:paraId="57F78FA3" w14:textId="77777777" w:rsidTr="007867F0">
        <w:trPr>
          <w:jc w:val="center"/>
        </w:trPr>
        <w:tc>
          <w:tcPr>
            <w:tcW w:w="1701" w:type="dxa"/>
            <w:tcBorders>
              <w:top w:val="nil"/>
              <w:bottom w:val="nil"/>
            </w:tcBorders>
          </w:tcPr>
          <w:p w14:paraId="1E79BCB5" w14:textId="7E041A87" w:rsidR="004A10C3" w:rsidRPr="00E27395" w:rsidRDefault="00A57F3A" w:rsidP="007867F0">
            <w:pPr>
              <w:autoSpaceDE w:val="0"/>
              <w:autoSpaceDN w:val="0"/>
              <w:adjustRightInd w:val="0"/>
              <w:spacing w:after="0" w:line="360" w:lineRule="auto"/>
              <w:rPr>
                <w:rFonts w:ascii="Palatino Linotype" w:hAnsi="Palatino Linotype" w:cs="Times New Roman"/>
                <w:i/>
              </w:rPr>
            </w:pPr>
            <w:r w:rsidRPr="00E27395">
              <w:rPr>
                <w:rFonts w:ascii="Palatino Linotype" w:hAnsi="Palatino Linotype" w:cs="Times New Roman"/>
                <w:i/>
              </w:rPr>
              <w:t>OPA1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3F493FD3" w14:textId="11E34932" w:rsidR="004A10C3" w:rsidRPr="00E27395" w:rsidRDefault="00A57F3A" w:rsidP="007867F0">
            <w:pPr>
              <w:autoSpaceDE w:val="0"/>
              <w:autoSpaceDN w:val="0"/>
              <w:adjustRightInd w:val="0"/>
              <w:spacing w:after="0" w:line="360" w:lineRule="auto"/>
              <w:rPr>
                <w:rFonts w:ascii="Palatino Linotype" w:hAnsi="Palatino Linotype" w:cs="Times New Roman"/>
              </w:rPr>
            </w:pPr>
            <w:r w:rsidRPr="00E27395">
              <w:rPr>
                <w:rFonts w:ascii="Palatino Linotype" w:hAnsi="Palatino Linotype" w:cs="Times New Roman"/>
              </w:rPr>
              <w:t>TGTGAGGTCTGCCAGTCTT</w:t>
            </w:r>
            <w:r w:rsidR="00E20C3C" w:rsidRPr="00E27395">
              <w:rPr>
                <w:rFonts w:ascii="Palatino Linotype" w:hAnsi="Palatino Linotype" w:cs="Times New Roman"/>
              </w:rPr>
              <w:t>TA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82253D8" w14:textId="75C2D597" w:rsidR="004A10C3" w:rsidRPr="00E27395" w:rsidRDefault="00A57F3A" w:rsidP="007867F0">
            <w:pPr>
              <w:autoSpaceDE w:val="0"/>
              <w:autoSpaceDN w:val="0"/>
              <w:adjustRightInd w:val="0"/>
              <w:spacing w:after="0" w:line="360" w:lineRule="auto"/>
              <w:ind w:left="-108"/>
              <w:rPr>
                <w:rFonts w:ascii="Palatino Linotype" w:hAnsi="Palatino Linotype" w:cs="Times New Roman"/>
              </w:rPr>
            </w:pPr>
            <w:r w:rsidRPr="00E27395">
              <w:rPr>
                <w:rFonts w:ascii="Palatino Linotype" w:hAnsi="Palatino Linotype" w:cs="Times New Roman"/>
              </w:rPr>
              <w:t>TGTCCTTAATTGGGGTCGTTG</w:t>
            </w:r>
          </w:p>
        </w:tc>
      </w:tr>
      <w:tr w:rsidR="004A10C3" w:rsidRPr="006716A8" w14:paraId="25408833" w14:textId="77777777" w:rsidTr="007867F0">
        <w:trPr>
          <w:jc w:val="center"/>
        </w:trPr>
        <w:tc>
          <w:tcPr>
            <w:tcW w:w="1701" w:type="dxa"/>
            <w:tcBorders>
              <w:top w:val="nil"/>
              <w:bottom w:val="nil"/>
            </w:tcBorders>
          </w:tcPr>
          <w:p w14:paraId="4F4E37F5" w14:textId="1EFB367A" w:rsidR="004A10C3" w:rsidRPr="00E27395" w:rsidRDefault="00E20C3C" w:rsidP="007867F0">
            <w:pPr>
              <w:autoSpaceDE w:val="0"/>
              <w:autoSpaceDN w:val="0"/>
              <w:adjustRightInd w:val="0"/>
              <w:spacing w:after="0" w:line="360" w:lineRule="auto"/>
              <w:rPr>
                <w:rFonts w:ascii="Palatino Linotype" w:hAnsi="Palatino Linotype" w:cs="Times New Roman"/>
                <w:i/>
              </w:rPr>
            </w:pPr>
            <w:r w:rsidRPr="00E27395">
              <w:rPr>
                <w:rFonts w:ascii="Palatino Linotype" w:hAnsi="Palatino Linotype" w:cs="Times New Roman"/>
                <w:i/>
              </w:rPr>
              <w:t>MFN2</w:t>
            </w:r>
          </w:p>
        </w:tc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06C58062" w14:textId="5D586302" w:rsidR="004A10C3" w:rsidRPr="00E27395" w:rsidRDefault="00E20C3C" w:rsidP="007867F0">
            <w:pPr>
              <w:autoSpaceDE w:val="0"/>
              <w:autoSpaceDN w:val="0"/>
              <w:adjustRightInd w:val="0"/>
              <w:spacing w:after="0" w:line="360" w:lineRule="auto"/>
              <w:rPr>
                <w:rFonts w:ascii="Palatino Linotype" w:hAnsi="Palatino Linotype" w:cs="Times New Roman"/>
              </w:rPr>
            </w:pPr>
            <w:r w:rsidRPr="00E27395">
              <w:rPr>
                <w:rFonts w:ascii="Palatino Linotype" w:hAnsi="Palatino Linotype" w:cs="Times New Roman"/>
              </w:rPr>
              <w:t>CACATGGAGCGTTGTACCAG</w:t>
            </w:r>
          </w:p>
        </w:tc>
        <w:tc>
          <w:tcPr>
            <w:tcW w:w="3685" w:type="dxa"/>
            <w:tcBorders>
              <w:top w:val="nil"/>
              <w:bottom w:val="nil"/>
            </w:tcBorders>
            <w:vAlign w:val="center"/>
          </w:tcPr>
          <w:p w14:paraId="61DAE2ED" w14:textId="29D36409" w:rsidR="004A10C3" w:rsidRPr="00E27395" w:rsidRDefault="00E20C3C" w:rsidP="007867F0">
            <w:pPr>
              <w:autoSpaceDE w:val="0"/>
              <w:autoSpaceDN w:val="0"/>
              <w:adjustRightInd w:val="0"/>
              <w:spacing w:after="0" w:line="360" w:lineRule="auto"/>
              <w:ind w:left="-108"/>
              <w:rPr>
                <w:rFonts w:ascii="Palatino Linotype" w:hAnsi="Palatino Linotype" w:cs="Times New Roman"/>
              </w:rPr>
            </w:pPr>
            <w:r w:rsidRPr="00E27395">
              <w:rPr>
                <w:rFonts w:ascii="Palatino Linotype" w:hAnsi="Palatino Linotype" w:cs="Times New Roman"/>
              </w:rPr>
              <w:t>TTGAGCACCTCCTTAGCAGAC</w:t>
            </w:r>
          </w:p>
        </w:tc>
      </w:tr>
      <w:tr w:rsidR="004A10C3" w:rsidRPr="006716A8" w14:paraId="7E289DFB" w14:textId="77777777" w:rsidTr="007867F0">
        <w:trPr>
          <w:jc w:val="center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059BFD6" w14:textId="77777777" w:rsidR="004A10C3" w:rsidRPr="00E27395" w:rsidRDefault="004A10C3" w:rsidP="007867F0">
            <w:pPr>
              <w:autoSpaceDE w:val="0"/>
              <w:autoSpaceDN w:val="0"/>
              <w:adjustRightInd w:val="0"/>
              <w:spacing w:after="0" w:line="360" w:lineRule="auto"/>
              <w:rPr>
                <w:rFonts w:ascii="Palatino Linotype" w:hAnsi="Palatino Linotype" w:cs="Times New Roman"/>
                <w:i/>
              </w:rPr>
            </w:pPr>
            <w:r w:rsidRPr="00E27395">
              <w:rPr>
                <w:rFonts w:ascii="Palatino Linotype" w:hAnsi="Palatino Linotype" w:cs="Times New Roman"/>
                <w:i/>
              </w:rPr>
              <w:t>β-</w:t>
            </w:r>
            <w:proofErr w:type="spellStart"/>
            <w:r w:rsidRPr="00E27395">
              <w:rPr>
                <w:rFonts w:ascii="Palatino Linotype" w:hAnsi="Palatino Linotype" w:cs="Times New Roman"/>
                <w:i/>
              </w:rPr>
              <w:t>actin</w:t>
            </w:r>
            <w:proofErr w:type="spellEnd"/>
          </w:p>
        </w:tc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14:paraId="2E214597" w14:textId="77777777" w:rsidR="004A10C3" w:rsidRPr="00E27395" w:rsidRDefault="004A10C3" w:rsidP="007867F0">
            <w:pPr>
              <w:autoSpaceDE w:val="0"/>
              <w:autoSpaceDN w:val="0"/>
              <w:adjustRightInd w:val="0"/>
              <w:spacing w:after="0" w:line="360" w:lineRule="auto"/>
              <w:rPr>
                <w:rFonts w:ascii="Palatino Linotype" w:hAnsi="Palatino Linotype" w:cs="Times New Roman"/>
              </w:rPr>
            </w:pPr>
            <w:r w:rsidRPr="00E27395">
              <w:rPr>
                <w:rFonts w:ascii="Palatino Linotype" w:hAnsi="Palatino Linotype" w:cs="Times New Roman"/>
              </w:rPr>
              <w:t>GCTACAGCTTCACCACCACA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D778B52" w14:textId="77777777" w:rsidR="004A10C3" w:rsidRPr="00E27395" w:rsidRDefault="004A10C3" w:rsidP="007867F0">
            <w:pPr>
              <w:autoSpaceDE w:val="0"/>
              <w:autoSpaceDN w:val="0"/>
              <w:adjustRightInd w:val="0"/>
              <w:spacing w:after="0" w:line="360" w:lineRule="auto"/>
              <w:ind w:left="-108"/>
              <w:rPr>
                <w:rFonts w:ascii="Palatino Linotype" w:hAnsi="Palatino Linotype" w:cs="Times New Roman"/>
              </w:rPr>
            </w:pPr>
            <w:r w:rsidRPr="00E27395">
              <w:rPr>
                <w:rFonts w:ascii="Palatino Linotype" w:hAnsi="Palatino Linotype" w:cs="Times New Roman"/>
              </w:rPr>
              <w:t>AAGGAAGGCTGGAAAAGAGC</w:t>
            </w:r>
          </w:p>
        </w:tc>
      </w:tr>
    </w:tbl>
    <w:p w14:paraId="29DE7511" w14:textId="77777777" w:rsidR="004A10C3" w:rsidRDefault="004A10C3" w:rsidP="004A10C3">
      <w:pPr>
        <w:rPr>
          <w:rFonts w:ascii="Times New Roman" w:hAnsi="Times New Roman" w:cs="Times New Roman"/>
          <w:lang w:val="en-US"/>
        </w:rPr>
      </w:pPr>
    </w:p>
    <w:p w14:paraId="616A4B4B" w14:textId="096E4583" w:rsidR="004A10C3" w:rsidRDefault="004A10C3" w:rsidP="004A10C3">
      <w:pPr>
        <w:rPr>
          <w:rFonts w:ascii="Times New Roman" w:hAnsi="Times New Roman" w:cs="Times New Roman"/>
          <w:lang w:val="en-US"/>
        </w:rPr>
      </w:pPr>
    </w:p>
    <w:p w14:paraId="666D6CE2" w14:textId="0EF70015" w:rsidR="002C4850" w:rsidRDefault="002C4850" w:rsidP="004A10C3">
      <w:pPr>
        <w:rPr>
          <w:rFonts w:ascii="Times New Roman" w:hAnsi="Times New Roman" w:cs="Times New Roman"/>
          <w:lang w:val="en-US"/>
        </w:rPr>
      </w:pPr>
    </w:p>
    <w:p w14:paraId="34CAE146" w14:textId="66310462" w:rsidR="002C4850" w:rsidRDefault="002C4850" w:rsidP="004A10C3">
      <w:pPr>
        <w:rPr>
          <w:rFonts w:ascii="Times New Roman" w:hAnsi="Times New Roman" w:cs="Times New Roman"/>
          <w:lang w:val="en-US"/>
        </w:rPr>
      </w:pPr>
    </w:p>
    <w:p w14:paraId="01820829" w14:textId="747FB73A" w:rsidR="002C4850" w:rsidRDefault="002C4850" w:rsidP="004A10C3">
      <w:pPr>
        <w:rPr>
          <w:rFonts w:ascii="Times New Roman" w:hAnsi="Times New Roman" w:cs="Times New Roman"/>
          <w:lang w:val="en-US"/>
        </w:rPr>
      </w:pPr>
    </w:p>
    <w:p w14:paraId="62A51DF6" w14:textId="737B4F57" w:rsidR="002C4850" w:rsidRDefault="002C4850" w:rsidP="004A10C3">
      <w:pPr>
        <w:rPr>
          <w:rFonts w:ascii="Times New Roman" w:hAnsi="Times New Roman" w:cs="Times New Roman"/>
          <w:lang w:val="en-US"/>
        </w:rPr>
      </w:pPr>
    </w:p>
    <w:p w14:paraId="5C9FA8CD" w14:textId="741BA566" w:rsidR="002C4850" w:rsidRDefault="002C4850" w:rsidP="004A10C3">
      <w:pPr>
        <w:rPr>
          <w:rFonts w:ascii="Times New Roman" w:hAnsi="Times New Roman" w:cs="Times New Roman"/>
          <w:lang w:val="en-US"/>
        </w:rPr>
      </w:pPr>
    </w:p>
    <w:p w14:paraId="63A52D98" w14:textId="52D2FDA7" w:rsidR="002C4850" w:rsidRDefault="002C4850" w:rsidP="004A10C3">
      <w:pPr>
        <w:rPr>
          <w:rFonts w:ascii="Times New Roman" w:hAnsi="Times New Roman" w:cs="Times New Roman"/>
          <w:lang w:val="en-US"/>
        </w:rPr>
      </w:pPr>
    </w:p>
    <w:p w14:paraId="0359DCEB" w14:textId="297CD068" w:rsidR="002C4850" w:rsidRDefault="002C4850" w:rsidP="004A10C3">
      <w:pPr>
        <w:rPr>
          <w:rFonts w:ascii="Times New Roman" w:hAnsi="Times New Roman" w:cs="Times New Roman"/>
          <w:lang w:val="en-US"/>
        </w:rPr>
      </w:pPr>
    </w:p>
    <w:p w14:paraId="3453DFA0" w14:textId="10A86772" w:rsidR="002C4850" w:rsidRDefault="002C4850" w:rsidP="004A10C3">
      <w:pPr>
        <w:rPr>
          <w:rFonts w:ascii="Times New Roman" w:hAnsi="Times New Roman" w:cs="Times New Roman"/>
          <w:lang w:val="en-US"/>
        </w:rPr>
      </w:pPr>
    </w:p>
    <w:p w14:paraId="279547E6" w14:textId="24F400F9" w:rsidR="00E21BC9" w:rsidRDefault="00E21BC9" w:rsidP="004A10C3">
      <w:pPr>
        <w:rPr>
          <w:rFonts w:ascii="Times New Roman" w:hAnsi="Times New Roman" w:cs="Times New Roman"/>
          <w:lang w:val="en-US"/>
        </w:rPr>
      </w:pPr>
    </w:p>
    <w:p w14:paraId="3FD60FB2" w14:textId="12250532" w:rsidR="00E21BC9" w:rsidRDefault="00E21BC9" w:rsidP="004A10C3">
      <w:pPr>
        <w:rPr>
          <w:rFonts w:ascii="Times New Roman" w:hAnsi="Times New Roman" w:cs="Times New Roman"/>
          <w:lang w:val="en-US"/>
        </w:rPr>
      </w:pPr>
    </w:p>
    <w:p w14:paraId="3145075D" w14:textId="4038371A" w:rsidR="00E21BC9" w:rsidRDefault="00E21BC9" w:rsidP="004A10C3">
      <w:pPr>
        <w:rPr>
          <w:rFonts w:ascii="Times New Roman" w:hAnsi="Times New Roman" w:cs="Times New Roman"/>
          <w:lang w:val="en-US"/>
        </w:rPr>
      </w:pPr>
    </w:p>
    <w:p w14:paraId="47A6C2C0" w14:textId="638A2593" w:rsidR="00E21BC9" w:rsidRDefault="00E21BC9" w:rsidP="004A10C3">
      <w:pPr>
        <w:rPr>
          <w:rFonts w:ascii="Times New Roman" w:hAnsi="Times New Roman" w:cs="Times New Roman"/>
          <w:lang w:val="en-US"/>
        </w:rPr>
      </w:pPr>
    </w:p>
    <w:p w14:paraId="45D072D6" w14:textId="68D24DF0" w:rsidR="00E21BC9" w:rsidRDefault="00E21BC9" w:rsidP="004A10C3">
      <w:pPr>
        <w:rPr>
          <w:rFonts w:ascii="Times New Roman" w:hAnsi="Times New Roman" w:cs="Times New Roman"/>
          <w:lang w:val="en-US"/>
        </w:rPr>
      </w:pPr>
    </w:p>
    <w:p w14:paraId="6704D3FD" w14:textId="3F458F04" w:rsidR="00E21BC9" w:rsidRDefault="00E21BC9" w:rsidP="004A10C3">
      <w:pPr>
        <w:rPr>
          <w:rFonts w:ascii="Times New Roman" w:hAnsi="Times New Roman" w:cs="Times New Roman"/>
          <w:lang w:val="en-US"/>
        </w:rPr>
      </w:pPr>
    </w:p>
    <w:p w14:paraId="6A8C5AD3" w14:textId="258550B5" w:rsidR="00E21BC9" w:rsidRDefault="00E21BC9" w:rsidP="004A10C3">
      <w:pPr>
        <w:rPr>
          <w:rFonts w:ascii="Times New Roman" w:hAnsi="Times New Roman" w:cs="Times New Roman"/>
          <w:lang w:val="en-US"/>
        </w:rPr>
      </w:pPr>
    </w:p>
    <w:p w14:paraId="0675F37E" w14:textId="760AE40A" w:rsidR="00E21BC9" w:rsidRDefault="00E21BC9" w:rsidP="004A10C3">
      <w:pPr>
        <w:rPr>
          <w:rFonts w:ascii="Times New Roman" w:hAnsi="Times New Roman" w:cs="Times New Roman"/>
          <w:lang w:val="en-US"/>
        </w:rPr>
      </w:pPr>
    </w:p>
    <w:p w14:paraId="1ADB4779" w14:textId="6951BFE7" w:rsidR="00E21BC9" w:rsidRDefault="00E21BC9" w:rsidP="004A10C3">
      <w:pPr>
        <w:rPr>
          <w:rFonts w:ascii="Times New Roman" w:hAnsi="Times New Roman" w:cs="Times New Roman"/>
          <w:lang w:val="en-US"/>
        </w:rPr>
      </w:pPr>
    </w:p>
    <w:p w14:paraId="003BDDAF" w14:textId="13B4311C" w:rsidR="00E21BC9" w:rsidRDefault="00E21BC9" w:rsidP="004A10C3">
      <w:pPr>
        <w:rPr>
          <w:rFonts w:ascii="Times New Roman" w:hAnsi="Times New Roman" w:cs="Times New Roman"/>
          <w:lang w:val="en-US"/>
        </w:rPr>
      </w:pPr>
    </w:p>
    <w:p w14:paraId="02CCAAEF" w14:textId="00C657AB" w:rsidR="00E21BC9" w:rsidRDefault="00E21BC9" w:rsidP="004A10C3">
      <w:pPr>
        <w:rPr>
          <w:rFonts w:ascii="Times New Roman" w:hAnsi="Times New Roman" w:cs="Times New Roman"/>
          <w:lang w:val="en-US"/>
        </w:rPr>
      </w:pPr>
    </w:p>
    <w:p w14:paraId="541DF3AD" w14:textId="1C1A0B7E" w:rsidR="00E21BC9" w:rsidRDefault="00E21BC9" w:rsidP="004A10C3">
      <w:pPr>
        <w:rPr>
          <w:rFonts w:ascii="Times New Roman" w:hAnsi="Times New Roman" w:cs="Times New Roman"/>
          <w:lang w:val="en-US"/>
        </w:rPr>
      </w:pPr>
    </w:p>
    <w:p w14:paraId="2E379CDE" w14:textId="2689BE0D" w:rsidR="00E21BC9" w:rsidRDefault="00E21BC9" w:rsidP="004A10C3">
      <w:pPr>
        <w:rPr>
          <w:rFonts w:ascii="Times New Roman" w:hAnsi="Times New Roman" w:cs="Times New Roman"/>
          <w:lang w:val="en-US"/>
        </w:rPr>
      </w:pPr>
    </w:p>
    <w:p w14:paraId="0D4CC48E" w14:textId="551D282B" w:rsidR="00E21BC9" w:rsidRDefault="00E21BC9" w:rsidP="004A10C3">
      <w:pPr>
        <w:rPr>
          <w:rFonts w:ascii="Times New Roman" w:hAnsi="Times New Roman" w:cs="Times New Roman"/>
          <w:lang w:val="en-US"/>
        </w:rPr>
      </w:pPr>
    </w:p>
    <w:p w14:paraId="5A9AD662" w14:textId="011F4280" w:rsidR="00E21BC9" w:rsidRDefault="00E21BC9" w:rsidP="004A10C3">
      <w:pPr>
        <w:rPr>
          <w:rFonts w:ascii="Times New Roman" w:hAnsi="Times New Roman" w:cs="Times New Roman"/>
          <w:lang w:val="en-US"/>
        </w:rPr>
      </w:pPr>
    </w:p>
    <w:p w14:paraId="41D9BDF2" w14:textId="439DCCA7" w:rsidR="002C4850" w:rsidRDefault="002C4850" w:rsidP="004A10C3">
      <w:pPr>
        <w:rPr>
          <w:rFonts w:ascii="Times New Roman" w:hAnsi="Times New Roman" w:cs="Times New Roman"/>
          <w:lang w:val="en-US"/>
        </w:rPr>
      </w:pPr>
    </w:p>
    <w:p w14:paraId="45D75E8D" w14:textId="483DE45B" w:rsidR="004A10C3" w:rsidRPr="00E27395" w:rsidRDefault="004A10C3" w:rsidP="004A10C3">
      <w:pPr>
        <w:spacing w:line="360" w:lineRule="auto"/>
        <w:rPr>
          <w:rFonts w:ascii="Palatino Linotype" w:hAnsi="Palatino Linotype" w:cs="Times New Roman"/>
          <w:lang w:val="en-US"/>
        </w:rPr>
      </w:pPr>
      <w:r w:rsidRPr="00E27395">
        <w:rPr>
          <w:rFonts w:ascii="Palatino Linotype" w:hAnsi="Palatino Linotype" w:cs="Times New Roman"/>
          <w:b/>
          <w:bCs/>
          <w:lang w:val="en-US"/>
        </w:rPr>
        <w:lastRenderedPageBreak/>
        <w:t>Table S</w:t>
      </w:r>
      <w:r w:rsidR="002C4850" w:rsidRPr="00E27395">
        <w:rPr>
          <w:rFonts w:ascii="Palatino Linotype" w:hAnsi="Palatino Linotype" w:cs="Times New Roman"/>
          <w:b/>
          <w:bCs/>
          <w:lang w:val="en-US"/>
        </w:rPr>
        <w:t>3</w:t>
      </w:r>
      <w:r w:rsidRPr="00E27395">
        <w:rPr>
          <w:rFonts w:ascii="Palatino Linotype" w:hAnsi="Palatino Linotype" w:cs="Times New Roman"/>
          <w:lang w:val="en-US"/>
        </w:rPr>
        <w:t>. List of antibodies and relative dilutions used in Western blotting and ICC experiments.</w:t>
      </w:r>
    </w:p>
    <w:tbl>
      <w:tblPr>
        <w:tblW w:w="5245" w:type="dxa"/>
        <w:jc w:val="center"/>
        <w:tblBorders>
          <w:top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268"/>
      </w:tblGrid>
      <w:tr w:rsidR="004A10C3" w:rsidRPr="00E27395" w14:paraId="5F748117" w14:textId="77777777" w:rsidTr="00E27395">
        <w:trPr>
          <w:trHeight w:val="567"/>
          <w:jc w:val="center"/>
        </w:trPr>
        <w:tc>
          <w:tcPr>
            <w:tcW w:w="29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532D0C" w14:textId="77777777" w:rsidR="004A10C3" w:rsidRPr="00E27395" w:rsidRDefault="004A10C3" w:rsidP="007867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/>
                <w:b/>
                <w:bCs/>
                <w:iCs/>
              </w:rPr>
            </w:pPr>
            <w:r w:rsidRPr="00E27395">
              <w:rPr>
                <w:rFonts w:ascii="Palatino Linotype" w:hAnsi="Palatino Linotype"/>
                <w:b/>
                <w:bCs/>
                <w:iCs/>
              </w:rPr>
              <w:t>Antibody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F41FCA" w14:textId="77777777" w:rsidR="004A10C3" w:rsidRPr="00E27395" w:rsidRDefault="004A10C3" w:rsidP="00E27395">
            <w:pPr>
              <w:autoSpaceDE w:val="0"/>
              <w:autoSpaceDN w:val="0"/>
              <w:adjustRightInd w:val="0"/>
              <w:spacing w:line="276" w:lineRule="auto"/>
              <w:rPr>
                <w:rFonts w:ascii="Palatino Linotype" w:hAnsi="Palatino Linotype"/>
                <w:b/>
                <w:bCs/>
                <w:iCs/>
              </w:rPr>
            </w:pPr>
            <w:proofErr w:type="spellStart"/>
            <w:r w:rsidRPr="00E27395">
              <w:rPr>
                <w:rFonts w:ascii="Palatino Linotype" w:hAnsi="Palatino Linotype"/>
                <w:b/>
                <w:bCs/>
                <w:iCs/>
              </w:rPr>
              <w:t>Catalog</w:t>
            </w:r>
            <w:proofErr w:type="spellEnd"/>
            <w:r w:rsidRPr="00E27395">
              <w:rPr>
                <w:rFonts w:ascii="Palatino Linotype" w:hAnsi="Palatino Linotype"/>
                <w:b/>
                <w:bCs/>
                <w:iCs/>
              </w:rPr>
              <w:t xml:space="preserve"> </w:t>
            </w:r>
            <w:proofErr w:type="spellStart"/>
            <w:r w:rsidRPr="00E27395">
              <w:rPr>
                <w:rFonts w:ascii="Palatino Linotype" w:hAnsi="Palatino Linotype"/>
                <w:b/>
                <w:bCs/>
                <w:iCs/>
              </w:rPr>
              <w:t>Number</w:t>
            </w:r>
            <w:proofErr w:type="spellEnd"/>
          </w:p>
        </w:tc>
      </w:tr>
      <w:tr w:rsidR="004A10C3" w:rsidRPr="00E27395" w14:paraId="2641B3B4" w14:textId="77777777" w:rsidTr="00E27395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</w:tcPr>
          <w:p w14:paraId="3FB9AF90" w14:textId="63505E59" w:rsidR="004A10C3" w:rsidRPr="00E27395" w:rsidRDefault="004A10C3" w:rsidP="007867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alatino Linotype" w:hAnsi="Palatino Linotype"/>
                <w:lang w:val="en-GB"/>
              </w:rPr>
            </w:pPr>
            <w:r w:rsidRPr="00E27395">
              <w:rPr>
                <w:rFonts w:ascii="Palatino Linotype" w:hAnsi="Palatino Linotype"/>
                <w:lang w:val="en-GB"/>
              </w:rPr>
              <w:t>COX-I</w:t>
            </w:r>
            <w:r w:rsidR="002C4850" w:rsidRPr="00E27395">
              <w:rPr>
                <w:rFonts w:ascii="Palatino Linotype" w:hAnsi="Palatino Linotype"/>
                <w:lang w:val="en-GB"/>
              </w:rPr>
              <w:t>I</w:t>
            </w:r>
            <w:r w:rsidR="00BA55D1" w:rsidRPr="00E27395">
              <w:rPr>
                <w:rFonts w:ascii="Palatino Linotype" w:hAnsi="Palatino Linotype"/>
                <w:lang w:val="en-GB"/>
              </w:rPr>
              <w:t xml:space="preserve"> (1:1000 WB)</w:t>
            </w:r>
          </w:p>
          <w:p w14:paraId="519104F9" w14:textId="360975FC" w:rsidR="004A10C3" w:rsidRPr="00E27395" w:rsidRDefault="002C4850" w:rsidP="007867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alatino Linotype" w:hAnsi="Palatino Linotype"/>
                <w:lang w:val="en-GB"/>
              </w:rPr>
            </w:pPr>
            <w:r w:rsidRPr="00E27395">
              <w:rPr>
                <w:rFonts w:ascii="Palatino Linotype" w:hAnsi="Palatino Linotype"/>
                <w:lang w:val="en-GB"/>
              </w:rPr>
              <w:t xml:space="preserve">CS </w:t>
            </w:r>
            <w:r w:rsidR="00BA55D1" w:rsidRPr="00E27395">
              <w:rPr>
                <w:rFonts w:ascii="Palatino Linotype" w:hAnsi="Palatino Linotype"/>
                <w:lang w:val="en-GB"/>
              </w:rPr>
              <w:t>(1:1000 WB)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378A03F" w14:textId="60FE4057" w:rsidR="004A10C3" w:rsidRPr="00E27395" w:rsidRDefault="004A10C3" w:rsidP="00E27395">
            <w:pPr>
              <w:autoSpaceDE w:val="0"/>
              <w:autoSpaceDN w:val="0"/>
              <w:adjustRightInd w:val="0"/>
              <w:spacing w:after="0" w:line="360" w:lineRule="auto"/>
              <w:ind w:left="-108"/>
              <w:jc w:val="both"/>
              <w:rPr>
                <w:rFonts w:ascii="Palatino Linotype" w:hAnsi="Palatino Linotype"/>
              </w:rPr>
            </w:pPr>
            <w:proofErr w:type="spellStart"/>
            <w:r w:rsidRPr="00E27395">
              <w:rPr>
                <w:rFonts w:ascii="Palatino Linotype" w:hAnsi="Palatino Linotype"/>
              </w:rPr>
              <w:t>Abcam</w:t>
            </w:r>
            <w:proofErr w:type="spellEnd"/>
            <w:r w:rsidRPr="00E27395">
              <w:rPr>
                <w:rFonts w:ascii="Palatino Linotype" w:hAnsi="Palatino Linotype"/>
              </w:rPr>
              <w:t xml:space="preserve"> #ab110</w:t>
            </w:r>
            <w:r w:rsidR="00BA55D1" w:rsidRPr="00E27395">
              <w:rPr>
                <w:rFonts w:ascii="Palatino Linotype" w:hAnsi="Palatino Linotype"/>
              </w:rPr>
              <w:t>411</w:t>
            </w:r>
          </w:p>
          <w:p w14:paraId="05A857EC" w14:textId="77777777" w:rsidR="004A10C3" w:rsidRPr="00E27395" w:rsidRDefault="004A10C3" w:rsidP="00E27395">
            <w:pPr>
              <w:autoSpaceDE w:val="0"/>
              <w:autoSpaceDN w:val="0"/>
              <w:adjustRightInd w:val="0"/>
              <w:spacing w:after="0" w:line="360" w:lineRule="auto"/>
              <w:ind w:left="-108"/>
              <w:jc w:val="both"/>
              <w:rPr>
                <w:rFonts w:ascii="Palatino Linotype" w:hAnsi="Palatino Linotype"/>
              </w:rPr>
            </w:pPr>
            <w:proofErr w:type="spellStart"/>
            <w:r w:rsidRPr="00E27395">
              <w:rPr>
                <w:rFonts w:ascii="Palatino Linotype" w:hAnsi="Palatino Linotype"/>
              </w:rPr>
              <w:t>Abcam</w:t>
            </w:r>
            <w:proofErr w:type="spellEnd"/>
            <w:r w:rsidRPr="00E27395">
              <w:rPr>
                <w:rFonts w:ascii="Palatino Linotype" w:hAnsi="Palatino Linotype"/>
              </w:rPr>
              <w:t xml:space="preserve"> #ab110216</w:t>
            </w:r>
          </w:p>
        </w:tc>
      </w:tr>
      <w:tr w:rsidR="002C4850" w:rsidRPr="00E27395" w14:paraId="158B9503" w14:textId="77777777" w:rsidTr="00E27395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</w:tcPr>
          <w:p w14:paraId="5B82DFDA" w14:textId="2400074F" w:rsidR="002C4850" w:rsidRPr="00E27395" w:rsidRDefault="002C4850" w:rsidP="007867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alatino Linotype" w:hAnsi="Palatino Linotype"/>
              </w:rPr>
            </w:pPr>
            <w:r w:rsidRPr="00E27395">
              <w:rPr>
                <w:rFonts w:ascii="Palatino Linotype" w:hAnsi="Palatino Linotype"/>
              </w:rPr>
              <w:t>DRP1</w:t>
            </w:r>
            <w:r w:rsidR="00BA55D1" w:rsidRPr="00E27395">
              <w:rPr>
                <w:rFonts w:ascii="Palatino Linotype" w:hAnsi="Palatino Linotype"/>
              </w:rPr>
              <w:t>(1:1000 WB)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6D286D6" w14:textId="7ED42B43" w:rsidR="002C4850" w:rsidRPr="00E27395" w:rsidRDefault="00BA55D1" w:rsidP="00E27395">
            <w:pPr>
              <w:autoSpaceDE w:val="0"/>
              <w:autoSpaceDN w:val="0"/>
              <w:adjustRightInd w:val="0"/>
              <w:spacing w:after="0" w:line="360" w:lineRule="auto"/>
              <w:ind w:left="-108"/>
              <w:jc w:val="both"/>
              <w:rPr>
                <w:rFonts w:ascii="Palatino Linotype" w:hAnsi="Palatino Linotype"/>
              </w:rPr>
            </w:pPr>
            <w:proofErr w:type="spellStart"/>
            <w:r w:rsidRPr="00E27395">
              <w:rPr>
                <w:rFonts w:ascii="Palatino Linotype" w:hAnsi="Palatino Linotype"/>
              </w:rPr>
              <w:t>Abcam</w:t>
            </w:r>
            <w:proofErr w:type="spellEnd"/>
            <w:r w:rsidRPr="00E27395">
              <w:rPr>
                <w:rFonts w:ascii="Palatino Linotype" w:hAnsi="Palatino Linotype"/>
              </w:rPr>
              <w:t xml:space="preserve"> #ab56788</w:t>
            </w:r>
          </w:p>
        </w:tc>
      </w:tr>
      <w:tr w:rsidR="002C4850" w:rsidRPr="00E27395" w14:paraId="7115EE7A" w14:textId="77777777" w:rsidTr="00E27395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</w:tcPr>
          <w:p w14:paraId="77928EB5" w14:textId="1E811948" w:rsidR="002C4850" w:rsidRPr="00E27395" w:rsidRDefault="002C4850" w:rsidP="002C485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alatino Linotype" w:hAnsi="Palatino Linotype"/>
              </w:rPr>
            </w:pPr>
            <w:r w:rsidRPr="00E27395">
              <w:rPr>
                <w:rFonts w:ascii="Palatino Linotype" w:hAnsi="Palatino Linotype"/>
              </w:rPr>
              <w:t>PGC1-α</w:t>
            </w:r>
            <w:r w:rsidR="00BA55D1" w:rsidRPr="00E27395">
              <w:rPr>
                <w:rFonts w:ascii="Palatino Linotype" w:hAnsi="Palatino Linotype"/>
              </w:rPr>
              <w:t xml:space="preserve"> (1:1000 WB)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C79A0AD" w14:textId="29A57E7B" w:rsidR="002C4850" w:rsidRPr="00E27395" w:rsidRDefault="002C4850" w:rsidP="00E27395">
            <w:pPr>
              <w:autoSpaceDE w:val="0"/>
              <w:autoSpaceDN w:val="0"/>
              <w:adjustRightInd w:val="0"/>
              <w:spacing w:after="0" w:line="360" w:lineRule="auto"/>
              <w:ind w:left="-108"/>
              <w:jc w:val="both"/>
              <w:rPr>
                <w:rFonts w:ascii="Palatino Linotype" w:hAnsi="Palatino Linotype"/>
              </w:rPr>
            </w:pPr>
            <w:proofErr w:type="spellStart"/>
            <w:r w:rsidRPr="00E27395">
              <w:rPr>
                <w:rFonts w:ascii="Palatino Linotype" w:hAnsi="Palatino Linotype"/>
              </w:rPr>
              <w:t>Novus</w:t>
            </w:r>
            <w:proofErr w:type="spellEnd"/>
            <w:r w:rsidRPr="00E27395">
              <w:rPr>
                <w:rFonts w:ascii="Palatino Linotype" w:hAnsi="Palatino Linotype"/>
              </w:rPr>
              <w:t xml:space="preserve"> #NBP1-04676</w:t>
            </w:r>
          </w:p>
        </w:tc>
      </w:tr>
      <w:tr w:rsidR="002C4850" w:rsidRPr="00E27395" w14:paraId="26511CEF" w14:textId="77777777" w:rsidTr="00E27395">
        <w:trPr>
          <w:jc w:val="center"/>
        </w:trPr>
        <w:tc>
          <w:tcPr>
            <w:tcW w:w="2977" w:type="dxa"/>
            <w:tcBorders>
              <w:top w:val="nil"/>
              <w:bottom w:val="single" w:sz="8" w:space="0" w:color="auto"/>
            </w:tcBorders>
          </w:tcPr>
          <w:p w14:paraId="4197D85B" w14:textId="0DF9EBE3" w:rsidR="002C4850" w:rsidRPr="00E27395" w:rsidRDefault="002C4850" w:rsidP="002C485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alatino Linotype" w:hAnsi="Palatino Linotype"/>
              </w:rPr>
            </w:pPr>
            <w:r w:rsidRPr="00E27395">
              <w:rPr>
                <w:rFonts w:ascii="Palatino Linotype" w:hAnsi="Palatino Linotype"/>
              </w:rPr>
              <w:t>Vinculin (1:5000 WB)</w:t>
            </w:r>
          </w:p>
        </w:tc>
        <w:tc>
          <w:tcPr>
            <w:tcW w:w="2268" w:type="dxa"/>
            <w:tcBorders>
              <w:top w:val="nil"/>
              <w:bottom w:val="single" w:sz="8" w:space="0" w:color="auto"/>
            </w:tcBorders>
          </w:tcPr>
          <w:p w14:paraId="7953FE56" w14:textId="26AA8967" w:rsidR="002C4850" w:rsidRPr="00E27395" w:rsidRDefault="002C4850" w:rsidP="00E27395">
            <w:pPr>
              <w:autoSpaceDE w:val="0"/>
              <w:autoSpaceDN w:val="0"/>
              <w:adjustRightInd w:val="0"/>
              <w:spacing w:after="0" w:line="360" w:lineRule="auto"/>
              <w:ind w:left="-108"/>
              <w:jc w:val="both"/>
              <w:rPr>
                <w:rFonts w:ascii="Palatino Linotype" w:hAnsi="Palatino Linotype"/>
              </w:rPr>
            </w:pPr>
            <w:proofErr w:type="spellStart"/>
            <w:r w:rsidRPr="00E27395">
              <w:rPr>
                <w:rFonts w:ascii="Palatino Linotype" w:hAnsi="Palatino Linotype"/>
              </w:rPr>
              <w:t>Abcam</w:t>
            </w:r>
            <w:proofErr w:type="spellEnd"/>
            <w:r w:rsidRPr="00E27395">
              <w:rPr>
                <w:rFonts w:ascii="Palatino Linotype" w:hAnsi="Palatino Linotype"/>
              </w:rPr>
              <w:t xml:space="preserve"> #ab</w:t>
            </w:r>
            <w:r w:rsidR="00BA55D1" w:rsidRPr="00E27395">
              <w:rPr>
                <w:rFonts w:ascii="Palatino Linotype" w:hAnsi="Palatino Linotype"/>
              </w:rPr>
              <w:t>73412</w:t>
            </w:r>
          </w:p>
        </w:tc>
      </w:tr>
    </w:tbl>
    <w:p w14:paraId="10CFC1B0" w14:textId="77777777" w:rsidR="004A10C3" w:rsidRPr="00E27395" w:rsidRDefault="004A10C3" w:rsidP="004A10C3">
      <w:pPr>
        <w:rPr>
          <w:rFonts w:ascii="Palatino Linotype" w:hAnsi="Palatino Linotype" w:cs="Times New Roman"/>
          <w:lang w:val="en-US"/>
        </w:rPr>
      </w:pPr>
    </w:p>
    <w:p w14:paraId="0D462DA5" w14:textId="77777777" w:rsidR="004A10C3" w:rsidRDefault="004A10C3" w:rsidP="004A10C3">
      <w:pPr>
        <w:rPr>
          <w:rFonts w:ascii="Times New Roman" w:hAnsi="Times New Roman" w:cs="Times New Roman"/>
          <w:lang w:val="en-US"/>
        </w:rPr>
      </w:pPr>
    </w:p>
    <w:p w14:paraId="5851C8F7" w14:textId="77777777" w:rsidR="004A10C3" w:rsidRDefault="004A10C3" w:rsidP="004A10C3">
      <w:pPr>
        <w:rPr>
          <w:rFonts w:ascii="Times New Roman" w:hAnsi="Times New Roman" w:cs="Times New Roman"/>
          <w:lang w:val="en-US"/>
        </w:rPr>
      </w:pPr>
    </w:p>
    <w:p w14:paraId="54978425" w14:textId="77777777" w:rsidR="004A10C3" w:rsidRDefault="004A10C3" w:rsidP="004A10C3">
      <w:pPr>
        <w:rPr>
          <w:rFonts w:ascii="Times New Roman" w:hAnsi="Times New Roman" w:cs="Times New Roman"/>
          <w:lang w:val="en-US"/>
        </w:rPr>
      </w:pPr>
    </w:p>
    <w:p w14:paraId="53B5662B" w14:textId="77777777" w:rsidR="004A10C3" w:rsidRDefault="004A10C3" w:rsidP="004A10C3">
      <w:pPr>
        <w:rPr>
          <w:rFonts w:ascii="Times New Roman" w:hAnsi="Times New Roman" w:cs="Times New Roman"/>
          <w:lang w:val="en-US"/>
        </w:rPr>
      </w:pPr>
    </w:p>
    <w:p w14:paraId="711D5A95" w14:textId="77777777" w:rsidR="004A10C3" w:rsidRDefault="004A10C3" w:rsidP="004A10C3">
      <w:pPr>
        <w:rPr>
          <w:rFonts w:ascii="Times New Roman" w:hAnsi="Times New Roman" w:cs="Times New Roman"/>
          <w:lang w:val="en-US"/>
        </w:rPr>
      </w:pPr>
    </w:p>
    <w:p w14:paraId="0E28F39A" w14:textId="77777777" w:rsidR="004A10C3" w:rsidRDefault="004A10C3" w:rsidP="004A10C3">
      <w:pPr>
        <w:rPr>
          <w:rFonts w:ascii="Times New Roman" w:hAnsi="Times New Roman" w:cs="Times New Roman"/>
          <w:lang w:val="en-US"/>
        </w:rPr>
      </w:pPr>
    </w:p>
    <w:p w14:paraId="54161CF5" w14:textId="77777777" w:rsidR="004A10C3" w:rsidRDefault="004A10C3" w:rsidP="004A10C3">
      <w:pPr>
        <w:rPr>
          <w:rFonts w:ascii="Times New Roman" w:hAnsi="Times New Roman" w:cs="Times New Roman"/>
          <w:lang w:val="en-US"/>
        </w:rPr>
      </w:pPr>
    </w:p>
    <w:p w14:paraId="6F61BDD0" w14:textId="77777777" w:rsidR="004A10C3" w:rsidRDefault="004A10C3" w:rsidP="004A10C3">
      <w:pPr>
        <w:rPr>
          <w:rFonts w:ascii="Times New Roman" w:hAnsi="Times New Roman" w:cs="Times New Roman"/>
          <w:lang w:val="en-US"/>
        </w:rPr>
      </w:pPr>
    </w:p>
    <w:p w14:paraId="13BBDA76" w14:textId="77777777" w:rsidR="004A10C3" w:rsidRDefault="004A10C3" w:rsidP="004A10C3">
      <w:pPr>
        <w:rPr>
          <w:rFonts w:ascii="Times New Roman" w:hAnsi="Times New Roman" w:cs="Times New Roman"/>
          <w:lang w:val="en-US"/>
        </w:rPr>
      </w:pPr>
    </w:p>
    <w:p w14:paraId="28B8AB1F" w14:textId="77777777" w:rsidR="004A10C3" w:rsidRDefault="004A10C3" w:rsidP="004A10C3">
      <w:pPr>
        <w:rPr>
          <w:rFonts w:ascii="Times New Roman" w:hAnsi="Times New Roman" w:cs="Times New Roman"/>
          <w:lang w:val="en-US"/>
        </w:rPr>
      </w:pPr>
    </w:p>
    <w:p w14:paraId="4F899E53" w14:textId="77777777" w:rsidR="004A10C3" w:rsidRDefault="004A10C3" w:rsidP="004A10C3">
      <w:pPr>
        <w:rPr>
          <w:rFonts w:ascii="Times New Roman" w:hAnsi="Times New Roman" w:cs="Times New Roman"/>
          <w:lang w:val="en-US"/>
        </w:rPr>
      </w:pPr>
    </w:p>
    <w:p w14:paraId="6D8BBCBA" w14:textId="77777777" w:rsidR="004A10C3" w:rsidRDefault="004A10C3" w:rsidP="004A10C3">
      <w:pPr>
        <w:rPr>
          <w:rFonts w:ascii="Times New Roman" w:hAnsi="Times New Roman" w:cs="Times New Roman"/>
          <w:lang w:val="en-US"/>
        </w:rPr>
      </w:pPr>
    </w:p>
    <w:p w14:paraId="24D41EF6" w14:textId="77777777" w:rsidR="004A10C3" w:rsidRDefault="004A10C3" w:rsidP="004A10C3">
      <w:pPr>
        <w:rPr>
          <w:rFonts w:ascii="Times New Roman" w:hAnsi="Times New Roman" w:cs="Times New Roman"/>
          <w:lang w:val="en-US"/>
        </w:rPr>
      </w:pPr>
    </w:p>
    <w:p w14:paraId="78B492B7" w14:textId="77777777" w:rsidR="004A10C3" w:rsidRDefault="004A10C3" w:rsidP="004A10C3">
      <w:pPr>
        <w:rPr>
          <w:rFonts w:ascii="Times New Roman" w:hAnsi="Times New Roman" w:cs="Times New Roman"/>
          <w:lang w:val="en-US"/>
        </w:rPr>
      </w:pPr>
    </w:p>
    <w:p w14:paraId="426D5E08" w14:textId="77777777" w:rsidR="004A10C3" w:rsidRDefault="004A10C3" w:rsidP="004A10C3">
      <w:pPr>
        <w:rPr>
          <w:rFonts w:ascii="Times New Roman" w:hAnsi="Times New Roman" w:cs="Times New Roman"/>
          <w:lang w:val="en-US"/>
        </w:rPr>
      </w:pPr>
    </w:p>
    <w:p w14:paraId="655A5E68" w14:textId="56E4A009" w:rsidR="007670CB" w:rsidRDefault="007670CB" w:rsidP="004A10C3">
      <w:pPr>
        <w:rPr>
          <w:rFonts w:ascii="Times New Roman" w:hAnsi="Times New Roman" w:cs="Times New Roman"/>
          <w:lang w:val="en-US"/>
        </w:rPr>
      </w:pPr>
    </w:p>
    <w:p w14:paraId="1BDC5476" w14:textId="6EA0E883" w:rsidR="007670CB" w:rsidRDefault="007670CB" w:rsidP="004A10C3">
      <w:pPr>
        <w:rPr>
          <w:rFonts w:ascii="Times New Roman" w:hAnsi="Times New Roman" w:cs="Times New Roman"/>
          <w:lang w:val="en-US"/>
        </w:rPr>
      </w:pPr>
    </w:p>
    <w:p w14:paraId="2E04EBE4" w14:textId="0DDA5EE0" w:rsidR="007670CB" w:rsidRDefault="007670CB" w:rsidP="004A10C3">
      <w:pPr>
        <w:rPr>
          <w:rFonts w:ascii="Times New Roman" w:hAnsi="Times New Roman" w:cs="Times New Roman"/>
          <w:lang w:val="en-US"/>
        </w:rPr>
      </w:pPr>
    </w:p>
    <w:p w14:paraId="0D767113" w14:textId="13DC9423" w:rsidR="007670CB" w:rsidRDefault="007670CB" w:rsidP="004A10C3">
      <w:pPr>
        <w:rPr>
          <w:rFonts w:ascii="Times New Roman" w:hAnsi="Times New Roman" w:cs="Times New Roman"/>
          <w:lang w:val="en-US"/>
        </w:rPr>
      </w:pPr>
    </w:p>
    <w:p w14:paraId="102BB8F7" w14:textId="7863A2AF" w:rsidR="007670CB" w:rsidRDefault="007670CB" w:rsidP="004A10C3">
      <w:pPr>
        <w:rPr>
          <w:rFonts w:ascii="Times New Roman" w:hAnsi="Times New Roman" w:cs="Times New Roman"/>
          <w:lang w:val="en-US"/>
        </w:rPr>
      </w:pPr>
    </w:p>
    <w:p w14:paraId="2165144E" w14:textId="3DC8AA36" w:rsidR="007670CB" w:rsidRDefault="007670CB" w:rsidP="004A10C3">
      <w:pPr>
        <w:rPr>
          <w:rFonts w:ascii="Times New Roman" w:hAnsi="Times New Roman" w:cs="Times New Roman"/>
          <w:lang w:val="en-US"/>
        </w:rPr>
      </w:pPr>
    </w:p>
    <w:p w14:paraId="5636A418" w14:textId="09421BB1" w:rsidR="007670CB" w:rsidRDefault="007670CB" w:rsidP="004A10C3">
      <w:pPr>
        <w:rPr>
          <w:rFonts w:ascii="Times New Roman" w:hAnsi="Times New Roman" w:cs="Times New Roman"/>
          <w:lang w:val="en-US"/>
        </w:rPr>
      </w:pPr>
    </w:p>
    <w:p w14:paraId="482D0927" w14:textId="02C4EB52" w:rsidR="007670CB" w:rsidRDefault="007670CB" w:rsidP="004A10C3">
      <w:pPr>
        <w:rPr>
          <w:rFonts w:ascii="Times New Roman" w:hAnsi="Times New Roman" w:cs="Times New Roman"/>
          <w:lang w:val="en-US"/>
        </w:rPr>
      </w:pPr>
    </w:p>
    <w:p w14:paraId="4CC0063D" w14:textId="77777777" w:rsidR="004A10C3" w:rsidRDefault="004A10C3" w:rsidP="004A10C3">
      <w:pPr>
        <w:rPr>
          <w:rFonts w:ascii="Times New Roman" w:hAnsi="Times New Roman" w:cs="Times New Roman"/>
          <w:lang w:val="en-US"/>
        </w:rPr>
      </w:pPr>
    </w:p>
    <w:p w14:paraId="7DBC3450" w14:textId="417CFBD8" w:rsidR="004A10C3" w:rsidRPr="00E27395" w:rsidRDefault="004A10C3" w:rsidP="0015716A">
      <w:pPr>
        <w:spacing w:after="200"/>
        <w:jc w:val="center"/>
        <w:rPr>
          <w:rFonts w:ascii="Palatino Linotype" w:hAnsi="Palatino Linotype"/>
          <w:sz w:val="24"/>
          <w:szCs w:val="24"/>
          <w:lang w:val="en-US"/>
        </w:rPr>
      </w:pPr>
      <w:r w:rsidRPr="00E27395">
        <w:rPr>
          <w:rFonts w:ascii="Palatino Linotype" w:hAnsi="Palatino Linotype"/>
          <w:b/>
          <w:sz w:val="24"/>
          <w:szCs w:val="24"/>
          <w:lang w:val="en-US"/>
        </w:rPr>
        <w:lastRenderedPageBreak/>
        <w:t>Supplemental figure legends</w:t>
      </w:r>
    </w:p>
    <w:p w14:paraId="033ED927" w14:textId="095BFDC0" w:rsidR="002933C1" w:rsidRPr="00E27395" w:rsidRDefault="004A10C3" w:rsidP="00BD0526">
      <w:pPr>
        <w:spacing w:line="360" w:lineRule="auto"/>
        <w:jc w:val="both"/>
        <w:rPr>
          <w:rFonts w:ascii="Palatino Linotype" w:hAnsi="Palatino Linotype" w:cs="Times New Roman"/>
          <w:color w:val="000000" w:themeColor="text1"/>
          <w:lang w:val="en-US"/>
        </w:rPr>
      </w:pPr>
      <w:r w:rsidRPr="00E27395">
        <w:rPr>
          <w:rFonts w:ascii="Palatino Linotype" w:hAnsi="Palatino Linotype" w:cs="Times New Roman"/>
          <w:b/>
          <w:bCs/>
          <w:lang w:val="en-US"/>
        </w:rPr>
        <w:t>Figure S1</w:t>
      </w:r>
      <w:r w:rsidRPr="00E27395">
        <w:rPr>
          <w:rFonts w:ascii="Palatino Linotype" w:hAnsi="Palatino Linotype" w:cs="Times New Roman"/>
          <w:lang w:val="en-US"/>
        </w:rPr>
        <w:t>:</w:t>
      </w:r>
      <w:r w:rsidR="00BB010C" w:rsidRPr="00E27395">
        <w:rPr>
          <w:rFonts w:ascii="Palatino Linotype" w:hAnsi="Palatino Linotype" w:cs="Times New Roman"/>
          <w:lang w:val="en-US"/>
        </w:rPr>
        <w:t xml:space="preserve"> </w:t>
      </w:r>
      <w:r w:rsidR="00BB010C" w:rsidRPr="00E27395">
        <w:rPr>
          <w:rFonts w:ascii="Palatino Linotype" w:hAnsi="Palatino Linotype" w:cs="Times New Roman"/>
          <w:i/>
          <w:iCs/>
          <w:lang w:val="en-US"/>
        </w:rPr>
        <w:t>Fasting induced downregulation of genes involved in fusion of mitochondrial membranes.</w:t>
      </w:r>
      <w:r w:rsidR="0021477C" w:rsidRPr="00E27395">
        <w:rPr>
          <w:rFonts w:ascii="Palatino Linotype" w:hAnsi="Palatino Linotype" w:cs="Times New Roman"/>
          <w:lang w:val="en-US"/>
        </w:rPr>
        <w:t xml:space="preserve"> </w:t>
      </w:r>
      <w:r w:rsidR="0021477C" w:rsidRPr="00E27395">
        <w:rPr>
          <w:rFonts w:ascii="Palatino Linotype" w:hAnsi="Palatino Linotype" w:cs="Times New Roman"/>
          <w:b/>
          <w:bCs/>
          <w:lang w:val="en-US"/>
        </w:rPr>
        <w:t>A-B</w:t>
      </w:r>
      <w:r w:rsidR="0021477C" w:rsidRPr="00E27395">
        <w:rPr>
          <w:rFonts w:ascii="Palatino Linotype" w:hAnsi="Palatino Linotype" w:cs="Times New Roman"/>
          <w:lang w:val="en-US"/>
        </w:rPr>
        <w:t>)</w:t>
      </w:r>
      <w:r w:rsidR="00BB010C" w:rsidRPr="00E27395">
        <w:rPr>
          <w:rFonts w:ascii="Palatino Linotype" w:hAnsi="Palatino Linotype" w:cs="Times New Roman"/>
          <w:i/>
          <w:iCs/>
          <w:lang w:val="en-US"/>
        </w:rPr>
        <w:t xml:space="preserve"> </w:t>
      </w:r>
      <w:r w:rsidR="0021477C" w:rsidRPr="00E27395">
        <w:rPr>
          <w:rFonts w:ascii="Palatino Linotype" w:eastAsiaTheme="minorEastAsia" w:hAnsi="Palatino Linotype" w:cs="Times New Roman"/>
          <w:bCs/>
          <w:lang w:val="en-US" w:eastAsia="ja-JP"/>
        </w:rPr>
        <w:t xml:space="preserve">OPA1 and MFN2 mRNA levels were assessed by qRT-PCR in scramble and siPBGD cells at baseline and after fasting. Data were normalized to </w:t>
      </w:r>
      <w:r w:rsidR="0021477C" w:rsidRPr="00E27395">
        <w:rPr>
          <w:rFonts w:ascii="Palatino Linotype" w:hAnsi="Palatino Linotype" w:cs="Times New Roman"/>
          <w:bCs/>
          <w:lang w:val="en-US"/>
        </w:rPr>
        <w:t>β-actin</w:t>
      </w:r>
      <w:r w:rsidR="0021477C" w:rsidRPr="00E27395">
        <w:rPr>
          <w:rFonts w:ascii="Palatino Linotype" w:eastAsiaTheme="minorEastAsia" w:hAnsi="Palatino Linotype" w:cs="Times New Roman"/>
          <w:bCs/>
          <w:lang w:val="en-US" w:eastAsia="ja-JP"/>
        </w:rPr>
        <w:t xml:space="preserve"> housekeeping gene and expressed as fold increase (Arbitrary Unit-AU) compared to control group. At least three independent experiments were conducted. Adjusted *p&lt;0.05 and **p&lt;0.01 </w:t>
      </w:r>
    </w:p>
    <w:p w14:paraId="183238FF" w14:textId="77777777" w:rsidR="0072080C" w:rsidRPr="00E27395" w:rsidRDefault="0072080C" w:rsidP="00BD0526">
      <w:pPr>
        <w:spacing w:line="360" w:lineRule="auto"/>
        <w:jc w:val="both"/>
        <w:rPr>
          <w:rFonts w:ascii="Palatino Linotype" w:hAnsi="Palatino Linotype" w:cs="Times New Roman"/>
          <w:color w:val="000000" w:themeColor="text1"/>
          <w:sz w:val="24"/>
          <w:szCs w:val="24"/>
          <w:lang w:val="en-US"/>
        </w:rPr>
      </w:pPr>
    </w:p>
    <w:p w14:paraId="0C9C173A" w14:textId="10120C73" w:rsidR="004A10C3" w:rsidRPr="00BD0526" w:rsidRDefault="002933C1" w:rsidP="00A8336C">
      <w:pPr>
        <w:rPr>
          <w:rFonts w:ascii="Times New Roman" w:eastAsiaTheme="minorEastAsia" w:hAnsi="Times New Roman" w:cs="Times New Roman"/>
          <w:bCs/>
          <w:lang w:val="en-US" w:eastAsia="ja-JP"/>
        </w:rPr>
      </w:pPr>
      <w:r w:rsidRPr="00E27395">
        <w:rPr>
          <w:rFonts w:ascii="Palatino Linotype" w:eastAsiaTheme="minorEastAsia" w:hAnsi="Palatino Linotype" w:cs="Times New Roman"/>
          <w:bCs/>
          <w:noProof/>
          <w:lang w:eastAsia="ja-JP"/>
        </w:rPr>
        <w:fldChar w:fldCharType="begin"/>
      </w:r>
      <w:r w:rsidRPr="00E27395">
        <w:rPr>
          <w:rFonts w:ascii="Palatino Linotype" w:eastAsiaTheme="minorEastAsia" w:hAnsi="Palatino Linotype" w:cs="Times New Roman"/>
          <w:bCs/>
          <w:lang w:eastAsia="ja-JP"/>
        </w:rPr>
        <w:instrText xml:space="preserve"> ADDIN EN.REFLIST </w:instrText>
      </w:r>
      <w:r w:rsidRPr="00E27395">
        <w:rPr>
          <w:rFonts w:ascii="Palatino Linotype" w:eastAsiaTheme="minorEastAsia" w:hAnsi="Palatino Linotype" w:cs="Times New Roman"/>
          <w:bCs/>
          <w:noProof/>
          <w:lang w:eastAsia="ja-JP"/>
        </w:rPr>
        <w:fldChar w:fldCharType="end"/>
      </w:r>
    </w:p>
    <w:sectPr w:rsidR="004A10C3" w:rsidRPr="00BD05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27E95"/>
    <w:multiLevelType w:val="hybridMultilevel"/>
    <w:tmpl w:val="DB5ACCF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5A9A0DDA"/>
    <w:multiLevelType w:val="hybridMultilevel"/>
    <w:tmpl w:val="23ACF0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529B"/>
    <w:multiLevelType w:val="hybridMultilevel"/>
    <w:tmpl w:val="A1F835A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astroenterolog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fsw9st2e5fdftheae9d522dsf2fztrx5dwts&quot;&gt;My EndNote Library&lt;record-ids&gt;&lt;item&gt;385&lt;/item&gt;&lt;/record-ids&gt;&lt;/item&gt;&lt;/Libraries&gt;"/>
  </w:docVars>
  <w:rsids>
    <w:rsidRoot w:val="00903778"/>
    <w:rsid w:val="00003066"/>
    <w:rsid w:val="000036F6"/>
    <w:rsid w:val="00004FF6"/>
    <w:rsid w:val="00012EFD"/>
    <w:rsid w:val="00032FA8"/>
    <w:rsid w:val="000466F1"/>
    <w:rsid w:val="00055758"/>
    <w:rsid w:val="000718B6"/>
    <w:rsid w:val="00071B6C"/>
    <w:rsid w:val="00093216"/>
    <w:rsid w:val="000A08A7"/>
    <w:rsid w:val="000A5261"/>
    <w:rsid w:val="000C2E64"/>
    <w:rsid w:val="000C318D"/>
    <w:rsid w:val="000D0E05"/>
    <w:rsid w:val="000E3C44"/>
    <w:rsid w:val="000E7F79"/>
    <w:rsid w:val="000F5E80"/>
    <w:rsid w:val="00100562"/>
    <w:rsid w:val="00112257"/>
    <w:rsid w:val="00132A26"/>
    <w:rsid w:val="0014315F"/>
    <w:rsid w:val="001441AC"/>
    <w:rsid w:val="00146860"/>
    <w:rsid w:val="0015167D"/>
    <w:rsid w:val="0015716A"/>
    <w:rsid w:val="0017506E"/>
    <w:rsid w:val="00182D4F"/>
    <w:rsid w:val="001863D8"/>
    <w:rsid w:val="001939EB"/>
    <w:rsid w:val="001A42F5"/>
    <w:rsid w:val="001B1E5F"/>
    <w:rsid w:val="001B2532"/>
    <w:rsid w:val="001C3EAB"/>
    <w:rsid w:val="001C6280"/>
    <w:rsid w:val="001D345C"/>
    <w:rsid w:val="001D4B51"/>
    <w:rsid w:val="001F188C"/>
    <w:rsid w:val="001F5533"/>
    <w:rsid w:val="001F57C9"/>
    <w:rsid w:val="00201679"/>
    <w:rsid w:val="00204DFC"/>
    <w:rsid w:val="00212561"/>
    <w:rsid w:val="00213013"/>
    <w:rsid w:val="0021477C"/>
    <w:rsid w:val="00214E65"/>
    <w:rsid w:val="0023311C"/>
    <w:rsid w:val="002411F5"/>
    <w:rsid w:val="00245A9C"/>
    <w:rsid w:val="002602E0"/>
    <w:rsid w:val="00260B03"/>
    <w:rsid w:val="002643AF"/>
    <w:rsid w:val="00267B51"/>
    <w:rsid w:val="002729F4"/>
    <w:rsid w:val="00272F91"/>
    <w:rsid w:val="00273C2F"/>
    <w:rsid w:val="00284663"/>
    <w:rsid w:val="002933C1"/>
    <w:rsid w:val="002A1882"/>
    <w:rsid w:val="002A7184"/>
    <w:rsid w:val="002B0ABE"/>
    <w:rsid w:val="002B7344"/>
    <w:rsid w:val="002C42A5"/>
    <w:rsid w:val="002C4850"/>
    <w:rsid w:val="002D01C1"/>
    <w:rsid w:val="002D06EA"/>
    <w:rsid w:val="002D3051"/>
    <w:rsid w:val="002D3DF8"/>
    <w:rsid w:val="002D7A9F"/>
    <w:rsid w:val="002E3925"/>
    <w:rsid w:val="002E5E95"/>
    <w:rsid w:val="002E77EB"/>
    <w:rsid w:val="002F3041"/>
    <w:rsid w:val="003009D0"/>
    <w:rsid w:val="0030195C"/>
    <w:rsid w:val="00313812"/>
    <w:rsid w:val="00315C8F"/>
    <w:rsid w:val="00330595"/>
    <w:rsid w:val="00342DE7"/>
    <w:rsid w:val="00343C50"/>
    <w:rsid w:val="0034409A"/>
    <w:rsid w:val="00345229"/>
    <w:rsid w:val="00346203"/>
    <w:rsid w:val="003552AD"/>
    <w:rsid w:val="003764BA"/>
    <w:rsid w:val="00382D09"/>
    <w:rsid w:val="0038401A"/>
    <w:rsid w:val="003A1D1E"/>
    <w:rsid w:val="003A515B"/>
    <w:rsid w:val="003A727D"/>
    <w:rsid w:val="003C0750"/>
    <w:rsid w:val="003D0FF0"/>
    <w:rsid w:val="003D15CF"/>
    <w:rsid w:val="003E1B65"/>
    <w:rsid w:val="004008A9"/>
    <w:rsid w:val="0040666A"/>
    <w:rsid w:val="00416EA9"/>
    <w:rsid w:val="00417D8B"/>
    <w:rsid w:val="00422BA0"/>
    <w:rsid w:val="00423909"/>
    <w:rsid w:val="00433820"/>
    <w:rsid w:val="00434914"/>
    <w:rsid w:val="00436F46"/>
    <w:rsid w:val="0044210F"/>
    <w:rsid w:val="00442FFE"/>
    <w:rsid w:val="00443A58"/>
    <w:rsid w:val="0044596A"/>
    <w:rsid w:val="0046658C"/>
    <w:rsid w:val="00467384"/>
    <w:rsid w:val="004761D6"/>
    <w:rsid w:val="00477447"/>
    <w:rsid w:val="00480D7D"/>
    <w:rsid w:val="0048246D"/>
    <w:rsid w:val="00495977"/>
    <w:rsid w:val="00496DAD"/>
    <w:rsid w:val="004A10C3"/>
    <w:rsid w:val="004B1F8A"/>
    <w:rsid w:val="004B3CEE"/>
    <w:rsid w:val="004C266C"/>
    <w:rsid w:val="004C4809"/>
    <w:rsid w:val="004D1775"/>
    <w:rsid w:val="004D2A6B"/>
    <w:rsid w:val="004D42A0"/>
    <w:rsid w:val="004F2CE8"/>
    <w:rsid w:val="00505FAC"/>
    <w:rsid w:val="00523524"/>
    <w:rsid w:val="00527F48"/>
    <w:rsid w:val="00532A05"/>
    <w:rsid w:val="00532F4B"/>
    <w:rsid w:val="0054149C"/>
    <w:rsid w:val="005455F0"/>
    <w:rsid w:val="00550A44"/>
    <w:rsid w:val="00574D69"/>
    <w:rsid w:val="005C43C7"/>
    <w:rsid w:val="005E7B47"/>
    <w:rsid w:val="005F187F"/>
    <w:rsid w:val="00600B47"/>
    <w:rsid w:val="0060267D"/>
    <w:rsid w:val="0061627F"/>
    <w:rsid w:val="00627C31"/>
    <w:rsid w:val="00635703"/>
    <w:rsid w:val="00651D5D"/>
    <w:rsid w:val="00655528"/>
    <w:rsid w:val="006626B8"/>
    <w:rsid w:val="00664EB6"/>
    <w:rsid w:val="00676E56"/>
    <w:rsid w:val="00684326"/>
    <w:rsid w:val="00690063"/>
    <w:rsid w:val="00697F7D"/>
    <w:rsid w:val="006A71C9"/>
    <w:rsid w:val="006C5612"/>
    <w:rsid w:val="006C72EB"/>
    <w:rsid w:val="006D445C"/>
    <w:rsid w:val="006E0782"/>
    <w:rsid w:val="006F6A98"/>
    <w:rsid w:val="007070C1"/>
    <w:rsid w:val="00711B9A"/>
    <w:rsid w:val="00711C60"/>
    <w:rsid w:val="00716CA9"/>
    <w:rsid w:val="00717A37"/>
    <w:rsid w:val="0072080C"/>
    <w:rsid w:val="00736CD9"/>
    <w:rsid w:val="0074185B"/>
    <w:rsid w:val="0075426F"/>
    <w:rsid w:val="00762E29"/>
    <w:rsid w:val="007670CB"/>
    <w:rsid w:val="00774A3A"/>
    <w:rsid w:val="00783E9A"/>
    <w:rsid w:val="0078470B"/>
    <w:rsid w:val="00785A68"/>
    <w:rsid w:val="00786467"/>
    <w:rsid w:val="007867F0"/>
    <w:rsid w:val="007944C0"/>
    <w:rsid w:val="007A4BB9"/>
    <w:rsid w:val="007B4F94"/>
    <w:rsid w:val="007B76A6"/>
    <w:rsid w:val="007C0993"/>
    <w:rsid w:val="007E2F17"/>
    <w:rsid w:val="007E52EA"/>
    <w:rsid w:val="007E558D"/>
    <w:rsid w:val="007F4FD0"/>
    <w:rsid w:val="00803CB4"/>
    <w:rsid w:val="0080426A"/>
    <w:rsid w:val="008154F1"/>
    <w:rsid w:val="00843F4B"/>
    <w:rsid w:val="0086626D"/>
    <w:rsid w:val="00870203"/>
    <w:rsid w:val="00897C2C"/>
    <w:rsid w:val="008A4DFC"/>
    <w:rsid w:val="008A7B1B"/>
    <w:rsid w:val="008B0169"/>
    <w:rsid w:val="008B0D57"/>
    <w:rsid w:val="008B48A8"/>
    <w:rsid w:val="008D3D11"/>
    <w:rsid w:val="008D437D"/>
    <w:rsid w:val="008D4C97"/>
    <w:rsid w:val="008D703C"/>
    <w:rsid w:val="008E052B"/>
    <w:rsid w:val="009010E2"/>
    <w:rsid w:val="00903778"/>
    <w:rsid w:val="009073D5"/>
    <w:rsid w:val="00924D8E"/>
    <w:rsid w:val="0092770C"/>
    <w:rsid w:val="0093229D"/>
    <w:rsid w:val="00941FD9"/>
    <w:rsid w:val="0095418D"/>
    <w:rsid w:val="009546AF"/>
    <w:rsid w:val="00960CE6"/>
    <w:rsid w:val="009630AB"/>
    <w:rsid w:val="00964F37"/>
    <w:rsid w:val="00976922"/>
    <w:rsid w:val="009857F4"/>
    <w:rsid w:val="0098639B"/>
    <w:rsid w:val="00986741"/>
    <w:rsid w:val="00993A60"/>
    <w:rsid w:val="009E4316"/>
    <w:rsid w:val="009F009C"/>
    <w:rsid w:val="009F250A"/>
    <w:rsid w:val="009F2F7A"/>
    <w:rsid w:val="00A02734"/>
    <w:rsid w:val="00A16DB1"/>
    <w:rsid w:val="00A222D0"/>
    <w:rsid w:val="00A25A65"/>
    <w:rsid w:val="00A2683D"/>
    <w:rsid w:val="00A30FAB"/>
    <w:rsid w:val="00A34364"/>
    <w:rsid w:val="00A503C8"/>
    <w:rsid w:val="00A57A51"/>
    <w:rsid w:val="00A57F3A"/>
    <w:rsid w:val="00A6025B"/>
    <w:rsid w:val="00A8336C"/>
    <w:rsid w:val="00A91F82"/>
    <w:rsid w:val="00A96382"/>
    <w:rsid w:val="00AA00B7"/>
    <w:rsid w:val="00AB0814"/>
    <w:rsid w:val="00AC12E9"/>
    <w:rsid w:val="00AC1A94"/>
    <w:rsid w:val="00AC2C75"/>
    <w:rsid w:val="00AC5E09"/>
    <w:rsid w:val="00AE363E"/>
    <w:rsid w:val="00AE4A74"/>
    <w:rsid w:val="00AE6240"/>
    <w:rsid w:val="00AE7C05"/>
    <w:rsid w:val="00AF0F41"/>
    <w:rsid w:val="00B10671"/>
    <w:rsid w:val="00B16FA5"/>
    <w:rsid w:val="00B22882"/>
    <w:rsid w:val="00B25EF5"/>
    <w:rsid w:val="00B26409"/>
    <w:rsid w:val="00B30E86"/>
    <w:rsid w:val="00B312E3"/>
    <w:rsid w:val="00B34043"/>
    <w:rsid w:val="00B36FEB"/>
    <w:rsid w:val="00B40B57"/>
    <w:rsid w:val="00B47E8A"/>
    <w:rsid w:val="00B61DC9"/>
    <w:rsid w:val="00B61EB9"/>
    <w:rsid w:val="00B749B1"/>
    <w:rsid w:val="00BA48E5"/>
    <w:rsid w:val="00BA55D1"/>
    <w:rsid w:val="00BB010C"/>
    <w:rsid w:val="00BB31E9"/>
    <w:rsid w:val="00BC0EE1"/>
    <w:rsid w:val="00BC2C31"/>
    <w:rsid w:val="00BD0526"/>
    <w:rsid w:val="00BD2C4A"/>
    <w:rsid w:val="00BD36FA"/>
    <w:rsid w:val="00BD7A19"/>
    <w:rsid w:val="00BE597E"/>
    <w:rsid w:val="00BE6621"/>
    <w:rsid w:val="00BE7D56"/>
    <w:rsid w:val="00BF233F"/>
    <w:rsid w:val="00C0497D"/>
    <w:rsid w:val="00C11CEE"/>
    <w:rsid w:val="00C20112"/>
    <w:rsid w:val="00C255FD"/>
    <w:rsid w:val="00C403E7"/>
    <w:rsid w:val="00C41944"/>
    <w:rsid w:val="00C42983"/>
    <w:rsid w:val="00C4503E"/>
    <w:rsid w:val="00C47807"/>
    <w:rsid w:val="00C601BD"/>
    <w:rsid w:val="00C603F6"/>
    <w:rsid w:val="00C678A1"/>
    <w:rsid w:val="00C679CC"/>
    <w:rsid w:val="00C70342"/>
    <w:rsid w:val="00C70D89"/>
    <w:rsid w:val="00C7125A"/>
    <w:rsid w:val="00C77C9D"/>
    <w:rsid w:val="00C80C38"/>
    <w:rsid w:val="00C82D77"/>
    <w:rsid w:val="00C86C4A"/>
    <w:rsid w:val="00CA017E"/>
    <w:rsid w:val="00CC010C"/>
    <w:rsid w:val="00CD7419"/>
    <w:rsid w:val="00CE207B"/>
    <w:rsid w:val="00CE2AEF"/>
    <w:rsid w:val="00D0330C"/>
    <w:rsid w:val="00D07012"/>
    <w:rsid w:val="00D07D1C"/>
    <w:rsid w:val="00D16C7D"/>
    <w:rsid w:val="00D251E2"/>
    <w:rsid w:val="00D2756E"/>
    <w:rsid w:val="00D35CEF"/>
    <w:rsid w:val="00D450A9"/>
    <w:rsid w:val="00D5119E"/>
    <w:rsid w:val="00D550F3"/>
    <w:rsid w:val="00D570A5"/>
    <w:rsid w:val="00D64224"/>
    <w:rsid w:val="00D64AEC"/>
    <w:rsid w:val="00D654EB"/>
    <w:rsid w:val="00D76071"/>
    <w:rsid w:val="00D766FC"/>
    <w:rsid w:val="00D77873"/>
    <w:rsid w:val="00D91284"/>
    <w:rsid w:val="00D93322"/>
    <w:rsid w:val="00D93C45"/>
    <w:rsid w:val="00DA1449"/>
    <w:rsid w:val="00DA7EA7"/>
    <w:rsid w:val="00DB18C0"/>
    <w:rsid w:val="00DC274E"/>
    <w:rsid w:val="00DC2BB1"/>
    <w:rsid w:val="00DD20CC"/>
    <w:rsid w:val="00DF3D02"/>
    <w:rsid w:val="00DF7B85"/>
    <w:rsid w:val="00E02986"/>
    <w:rsid w:val="00E20C3C"/>
    <w:rsid w:val="00E21BC9"/>
    <w:rsid w:val="00E23571"/>
    <w:rsid w:val="00E27395"/>
    <w:rsid w:val="00E36F43"/>
    <w:rsid w:val="00E46560"/>
    <w:rsid w:val="00E46BC6"/>
    <w:rsid w:val="00E47881"/>
    <w:rsid w:val="00E76D09"/>
    <w:rsid w:val="00E9115D"/>
    <w:rsid w:val="00EA1D39"/>
    <w:rsid w:val="00EA3439"/>
    <w:rsid w:val="00EC425D"/>
    <w:rsid w:val="00EC55E8"/>
    <w:rsid w:val="00EC765B"/>
    <w:rsid w:val="00ED4D85"/>
    <w:rsid w:val="00ED670B"/>
    <w:rsid w:val="00EE3A6F"/>
    <w:rsid w:val="00EE7F63"/>
    <w:rsid w:val="00F1277F"/>
    <w:rsid w:val="00F145B5"/>
    <w:rsid w:val="00F16EB4"/>
    <w:rsid w:val="00F34A87"/>
    <w:rsid w:val="00F41EF2"/>
    <w:rsid w:val="00F46D30"/>
    <w:rsid w:val="00F47F87"/>
    <w:rsid w:val="00F50133"/>
    <w:rsid w:val="00F53B56"/>
    <w:rsid w:val="00F5436C"/>
    <w:rsid w:val="00F56ACE"/>
    <w:rsid w:val="00F634B0"/>
    <w:rsid w:val="00F7034B"/>
    <w:rsid w:val="00F7036E"/>
    <w:rsid w:val="00F83864"/>
    <w:rsid w:val="00F94925"/>
    <w:rsid w:val="00F95069"/>
    <w:rsid w:val="00FA4EF9"/>
    <w:rsid w:val="00FB5B5C"/>
    <w:rsid w:val="00FB6076"/>
    <w:rsid w:val="00FC6229"/>
    <w:rsid w:val="00FC7F44"/>
    <w:rsid w:val="00FD40D3"/>
    <w:rsid w:val="00FF0374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C7ABC5"/>
  <w15:chartTrackingRefBased/>
  <w15:docId w15:val="{07974B0B-0BE6-4FE7-83E7-D164D8E7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A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E4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6affiliation">
    <w:name w:val="MDPI_1.6_affiliation"/>
    <w:qFormat/>
    <w:rsid w:val="003764BA"/>
    <w:pPr>
      <w:adjustRightInd w:val="0"/>
      <w:snapToGrid w:val="0"/>
      <w:spacing w:after="0" w:line="26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</w:rPr>
  </w:style>
  <w:style w:type="paragraph" w:customStyle="1" w:styleId="MDPI12title">
    <w:name w:val="MDPI_1.2_title"/>
    <w:next w:val="Normal"/>
    <w:qFormat/>
    <w:rsid w:val="003764BA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3764BA"/>
    <w:pPr>
      <w:adjustRightInd w:val="0"/>
      <w:snapToGrid w:val="0"/>
      <w:spacing w:before="120" w:after="0" w:line="200" w:lineRule="atLeast"/>
      <w:ind w:left="113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table" w:styleId="TableGrid">
    <w:name w:val="Table Grid"/>
    <w:basedOn w:val="TableNormal"/>
    <w:uiPriority w:val="59"/>
    <w:rsid w:val="00AE6240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1C9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6843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684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68432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2">
    <w:name w:val="List Table 2"/>
    <w:basedOn w:val="TableNormal"/>
    <w:uiPriority w:val="47"/>
    <w:rsid w:val="0068432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43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E5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5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97E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arattere"/>
    <w:rsid w:val="00574D69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attere">
    <w:name w:val="EndNote Bibliography Title Carattere"/>
    <w:basedOn w:val="DefaultParagraphFont"/>
    <w:link w:val="EndNoteBibliographyTitle"/>
    <w:rsid w:val="00574D69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attere"/>
    <w:rsid w:val="00574D69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attere">
    <w:name w:val="EndNote Bibliography Carattere"/>
    <w:basedOn w:val="DefaultParagraphFont"/>
    <w:link w:val="EndNoteBibliography"/>
    <w:rsid w:val="00574D69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574D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D6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FF3E4E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FD40D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D2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ola.dongiovanni@policlinico.m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00A44-15C4-8A45-8EF3-6497236E0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1134</Words>
  <Characters>6470</Characters>
  <Application>Microsoft Office Word</Application>
  <DocSecurity>0</DocSecurity>
  <Lines>53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Longo</dc:creator>
  <cp:keywords/>
  <dc:description/>
  <cp:lastModifiedBy>Paola Dongiovanni</cp:lastModifiedBy>
  <cp:revision>2</cp:revision>
  <cp:lastPrinted>2021-08-03T10:01:00Z</cp:lastPrinted>
  <dcterms:created xsi:type="dcterms:W3CDTF">2021-08-03T11:21:00Z</dcterms:created>
  <dcterms:modified xsi:type="dcterms:W3CDTF">2021-08-03T11:21:00Z</dcterms:modified>
</cp:coreProperties>
</file>