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3329" w14:textId="77777777" w:rsidR="00D35AF1" w:rsidRPr="00A252BA" w:rsidRDefault="00151CEC">
      <w:pPr>
        <w:pStyle w:val="Heading1"/>
        <w:rPr>
          <w:rFonts w:ascii="Palatino Linotype" w:hAnsi="Palatino Linotype"/>
        </w:rPr>
      </w:pPr>
      <w:r w:rsidRPr="00A252BA">
        <w:rPr>
          <w:rFonts w:ascii="Palatino Linotype" w:hAnsi="Palatino Linotype"/>
          <w:b/>
          <w:bCs/>
        </w:rPr>
        <w:t xml:space="preserve">Genotype Pattern Mining for pairs of interacting variants underlying digenic </w:t>
      </w:r>
      <w:proofErr w:type="gramStart"/>
      <w:r w:rsidRPr="00A252BA">
        <w:rPr>
          <w:rFonts w:ascii="Palatino Linotype" w:hAnsi="Palatino Linotype"/>
          <w:b/>
          <w:bCs/>
        </w:rPr>
        <w:t>traits</w:t>
      </w:r>
      <w:proofErr w:type="gramEnd"/>
    </w:p>
    <w:p w14:paraId="544174CD" w14:textId="77777777" w:rsidR="00D35AF1" w:rsidRPr="00A252BA" w:rsidRDefault="00151CEC">
      <w:pPr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 xml:space="preserve">Atsuko Okazaki, Sukanya </w:t>
      </w:r>
      <w:proofErr w:type="spellStart"/>
      <w:r w:rsidRPr="00A252BA">
        <w:rPr>
          <w:rFonts w:ascii="Palatino Linotype" w:hAnsi="Palatino Linotype"/>
        </w:rPr>
        <w:t>Horpaopan</w:t>
      </w:r>
      <w:proofErr w:type="spellEnd"/>
      <w:r w:rsidRPr="00A252BA">
        <w:rPr>
          <w:rFonts w:ascii="Palatino Linotype" w:hAnsi="Palatino Linotype"/>
        </w:rPr>
        <w:t xml:space="preserve">, </w:t>
      </w:r>
      <w:proofErr w:type="spellStart"/>
      <w:r w:rsidRPr="00A252BA">
        <w:rPr>
          <w:rFonts w:ascii="Palatino Linotype" w:hAnsi="Palatino Linotype"/>
        </w:rPr>
        <w:t>Qingrun</w:t>
      </w:r>
      <w:proofErr w:type="spellEnd"/>
      <w:r w:rsidRPr="00A252BA">
        <w:rPr>
          <w:rFonts w:ascii="Palatino Linotype" w:hAnsi="Palatino Linotype"/>
        </w:rPr>
        <w:t xml:space="preserve"> Zhang, Matthew </w:t>
      </w:r>
      <w:proofErr w:type="spellStart"/>
      <w:r w:rsidRPr="00A252BA">
        <w:rPr>
          <w:rFonts w:ascii="Palatino Linotype" w:hAnsi="Palatino Linotype"/>
        </w:rPr>
        <w:t>Randesi</w:t>
      </w:r>
      <w:proofErr w:type="spellEnd"/>
      <w:r w:rsidRPr="00A252BA">
        <w:rPr>
          <w:rFonts w:ascii="Palatino Linotype" w:hAnsi="Palatino Linotype"/>
        </w:rPr>
        <w:t>, and Jurg Ott</w:t>
      </w:r>
    </w:p>
    <w:p w14:paraId="6E2AAC32" w14:textId="77777777" w:rsidR="00D35AF1" w:rsidRPr="00A252BA" w:rsidRDefault="00151CEC">
      <w:pPr>
        <w:pStyle w:val="Heading1"/>
        <w:spacing w:line="271" w:lineRule="auto"/>
        <w:rPr>
          <w:rFonts w:ascii="Palatino Linotype" w:hAnsi="Palatino Linotype"/>
          <w:b/>
          <w:bCs/>
        </w:rPr>
      </w:pPr>
      <w:r w:rsidRPr="00A252BA">
        <w:rPr>
          <w:rFonts w:ascii="Palatino Linotype" w:hAnsi="Palatino Linotype"/>
          <w:b/>
          <w:bCs/>
        </w:rPr>
        <w:t>Supplementary Material</w:t>
      </w:r>
    </w:p>
    <w:p w14:paraId="761CDE31" w14:textId="20C8E6F5" w:rsidR="00D35AF1" w:rsidRPr="00A252BA" w:rsidRDefault="00151CEC">
      <w:pPr>
        <w:spacing w:line="271" w:lineRule="auto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 xml:space="preserve">The two programs discussed here are Multifactor Dimensionality Reduction (MDR) and Genotype Pattern Mining (GPM).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has been a mainstay in human case-control epistasis analysis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</w:instrText>
      </w:r>
      <w:r w:rsidR="00520C5B">
        <w:rPr>
          <w:rFonts w:ascii="Palatino Linotype" w:hAnsi="Palatino Linotype"/>
        </w:rPr>
        <w:fldChar w:fldCharType="separate"/>
      </w:r>
      <w:bookmarkStart w:id="0" w:name="Bookmark1"/>
      <w:r w:rsidRPr="00A252BA">
        <w:rPr>
          <w:rFonts w:ascii="Palatino Linotype" w:hAnsi="Palatino Linotype"/>
        </w:rPr>
        <w:fldChar w:fldCharType="end"/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EN.CITE.DATA</w:instrText>
      </w:r>
      <w:r w:rsidRPr="00A252BA">
        <w:rPr>
          <w:rFonts w:ascii="Palatino Linotype" w:hAnsi="Palatino Linotype"/>
        </w:rPr>
        <w:fldChar w:fldCharType="separate"/>
      </w:r>
      <w:bookmarkStart w:id="1" w:name="Bookmark"/>
      <w:bookmarkEnd w:id="0"/>
      <w:r w:rsidRPr="00A252BA">
        <w:rPr>
          <w:rFonts w:ascii="Palatino Linotype" w:hAnsi="Palatino Linotype"/>
        </w:rPr>
        <w:t>[1, 2]</w:t>
      </w:r>
      <w:r w:rsidRPr="00A252BA">
        <w:rPr>
          <w:rFonts w:ascii="Palatino Linotype" w:hAnsi="Palatino Linotype"/>
        </w:rPr>
        <w:fldChar w:fldCharType="end"/>
      </w:r>
      <w:bookmarkEnd w:id="1"/>
      <w:r w:rsidRPr="00A252BA">
        <w:rPr>
          <w:rFonts w:ascii="Palatino Linotype" w:hAnsi="Palatino Linotype"/>
        </w:rPr>
        <w:t xml:space="preserve">. Below, we describe our implementation of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for permutation testing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 &lt;EndNote&gt;&lt;Cite&gt;&lt;Author&gt;Manly&lt;/Author&gt;&lt;Year&gt;2021&lt;/Year&gt;&lt;RecNum&gt;2800&lt;/RecNum&gt;&lt;DisplayText&gt;[3]&lt;/DisplayText&gt;&lt;record&gt;&lt;rec-number&gt;2800&lt;/rec-number&gt;&lt;foreign-keys&gt;&lt;key app="EN" db-id="dfse59wehedtrlexfzipv05v20zsftwewpz2" timestamp="1612559377"&gt;2800&lt;/key&gt;&lt;/foreign-keys&gt;&lt;ref-type name="Electronic Book"&gt;44&lt;/ref-type&gt;&lt;contributors&gt;&lt;authors&gt;&lt;author&gt;Manly, Bryan F. J.&lt;/author&gt;&lt;author&gt;Navarro Alberto, Jorge A.&lt;/author&gt;&lt;/authors&gt;&lt;/contributors&gt;&lt;titles&gt;&lt;title&gt;Randomization, bootstrap and monte carlo methods in biology&lt;/title&gt;&lt;secondary-title&gt;Chapman &amp;amp; hall/crc texts in statistical science&lt;/secondary-title&gt;&lt;/titles&gt;&lt;pages&gt;1 online resource&lt;/pages&gt;&lt;edition&gt;Fourth edition.&lt;/edition&gt;&lt;keywords&gt;&lt;keyword&gt;Biometry.&lt;/keyword&gt;&lt;keyword&gt;Monte Carlo method.&lt;/keyword&gt;&lt;keyword&gt;Sampling (Statistics)&lt;/keyword&gt;&lt;/keywords&gt;&lt;dates&gt;&lt;year&gt;2021&lt;/year&gt;&lt;/dates&gt;&lt;pub-location&gt;Boca Raton&lt;/pub-location&gt;&lt;publisher&gt;Taylor &amp;amp; Francis,&lt;/publisher&gt;&lt;isbn&gt;9780429329203&lt;/isbn&gt;&lt;accession-num&gt;21439132&lt;/accession-num&gt;&lt;call-num&gt;QH323.5&lt;/call-num&gt;&lt;urls&gt;&lt;/urls&gt;&lt;/record&gt;&lt;/Cite&gt;&lt;/EndNote&gt;</w:instrText>
      </w:r>
      <w:r w:rsidRPr="00A252BA">
        <w:rPr>
          <w:rFonts w:ascii="Palatino Linotype" w:hAnsi="Palatino Linotype"/>
        </w:rPr>
        <w:fldChar w:fldCharType="separate"/>
      </w:r>
      <w:bookmarkStart w:id="2" w:name="Bookmark2"/>
      <w:r w:rsidRPr="00A252BA">
        <w:rPr>
          <w:rFonts w:ascii="Palatino Linotype" w:hAnsi="Palatino Linotype"/>
        </w:rPr>
        <w:t>[3]</w:t>
      </w:r>
      <w:r w:rsidRPr="00A252BA">
        <w:rPr>
          <w:rFonts w:ascii="Palatino Linotype" w:hAnsi="Palatino Linotype"/>
        </w:rPr>
        <w:fldChar w:fldCharType="end"/>
      </w:r>
      <w:bookmarkEnd w:id="2"/>
      <w:r w:rsidRPr="00A252BA">
        <w:rPr>
          <w:rFonts w:ascii="Palatino Linotype" w:hAnsi="Palatino Linotype"/>
        </w:rPr>
        <w:t xml:space="preserve">. </w:t>
      </w:r>
      <w:r w:rsidRPr="000509CE">
        <w:rPr>
          <w:rFonts w:ascii="Palatino Linotype" w:hAnsi="Palatino Linotype"/>
          <w:i/>
          <w:iCs/>
        </w:rPr>
        <w:t>GPM</w:t>
      </w:r>
      <w:r w:rsidRPr="00A252BA">
        <w:rPr>
          <w:rFonts w:ascii="Palatino Linotype" w:hAnsi="Palatino Linotype"/>
        </w:rPr>
        <w:t xml:space="preserve"> has been newly developed and uses a general-purpose FIM algorithm, </w:t>
      </w:r>
      <w:proofErr w:type="spellStart"/>
      <w:r w:rsidRPr="00A252BA">
        <w:rPr>
          <w:rFonts w:ascii="Palatino Linotype" w:hAnsi="Palatino Linotype"/>
          <w:i/>
          <w:iCs/>
        </w:rPr>
        <w:t>fpgrowth</w:t>
      </w:r>
      <w:proofErr w:type="spellEnd"/>
      <w:r w:rsidRPr="00A252BA">
        <w:rPr>
          <w:rFonts w:ascii="Palatino Linotype" w:hAnsi="Palatino Linotype"/>
        </w:rPr>
        <w:t xml:space="preserve">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 &lt;EndNote&gt;&lt;Cite&gt;&lt;Author&gt;Borgelt&lt;/Author&gt;&lt;Year&gt;2005&lt;/Year&gt;&lt;RecNum&gt;2680&lt;/RecNum&gt;&lt;DisplayText&gt;[4]&lt;/DisplayText&gt;&lt;record&gt;&lt;rec-number&gt;2680&lt;/rec-number&gt;&lt;foreign-keys&gt;&lt;key app="EN" db-id="dfse59wehedtrlexfzipv05v20zsftwewpz2" timestamp="1594917528"&gt;2680&lt;/key&gt;&lt;/foreign-keys&gt;&lt;ref-type name="Conference Paper"&gt;47&lt;/ref-type&gt;&lt;contributors&gt;&lt;authors&gt;&lt;author&gt;Borgelt, Christian&lt;/author&gt;&lt;/authors&gt;&lt;/contributors&gt;&lt;titles&gt;&lt;title&gt;An implementation of the FP-growth algorithm&lt;/title&gt;&lt;secondary-title&gt;Proceedings of the 1st international workshop on open source data mining: frequent pattern mining implementations&lt;/secondary-title&gt;&lt;/titles&gt;&lt;pages&gt;1–5&lt;/pages&gt;&lt;dates&gt;&lt;year&gt;2005&lt;/year&gt;&lt;/dates&gt;&lt;pub-location&gt;Chicago, Illinois&lt;/pub-location&gt;&lt;publisher&gt;Association for Computing Machinery&lt;/publisher&gt;&lt;urls&gt;&lt;related-urls&gt;&lt;url&gt;https://doi.org/10.1145/1133905.1133907&lt;/url&gt;&lt;/related-urls&gt;&lt;/urls&gt;&lt;electronic-resource-num&gt;10.1145/1133905.1133907&lt;/electronic-resource-num&gt;&lt;/record&gt;&lt;/Cite&gt;&lt;/EndNote&gt;</w:instrText>
      </w:r>
      <w:r w:rsidRPr="00A252BA">
        <w:rPr>
          <w:rFonts w:ascii="Palatino Linotype" w:hAnsi="Palatino Linotype"/>
        </w:rPr>
        <w:fldChar w:fldCharType="separate"/>
      </w:r>
      <w:bookmarkStart w:id="3" w:name="Bookmark3"/>
      <w:r w:rsidRPr="00A252BA">
        <w:rPr>
          <w:rFonts w:ascii="Palatino Linotype" w:hAnsi="Palatino Linotype"/>
        </w:rPr>
        <w:t>[4]</w:t>
      </w:r>
      <w:r w:rsidRPr="00A252BA">
        <w:rPr>
          <w:rFonts w:ascii="Palatino Linotype" w:hAnsi="Palatino Linotype"/>
        </w:rPr>
        <w:fldChar w:fldCharType="end"/>
      </w:r>
      <w:bookmarkEnd w:id="3"/>
      <w:r w:rsidRPr="00A252BA">
        <w:rPr>
          <w:rFonts w:ascii="Palatino Linotype" w:hAnsi="Palatino Linotype"/>
        </w:rPr>
        <w:t>, as its pattern search engine. The starting point for each of the two approaches</w:t>
      </w:r>
      <w:r w:rsidR="000509CE">
        <w:rPr>
          <w:rFonts w:ascii="Palatino Linotype" w:hAnsi="Palatino Linotype"/>
        </w:rPr>
        <w:t xml:space="preserve"> (our implementations)</w:t>
      </w:r>
      <w:r w:rsidRPr="00A252BA">
        <w:rPr>
          <w:rFonts w:ascii="Palatino Linotype" w:hAnsi="Palatino Linotype"/>
        </w:rPr>
        <w:t xml:space="preserve"> is a dataset in standard </w:t>
      </w:r>
      <w:r w:rsidRPr="00A252BA">
        <w:rPr>
          <w:rFonts w:ascii="Palatino Linotype" w:hAnsi="Palatino Linotype"/>
          <w:i/>
          <w:iCs/>
        </w:rPr>
        <w:t>plink</w:t>
      </w:r>
      <w:r w:rsidRPr="00A252BA">
        <w:rPr>
          <w:rFonts w:ascii="Palatino Linotype" w:hAnsi="Palatino Linotype"/>
        </w:rPr>
        <w:t xml:space="preserve">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</w:instrText>
      </w:r>
      <w:r w:rsidR="00520C5B">
        <w:rPr>
          <w:rFonts w:ascii="Palatino Linotype" w:hAnsi="Palatino Linotype"/>
        </w:rPr>
        <w:fldChar w:fldCharType="separate"/>
      </w:r>
      <w:bookmarkStart w:id="4" w:name="Bookmark5"/>
      <w:r w:rsidRPr="00A252BA">
        <w:rPr>
          <w:rFonts w:ascii="Palatino Linotype" w:hAnsi="Palatino Linotype"/>
        </w:rPr>
        <w:fldChar w:fldCharType="end"/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EN.CITE.DATA</w:instrText>
      </w:r>
      <w:r w:rsidRPr="00A252BA">
        <w:rPr>
          <w:rFonts w:ascii="Palatino Linotype" w:hAnsi="Palatino Linotype"/>
        </w:rPr>
        <w:fldChar w:fldCharType="separate"/>
      </w:r>
      <w:bookmarkStart w:id="5" w:name="Bookmark4"/>
      <w:bookmarkEnd w:id="4"/>
      <w:r w:rsidRPr="00A252BA">
        <w:rPr>
          <w:rFonts w:ascii="Palatino Linotype" w:hAnsi="Palatino Linotype"/>
        </w:rPr>
        <w:t>[5, 6]</w:t>
      </w:r>
      <w:r w:rsidRPr="00A252BA">
        <w:rPr>
          <w:rFonts w:ascii="Palatino Linotype" w:hAnsi="Palatino Linotype"/>
        </w:rPr>
        <w:fldChar w:fldCharType="end"/>
      </w:r>
      <w:bookmarkEnd w:id="5"/>
      <w:r w:rsidRPr="00A252BA">
        <w:rPr>
          <w:rFonts w:ascii="Palatino Linotype" w:hAnsi="Palatino Linotype"/>
        </w:rPr>
        <w:t xml:space="preserve"> format, that is, as *.</w:t>
      </w:r>
      <w:r w:rsidRPr="00A252BA">
        <w:rPr>
          <w:rFonts w:ascii="Palatino Linotype" w:hAnsi="Palatino Linotype"/>
          <w:i/>
          <w:iCs/>
        </w:rPr>
        <w:t>ped</w:t>
      </w:r>
      <w:r w:rsidRPr="00A252BA">
        <w:rPr>
          <w:rFonts w:ascii="Palatino Linotype" w:hAnsi="Palatino Linotype"/>
        </w:rPr>
        <w:t xml:space="preserve"> and *.</w:t>
      </w:r>
      <w:r w:rsidRPr="00A252BA">
        <w:rPr>
          <w:rFonts w:ascii="Palatino Linotype" w:hAnsi="Palatino Linotype"/>
          <w:i/>
          <w:iCs/>
        </w:rPr>
        <w:t>map</w:t>
      </w:r>
      <w:r w:rsidRPr="00A252BA">
        <w:rPr>
          <w:rFonts w:ascii="Palatino Linotype" w:hAnsi="Palatino Linotype"/>
        </w:rPr>
        <w:t xml:space="preserve"> files. Small utility programs can then transform the </w:t>
      </w:r>
      <w:r w:rsidRPr="00A252BA">
        <w:rPr>
          <w:rFonts w:ascii="Palatino Linotype" w:hAnsi="Palatino Linotype"/>
          <w:i/>
          <w:iCs/>
        </w:rPr>
        <w:t>plink</w:t>
      </w:r>
      <w:r w:rsidRPr="00A252BA">
        <w:rPr>
          <w:rFonts w:ascii="Palatino Linotype" w:hAnsi="Palatino Linotype"/>
        </w:rPr>
        <w:t xml:space="preserve"> files into a format useable by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and </w:t>
      </w:r>
      <w:r w:rsidRPr="000509CE">
        <w:rPr>
          <w:rFonts w:ascii="Palatino Linotype" w:hAnsi="Palatino Linotype"/>
          <w:i/>
          <w:iCs/>
        </w:rPr>
        <w:t>GPM</w:t>
      </w:r>
      <w:r w:rsidRPr="00A252BA">
        <w:rPr>
          <w:rFonts w:ascii="Palatino Linotype" w:hAnsi="Palatino Linotype"/>
        </w:rPr>
        <w:t xml:space="preserve">. Both programs are currently available for Windows, and a Linux version is in preparation for </w:t>
      </w:r>
      <w:r w:rsidRPr="000509CE">
        <w:rPr>
          <w:rFonts w:ascii="Palatino Linotype" w:hAnsi="Palatino Linotype"/>
          <w:i/>
          <w:iCs/>
        </w:rPr>
        <w:t>GPM</w:t>
      </w:r>
      <w:r w:rsidRPr="00A252BA">
        <w:rPr>
          <w:rFonts w:ascii="Palatino Linotype" w:hAnsi="Palatino Linotype"/>
        </w:rPr>
        <w:t>. Each program should be run in a command window (</w:t>
      </w:r>
      <w:proofErr w:type="spellStart"/>
      <w:r w:rsidRPr="00A252BA">
        <w:rPr>
          <w:rFonts w:ascii="Palatino Linotype" w:hAnsi="Palatino Linotype"/>
        </w:rPr>
        <w:t>cmd</w:t>
      </w:r>
      <w:proofErr w:type="spellEnd"/>
      <w:r w:rsidRPr="00A252BA">
        <w:rPr>
          <w:rFonts w:ascii="Palatino Linotype" w:hAnsi="Palatino Linotype"/>
        </w:rPr>
        <w:t>).</w:t>
      </w:r>
    </w:p>
    <w:p w14:paraId="4C84EA85" w14:textId="77777777" w:rsidR="00D35AF1" w:rsidRPr="00A252BA" w:rsidRDefault="00151CEC">
      <w:pPr>
        <w:pStyle w:val="Heading2"/>
        <w:spacing w:line="271" w:lineRule="auto"/>
        <w:rPr>
          <w:rFonts w:ascii="Palatino Linotype" w:hAnsi="Palatino Linotype"/>
          <w:b/>
          <w:bCs/>
          <w:sz w:val="28"/>
          <w:szCs w:val="28"/>
        </w:rPr>
      </w:pPr>
      <w:r w:rsidRPr="00A252BA">
        <w:rPr>
          <w:rFonts w:ascii="Palatino Linotype" w:hAnsi="Palatino Linotype"/>
          <w:b/>
          <w:bCs/>
          <w:sz w:val="28"/>
          <w:szCs w:val="28"/>
        </w:rPr>
        <w:t>MDR, program parameters</w:t>
      </w:r>
    </w:p>
    <w:p w14:paraId="2225DFBD" w14:textId="77777777" w:rsidR="00D35AF1" w:rsidRPr="00A252BA" w:rsidRDefault="00151CEC">
      <w:pPr>
        <w:spacing w:line="271" w:lineRule="auto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 xml:space="preserve">The Multifactor Dimensionality Reduction (MDR) program furnishes variant patterns ordered by their Balanced Accuracy Overall (BAO) and lists as “Top Models” those with highest BAO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 &lt;EndNote&gt;&lt;Cite&gt;&lt;Author&gt;Moore&lt;/Author&gt;&lt;Year&gt;2015&lt;/Year&gt;&lt;RecNum&gt;2795&lt;/RecNum&gt;&lt;DisplayText&gt;[7]&lt;/DisplayText&gt;&lt;record&gt;&lt;rec-number&gt;2795&lt;/rec-number&gt;&lt;foreign-keys&gt;&lt;key app="EN" db-id="dfse59wehedtrlexfzipv05v20zsftwewpz2" timestamp="1611786591"&gt;2795&lt;/key&gt;&lt;/foreign-keys&gt;&lt;ref-type name="Book Section"&gt;5&lt;/ref-type&gt;&lt;contributors&gt;&lt;authors&gt;&lt;author&gt;Moore, Jason H.&lt;/author&gt;&lt;author&gt;Andrews, Peter C.&lt;/author&gt;&lt;/authors&gt;&lt;secondary-authors&gt;&lt;author&gt;Moore, Jason H.&lt;/author&gt;&lt;author&gt;Williams, Scott M.&lt;/author&gt;&lt;/secondary-authors&gt;&lt;/contributors&gt;&lt;titles&gt;&lt;title&gt;Epistasis Analysis Using Multifactor Dimensionality Reduction&lt;/title&gt;&lt;secondary-title&gt;Epistasis: Methods and Protocols&lt;/secondary-title&gt;&lt;/titles&gt;&lt;pages&gt;301-314&lt;/pages&gt;&lt;dates&gt;&lt;year&gt;2015&lt;/year&gt;&lt;/dates&gt;&lt;pub-location&gt;New York, NY&lt;/pub-location&gt;&lt;publisher&gt;Springer New York&lt;/publisher&gt;&lt;isbn&gt;978-1-4939-2155-3&lt;/isbn&gt;&lt;label&gt;Moore2015&lt;/label&gt;&lt;urls&gt;&lt;related-urls&gt;&lt;url&gt;https://doi.org/10.1007/978-1-4939-2155-3_16&lt;/url&gt;&lt;/related-urls&gt;&lt;/urls&gt;&lt;electronic-resource-num&gt;10.1007/978-1-4939-2155-3_16&lt;/electronic-resource-num&gt;&lt;/record&gt;&lt;/Cite&gt;&lt;/EndNote&gt;</w:instrText>
      </w:r>
      <w:r w:rsidRPr="00A252BA">
        <w:rPr>
          <w:rFonts w:ascii="Palatino Linotype" w:hAnsi="Palatino Linotype"/>
        </w:rPr>
        <w:fldChar w:fldCharType="separate"/>
      </w:r>
      <w:bookmarkStart w:id="6" w:name="Bookmark6"/>
      <w:r w:rsidRPr="00A252BA">
        <w:rPr>
          <w:rFonts w:ascii="Palatino Linotype" w:hAnsi="Palatino Linotype"/>
        </w:rPr>
        <w:t>[7]</w:t>
      </w:r>
      <w:r w:rsidRPr="00A252BA">
        <w:rPr>
          <w:rFonts w:ascii="Palatino Linotype" w:hAnsi="Palatino Linotype"/>
        </w:rPr>
        <w:fldChar w:fldCharType="end"/>
      </w:r>
      <w:bookmarkEnd w:id="6"/>
      <w:r w:rsidRPr="00A252BA">
        <w:rPr>
          <w:rFonts w:ascii="Palatino Linotype" w:hAnsi="Palatino Linotype"/>
        </w:rPr>
        <w:t xml:space="preserve">. It also judges patterns by a more complex combination of statistics and will declare a “best model”. In practice, the “best” and the “top” models are usually identical. We chose to strictly work with the BAO criterion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 &lt;EndNote&gt;&lt;Cite&gt;&lt;Author&gt;Winham&lt;/Author&gt;&lt;Year&gt;2011&lt;/Year&gt;&lt;RecNum&gt;2849&lt;/RecNum&gt;&lt;DisplayText&gt;[8]&lt;/DisplayText&gt;&lt;record&gt;&lt;rec-number&gt;2849&lt;/rec-number&gt;&lt;foreign-keys&gt;&lt;key app="EN" db-id="dfse59wehedtrlexfzipv05v20zsftwewpz2" timestamp="1618302204"&gt;2849&lt;/key&gt;&lt;/foreign-keys&gt;&lt;ref-type name="Journal Article"&gt;17&lt;/ref-type&gt;&lt;contributors&gt;&lt;authors&gt;&lt;author&gt;Winham, S. J.&lt;/author&gt;&lt;author&gt;Motsinger-Reif, A. A.&lt;/author&gt;&lt;/authors&gt;&lt;/contributors&gt;&lt;auth-address&gt;Department of Statistics, North Carolina State University, Raleigh NC 27695, USA. winham.stacey@mayo.edu.&lt;/auth-address&gt;&lt;titles&gt;&lt;title&gt;An R package implementation of multifactor dimensionality reduction&lt;/title&gt;&lt;secondary-title&gt;BioData Min&lt;/secondary-title&gt;&lt;/titles&gt;&lt;periodical&gt;&lt;full-title&gt;BioData Min&lt;/full-title&gt;&lt;/periodical&gt;&lt;pages&gt;24&lt;/pages&gt;&lt;volume&gt;4&lt;/volume&gt;&lt;number&gt;1&lt;/number&gt;&lt;edition&gt;2011/08/19&lt;/edition&gt;&lt;dates&gt;&lt;year&gt;2011&lt;/year&gt;&lt;pub-dates&gt;&lt;date&gt;Aug 16&lt;/date&gt;&lt;/pub-dates&gt;&lt;/dates&gt;&lt;isbn&gt;1756-0381 (Electronic)&amp;#xD;1756-0381 (Linking)&lt;/isbn&gt;&lt;accession-num&gt;21846375&lt;/accession-num&gt;&lt;urls&gt;&lt;related-urls&gt;&lt;url&gt;https://www.ncbi.nlm.nih.gov/pubmed/21846375&lt;/url&gt;&lt;/related-urls&gt;&lt;/urls&gt;&lt;custom2&gt;PMC3177775&lt;/custom2&gt;&lt;electronic-resource-num&gt;10.1186/1756-0381-4-24&lt;/electronic-resource-num&gt;&lt;/record&gt;&lt;/Cite&gt;&lt;/EndNote&gt;</w:instrText>
      </w:r>
      <w:r w:rsidRPr="00A252BA">
        <w:rPr>
          <w:rFonts w:ascii="Palatino Linotype" w:hAnsi="Palatino Linotype"/>
        </w:rPr>
        <w:fldChar w:fldCharType="separate"/>
      </w:r>
      <w:bookmarkStart w:id="7" w:name="Bookmark7"/>
      <w:r w:rsidRPr="00A252BA">
        <w:rPr>
          <w:rFonts w:ascii="Palatino Linotype" w:hAnsi="Palatino Linotype"/>
        </w:rPr>
        <w:t>[8]</w:t>
      </w:r>
      <w:r w:rsidRPr="00A252BA">
        <w:rPr>
          <w:rFonts w:ascii="Palatino Linotype" w:hAnsi="Palatino Linotype"/>
        </w:rPr>
        <w:fldChar w:fldCharType="end"/>
      </w:r>
      <w:bookmarkEnd w:id="7"/>
      <w:r w:rsidRPr="00A252BA">
        <w:rPr>
          <w:rFonts w:ascii="Palatino Linotype" w:hAnsi="Palatino Linotype"/>
        </w:rPr>
        <w:t xml:space="preserve"> and built a standard permutation framework around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so that each variant pattern (“model”) can be assigned a significance level.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has a built-in possibility to carry out permutation </w:t>
      </w:r>
      <w:proofErr w:type="gramStart"/>
      <w:r w:rsidRPr="00A252BA">
        <w:rPr>
          <w:rFonts w:ascii="Palatino Linotype" w:hAnsi="Palatino Linotype"/>
        </w:rPr>
        <w:t>testing</w:t>
      </w:r>
      <w:proofErr w:type="gramEnd"/>
      <w:r w:rsidRPr="00A252BA">
        <w:rPr>
          <w:rFonts w:ascii="Palatino Linotype" w:hAnsi="Palatino Linotype"/>
        </w:rPr>
        <w:t xml:space="preserve"> but a </w:t>
      </w:r>
      <w:r w:rsidRPr="00A252BA">
        <w:rPr>
          <w:rFonts w:ascii="Palatino Linotype" w:hAnsi="Palatino Linotype"/>
          <w:i/>
          <w:iCs/>
        </w:rPr>
        <w:t>p</w:t>
      </w:r>
      <w:r w:rsidRPr="00A252BA">
        <w:rPr>
          <w:rFonts w:ascii="Palatino Linotype" w:hAnsi="Palatino Linotype"/>
        </w:rPr>
        <w:t xml:space="preserve">-value will only be issued for the best model, so we do not make use of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’s permutation feature. Calling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repeatedly from within our script, we apply the following parameter values:</w:t>
      </w:r>
    </w:p>
    <w:p w14:paraId="22050CF6" w14:textId="77777777" w:rsidR="00D35AF1" w:rsidRPr="000509CE" w:rsidRDefault="00151CEC">
      <w:pPr>
        <w:spacing w:line="271" w:lineRule="auto"/>
        <w:rPr>
          <w:rFonts w:ascii="Courier New" w:hAnsi="Courier New" w:cs="Courier New"/>
        </w:rPr>
      </w:pPr>
      <w:r w:rsidRPr="000509CE">
        <w:rPr>
          <w:rFonts w:ascii="Courier New" w:hAnsi="Courier New" w:cs="Courier New"/>
          <w:sz w:val="20"/>
          <w:szCs w:val="20"/>
        </w:rPr>
        <w:t>-min=</w:t>
      </w:r>
      <w:r w:rsidRPr="000509CE">
        <w:rPr>
          <w:rFonts w:ascii="Courier New" w:hAnsi="Courier New" w:cs="Courier New"/>
          <w:i/>
          <w:iCs/>
        </w:rPr>
        <w:t>n</w:t>
      </w:r>
      <w:r w:rsidRPr="000509CE">
        <w:rPr>
          <w:rFonts w:ascii="Courier New" w:hAnsi="Courier New" w:cs="Courier New"/>
          <w:vertAlign w:val="subscript"/>
        </w:rPr>
        <w:t>1</w:t>
      </w:r>
      <w:r w:rsidRPr="000509CE">
        <w:rPr>
          <w:rFonts w:ascii="Courier New" w:hAnsi="Courier New" w:cs="Courier New"/>
        </w:rPr>
        <w:t xml:space="preserve">, </w:t>
      </w:r>
      <w:r w:rsidRPr="000509CE">
        <w:rPr>
          <w:rFonts w:ascii="Courier New" w:hAnsi="Courier New" w:cs="Courier New"/>
          <w:sz w:val="20"/>
          <w:szCs w:val="20"/>
        </w:rPr>
        <w:t>-max=</w:t>
      </w:r>
      <w:r w:rsidRPr="000509CE">
        <w:rPr>
          <w:rFonts w:ascii="Courier New" w:hAnsi="Courier New" w:cs="Courier New"/>
          <w:i/>
          <w:iCs/>
        </w:rPr>
        <w:t>n</w:t>
      </w:r>
      <w:r w:rsidRPr="000509CE">
        <w:rPr>
          <w:rFonts w:ascii="Courier New" w:hAnsi="Courier New" w:cs="Courier New"/>
          <w:vertAlign w:val="subscript"/>
        </w:rPr>
        <w:t>2</w:t>
      </w:r>
      <w:r w:rsidRPr="000509CE">
        <w:rPr>
          <w:rFonts w:ascii="Courier New" w:hAnsi="Courier New" w:cs="Courier New"/>
        </w:rPr>
        <w:t xml:space="preserve">, </w:t>
      </w:r>
      <w:r w:rsidRPr="000509CE">
        <w:rPr>
          <w:rFonts w:ascii="Courier New" w:hAnsi="Courier New" w:cs="Courier New"/>
          <w:sz w:val="20"/>
          <w:szCs w:val="20"/>
        </w:rPr>
        <w:t>-</w:t>
      </w:r>
      <w:proofErr w:type="spellStart"/>
      <w:r w:rsidRPr="000509CE">
        <w:rPr>
          <w:rFonts w:ascii="Courier New" w:hAnsi="Courier New" w:cs="Courier New"/>
          <w:sz w:val="20"/>
          <w:szCs w:val="20"/>
        </w:rPr>
        <w:t>nolandscape</w:t>
      </w:r>
      <w:proofErr w:type="spellEnd"/>
      <w:r w:rsidRPr="000509CE">
        <w:rPr>
          <w:rFonts w:ascii="Courier New" w:hAnsi="Courier New" w:cs="Courier New"/>
        </w:rPr>
        <w:t xml:space="preserve">, </w:t>
      </w:r>
      <w:r w:rsidRPr="000509CE">
        <w:rPr>
          <w:rFonts w:ascii="Courier New" w:hAnsi="Courier New" w:cs="Courier New"/>
          <w:sz w:val="20"/>
          <w:szCs w:val="20"/>
        </w:rPr>
        <w:t>-</w:t>
      </w:r>
      <w:proofErr w:type="spellStart"/>
      <w:r w:rsidRPr="000509CE">
        <w:rPr>
          <w:rFonts w:ascii="Courier New" w:hAnsi="Courier New" w:cs="Courier New"/>
          <w:sz w:val="20"/>
          <w:szCs w:val="20"/>
        </w:rPr>
        <w:t>top_models_landscape_size</w:t>
      </w:r>
      <w:proofErr w:type="spellEnd"/>
      <w:r w:rsidRPr="000509CE">
        <w:rPr>
          <w:rFonts w:ascii="Courier New" w:hAnsi="Courier New" w:cs="Courier New"/>
          <w:sz w:val="20"/>
          <w:szCs w:val="20"/>
        </w:rPr>
        <w:t>=</w:t>
      </w:r>
      <w:r w:rsidRPr="000509CE">
        <w:rPr>
          <w:rFonts w:ascii="Courier New" w:hAnsi="Courier New" w:cs="Courier New"/>
          <w:i/>
          <w:iCs/>
        </w:rPr>
        <w:t>n</w:t>
      </w:r>
      <w:r w:rsidRPr="000509CE">
        <w:rPr>
          <w:rFonts w:ascii="Courier New" w:hAnsi="Courier New" w:cs="Courier New"/>
          <w:vertAlign w:val="subscript"/>
        </w:rPr>
        <w:t>3</w:t>
      </w:r>
      <w:r w:rsidRPr="000509CE">
        <w:rPr>
          <w:rFonts w:ascii="Courier New" w:hAnsi="Courier New" w:cs="Courier New"/>
        </w:rPr>
        <w:t>,</w:t>
      </w:r>
    </w:p>
    <w:p w14:paraId="36CEEECB" w14:textId="77777777" w:rsidR="00D35AF1" w:rsidRPr="00A252BA" w:rsidRDefault="00151CEC">
      <w:pPr>
        <w:spacing w:line="271" w:lineRule="auto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 xml:space="preserve">where the user furnishes relevant numbers as follows: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1</w:t>
      </w:r>
      <w:r w:rsidRPr="00A252BA">
        <w:rPr>
          <w:rFonts w:ascii="Palatino Linotype" w:hAnsi="Palatino Linotype"/>
        </w:rPr>
        <w:t xml:space="preserve"> = minimum number of variants in a pattern,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2</w:t>
      </w:r>
      <w:r w:rsidRPr="00A252BA">
        <w:rPr>
          <w:rFonts w:ascii="Palatino Linotype" w:hAnsi="Palatino Linotype"/>
        </w:rPr>
        <w:t xml:space="preserve"> = maximum number of variants in a pattern (recommended: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1</w:t>
      </w:r>
      <w:r w:rsidRPr="00A252BA">
        <w:rPr>
          <w:rFonts w:ascii="Palatino Linotype" w:hAnsi="Palatino Linotype"/>
        </w:rPr>
        <w:t xml:space="preserve"> =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2</w:t>
      </w:r>
      <w:r w:rsidRPr="00A252BA">
        <w:rPr>
          <w:rFonts w:ascii="Palatino Linotype" w:hAnsi="Palatino Linotype"/>
        </w:rPr>
        <w:t xml:space="preserve"> = 2), and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3</w:t>
      </w:r>
      <w:r w:rsidRPr="00A252BA">
        <w:rPr>
          <w:rFonts w:ascii="Palatino Linotype" w:hAnsi="Palatino Linotype"/>
        </w:rPr>
        <w:t xml:space="preserve"> = number of patterns with highest BAO output by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. Also specified is the desired number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p</w:t>
      </w:r>
      <w:r w:rsidRPr="00A252BA">
        <w:rPr>
          <w:rFonts w:ascii="Palatino Linotype" w:hAnsi="Palatino Linotype"/>
        </w:rPr>
        <w:t xml:space="preserve"> of permutations. Permutations will include the observed data as a null dataset so that the smallest possible empirical significance level will be 1/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p</w:t>
      </w:r>
      <w:r w:rsidRPr="00A252BA">
        <w:rPr>
          <w:rFonts w:ascii="Palatino Linotype" w:hAnsi="Palatino Linotype"/>
        </w:rPr>
        <w:t xml:space="preserve">. As recommended </w:t>
      </w: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EN.CITE &lt;EndNote&gt;&lt;Cite&gt;&lt;Author&gt;Moore&lt;/Author&gt;&lt;Year&gt;2015&lt;/Year&gt;&lt;RecNum&gt;2795&lt;/RecNum&gt;&lt;DisplayText&gt;[7]&lt;/DisplayText&gt;&lt;record&gt;&lt;rec-number&gt;2795&lt;/rec-number&gt;&lt;foreign-keys&gt;&lt;key app="EN" db-id="dfse59wehedtrlexfzipv05v20zsftwewpz2" timestamp="1611786591"&gt;2795&lt;/key&gt;&lt;/foreign-keys&gt;&lt;ref-type name="Book Section"&gt;5&lt;/ref-type&gt;&lt;contributors&gt;&lt;authors&gt;&lt;author&gt;Moore, Jason H.&lt;/author&gt;&lt;author&gt;Andrews, Peter C.&lt;/author&gt;&lt;/authors&gt;&lt;secondary-authors&gt;&lt;author&gt;Moore, Jason H.&lt;/author&gt;&lt;author&gt;Williams, Scott M.&lt;/author&gt;&lt;/secondary-authors&gt;&lt;/contributors&gt;&lt;titles&gt;&lt;title&gt;Epistasis Analysis Using Multifactor Dimensionality Reduction&lt;/title&gt;&lt;secondary-title&gt;Epistasis: Methods and Protocols&lt;/secondary-title&gt;&lt;/titles&gt;&lt;pages&gt;301-314&lt;/pages&gt;&lt;dates&gt;&lt;year&gt;2015&lt;/year&gt;&lt;/dates&gt;&lt;pub-location&gt;New York, NY&lt;/pub-location&gt;&lt;publisher&gt;Springer New York&lt;/publisher&gt;&lt;isbn&gt;978-1-4939-2155-3&lt;/isbn&gt;&lt;label&gt;Moore2015&lt;/label&gt;&lt;urls&gt;&lt;related-urls&gt;&lt;url&gt;https://doi.org/10.1007/978-1-4939-2155-3_16&lt;/url&gt;&lt;/related-urls&gt;&lt;/urls&gt;&lt;electronic-resource-num&gt;10.1007/978-1-4939-2155-3_16&lt;/electronic-resource-num&gt;&lt;/record&gt;&lt;/Cite&gt;&lt;/EndNote&gt;</w:instrText>
      </w:r>
      <w:r w:rsidRPr="00A252BA">
        <w:rPr>
          <w:rFonts w:ascii="Palatino Linotype" w:hAnsi="Palatino Linotype"/>
        </w:rPr>
        <w:fldChar w:fldCharType="separate"/>
      </w:r>
      <w:bookmarkStart w:id="8" w:name="Bookmark8"/>
      <w:r w:rsidRPr="00A252BA">
        <w:rPr>
          <w:rFonts w:ascii="Palatino Linotype" w:hAnsi="Palatino Linotype"/>
        </w:rPr>
        <w:t>[7]</w:t>
      </w:r>
      <w:r w:rsidRPr="00A252BA">
        <w:rPr>
          <w:rFonts w:ascii="Palatino Linotype" w:hAnsi="Palatino Linotype"/>
        </w:rPr>
        <w:fldChar w:fldCharType="end"/>
      </w:r>
      <w:bookmarkEnd w:id="8"/>
      <w:r w:rsidRPr="00A252BA">
        <w:rPr>
          <w:rFonts w:ascii="Palatino Linotype" w:hAnsi="Palatino Linotype"/>
        </w:rPr>
        <w:t xml:space="preserve">,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 can be downloaded from </w:t>
      </w:r>
      <w:hyperlink r:id="rId6">
        <w:r w:rsidRPr="00A252BA">
          <w:rPr>
            <w:rStyle w:val="InternetLink"/>
            <w:rFonts w:ascii="Palatino Linotype" w:hAnsi="Palatino Linotype"/>
          </w:rPr>
          <w:t>https://sourceforge.net/projects/mdr/</w:t>
        </w:r>
      </w:hyperlink>
      <w:r w:rsidRPr="00A252BA">
        <w:rPr>
          <w:rFonts w:ascii="Palatino Linotype" w:hAnsi="Palatino Linotype"/>
        </w:rPr>
        <w:t xml:space="preserve">. </w:t>
      </w:r>
    </w:p>
    <w:p w14:paraId="3BABA8C7" w14:textId="77777777" w:rsidR="00D35AF1" w:rsidRPr="00A252BA" w:rsidRDefault="00151CEC">
      <w:pPr>
        <w:pStyle w:val="Heading2"/>
        <w:spacing w:line="271" w:lineRule="auto"/>
        <w:rPr>
          <w:rFonts w:ascii="Palatino Linotype" w:hAnsi="Palatino Linotype"/>
          <w:b/>
          <w:bCs/>
          <w:sz w:val="28"/>
          <w:szCs w:val="28"/>
        </w:rPr>
      </w:pPr>
      <w:r w:rsidRPr="00A252BA">
        <w:rPr>
          <w:rFonts w:ascii="Palatino Linotype" w:hAnsi="Palatino Linotype"/>
          <w:b/>
          <w:bCs/>
          <w:sz w:val="28"/>
          <w:szCs w:val="28"/>
        </w:rPr>
        <w:t>GPM</w:t>
      </w:r>
    </w:p>
    <w:p w14:paraId="4376BBA0" w14:textId="77777777" w:rsidR="00D35AF1" w:rsidRPr="00A252BA" w:rsidRDefault="00151CEC">
      <w:pPr>
        <w:spacing w:line="271" w:lineRule="auto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 xml:space="preserve">This program package is available from </w:t>
      </w:r>
      <w:hyperlink r:id="rId7">
        <w:r w:rsidRPr="00A252BA">
          <w:rPr>
            <w:rStyle w:val="InternetLink"/>
            <w:rFonts w:ascii="Palatino Linotype" w:hAnsi="Palatino Linotype"/>
          </w:rPr>
          <w:t>https://lab.rockefeller.edu/ott/programs</w:t>
        </w:r>
      </w:hyperlink>
      <w:r w:rsidRPr="00A252BA">
        <w:rPr>
          <w:rFonts w:ascii="Palatino Linotype" w:hAnsi="Palatino Linotype"/>
        </w:rPr>
        <w:t xml:space="preserve">. It focuses on genotype (rather than variant) patterns and will output genotypes in each pattern found and the variants containing these genotypes. Missing genotypes are allowed but when </w:t>
      </w:r>
      <w:proofErr w:type="spellStart"/>
      <w:r w:rsidRPr="00A252BA">
        <w:rPr>
          <w:rFonts w:ascii="Palatino Linotype" w:hAnsi="Palatino Linotype"/>
          <w:i/>
          <w:iCs/>
        </w:rPr>
        <w:t>fpgrowth</w:t>
      </w:r>
      <w:proofErr w:type="spellEnd"/>
      <w:r w:rsidRPr="00A252BA">
        <w:rPr>
          <w:rFonts w:ascii="Palatino Linotype" w:hAnsi="Palatino Linotype"/>
        </w:rPr>
        <w:t xml:space="preserve"> furnishes </w:t>
      </w:r>
      <w:r w:rsidRPr="00A252BA">
        <w:rPr>
          <w:rFonts w:ascii="Palatino Linotype" w:hAnsi="Palatino Linotype"/>
        </w:rPr>
        <w:lastRenderedPageBreak/>
        <w:t xml:space="preserve">patterns containing missing genotypes, these patterns will be intercepted by the </w:t>
      </w:r>
      <w:r w:rsidRPr="000509CE">
        <w:rPr>
          <w:rFonts w:ascii="Palatino Linotype" w:hAnsi="Palatino Linotype"/>
          <w:i/>
          <w:iCs/>
        </w:rPr>
        <w:t>GPM</w:t>
      </w:r>
      <w:r w:rsidRPr="00A252BA">
        <w:rPr>
          <w:rFonts w:ascii="Palatino Linotype" w:hAnsi="Palatino Linotype"/>
        </w:rPr>
        <w:t xml:space="preserve"> main program. Like </w:t>
      </w:r>
      <w:r w:rsidRPr="000509CE">
        <w:rPr>
          <w:rFonts w:ascii="Palatino Linotype" w:hAnsi="Palatino Linotype"/>
          <w:i/>
          <w:iCs/>
        </w:rPr>
        <w:t>MDR</w:t>
      </w:r>
      <w:r w:rsidRPr="00A252BA">
        <w:rPr>
          <w:rFonts w:ascii="Palatino Linotype" w:hAnsi="Palatino Linotype"/>
        </w:rPr>
        <w:t xml:space="preserve">, </w:t>
      </w:r>
      <w:r w:rsidRPr="000509CE">
        <w:rPr>
          <w:rFonts w:ascii="Palatino Linotype" w:hAnsi="Palatino Linotype"/>
          <w:i/>
          <w:iCs/>
        </w:rPr>
        <w:t>GPM</w:t>
      </w:r>
      <w:r w:rsidRPr="00A252BA">
        <w:rPr>
          <w:rFonts w:ascii="Palatino Linotype" w:hAnsi="Palatino Linotype"/>
        </w:rPr>
        <w:t xml:space="preserve"> can handle patterns of length two or more although patterns containing two genotypes are the default and are recommended (see Discussion in main paper).</w:t>
      </w:r>
    </w:p>
    <w:p w14:paraId="3D08C117" w14:textId="66085C7B" w:rsidR="00D35AF1" w:rsidRPr="00A252BA" w:rsidRDefault="00A252BA">
      <w:pPr>
        <w:spacing w:line="271" w:lineRule="auto"/>
        <w:rPr>
          <w:rFonts w:ascii="Palatino Linotype" w:hAnsi="Palatino Linotype"/>
        </w:rPr>
      </w:pPr>
      <w:r w:rsidRPr="00A252BA">
        <w:rPr>
          <w:rFonts w:ascii="Palatino Linotype" w:hAnsi="Palatino Linotype"/>
          <w:noProof/>
        </w:rPr>
        <w:drawing>
          <wp:anchor distT="0" distB="0" distL="114300" distR="114300" simplePos="0" relativeHeight="2" behindDoc="0" locked="0" layoutInCell="1" allowOverlap="1" wp14:anchorId="76D3D1B8" wp14:editId="19721261">
            <wp:simplePos x="0" y="0"/>
            <wp:positionH relativeFrom="margin">
              <wp:posOffset>0</wp:posOffset>
            </wp:positionH>
            <wp:positionV relativeFrom="paragraph">
              <wp:posOffset>1693545</wp:posOffset>
            </wp:positionV>
            <wp:extent cx="2992755" cy="9779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CEC" w:rsidRPr="00A252BA">
        <w:rPr>
          <w:rFonts w:ascii="Palatino Linotype" w:hAnsi="Palatino Linotype"/>
        </w:rPr>
        <w:tab/>
        <w:t xml:space="preserve">Input parameters for </w:t>
      </w:r>
      <w:r w:rsidR="00151CEC" w:rsidRPr="000509CE">
        <w:rPr>
          <w:rFonts w:ascii="Palatino Linotype" w:hAnsi="Palatino Linotype"/>
          <w:i/>
          <w:iCs/>
        </w:rPr>
        <w:t>GPM</w:t>
      </w:r>
      <w:r w:rsidR="00151CEC" w:rsidRPr="00A252BA">
        <w:rPr>
          <w:rFonts w:ascii="Palatino Linotype" w:hAnsi="Palatino Linotype"/>
        </w:rPr>
        <w:t xml:space="preserve"> consist of three numbers, indicating (1) whether pattern frequencies and associated statistics should be obtained for cases or</w:t>
      </w:r>
      <w:r>
        <w:rPr>
          <w:rFonts w:ascii="Palatino Linotype" w:hAnsi="Palatino Linotype"/>
        </w:rPr>
        <w:t xml:space="preserve"> for</w:t>
      </w:r>
      <w:r w:rsidR="00151CEC" w:rsidRPr="00A252BA">
        <w:rPr>
          <w:rFonts w:ascii="Palatino Linotype" w:hAnsi="Palatino Linotype"/>
        </w:rPr>
        <w:t xml:space="preserve"> controls, (2) minimum number of individuals carrying a pattern (support), and (3) minimum proportion of cases among individuals with the current pattern (confidence</w:t>
      </w:r>
      <w:r>
        <w:rPr>
          <w:rFonts w:ascii="Palatino Linotype" w:hAnsi="Palatino Linotype"/>
        </w:rPr>
        <w:t>, in %</w:t>
      </w:r>
      <w:r w:rsidR="00151CEC" w:rsidRPr="00A252BA">
        <w:rPr>
          <w:rFonts w:ascii="Palatino Linotype" w:hAnsi="Palatino Linotype"/>
        </w:rPr>
        <w:t>). Optionally, two additional numbers can specify minimum and maximum lengths of patterns. Recommended minimum confidence is 80% (</w:t>
      </w:r>
      <w:hyperlink r:id="rId9">
        <w:r w:rsidR="00151CEC" w:rsidRPr="00A252BA">
          <w:rPr>
            <w:rStyle w:val="InternetLink"/>
            <w:rFonts w:ascii="Palatino Linotype" w:hAnsi="Palatino Linotype"/>
          </w:rPr>
          <w:t>https://borgelt.net/doc/fpgrowth/fpgrowth.html</w:t>
        </w:r>
      </w:hyperlink>
      <w:r w:rsidR="00151CEC" w:rsidRPr="00A252BA">
        <w:rPr>
          <w:rFonts w:ascii="Palatino Linotype" w:hAnsi="Palatino Linotype"/>
        </w:rPr>
        <w:t>) and minimum support should be chosen based on the sample size in the data</w:t>
      </w:r>
      <w:r>
        <w:rPr>
          <w:rFonts w:ascii="Palatino Linotype" w:hAnsi="Palatino Linotype"/>
        </w:rPr>
        <w:t>; reasonable values are 5 or 10.</w:t>
      </w:r>
    </w:p>
    <w:p w14:paraId="13E472A3" w14:textId="38A46379" w:rsidR="00D35AF1" w:rsidRPr="00A252BA" w:rsidRDefault="00D35AF1">
      <w:pPr>
        <w:spacing w:line="271" w:lineRule="auto"/>
        <w:rPr>
          <w:rFonts w:ascii="Palatino Linotype" w:hAnsi="Palatino Linotype"/>
        </w:rPr>
      </w:pPr>
    </w:p>
    <w:p w14:paraId="3E0EA48B" w14:textId="77777777" w:rsidR="00D35AF1" w:rsidRPr="00A252BA" w:rsidRDefault="00D35AF1">
      <w:pPr>
        <w:spacing w:line="271" w:lineRule="auto"/>
        <w:rPr>
          <w:rFonts w:ascii="Palatino Linotype" w:hAnsi="Palatino Linotype"/>
          <w:sz w:val="22"/>
          <w:szCs w:val="22"/>
        </w:rPr>
      </w:pPr>
    </w:p>
    <w:p w14:paraId="3E6057F1" w14:textId="77777777" w:rsidR="00A252BA" w:rsidRDefault="00A252BA">
      <w:pPr>
        <w:spacing w:line="271" w:lineRule="auto"/>
        <w:rPr>
          <w:rFonts w:ascii="Palatino Linotype" w:hAnsi="Palatino Linotype"/>
          <w:sz w:val="22"/>
          <w:szCs w:val="22"/>
        </w:rPr>
      </w:pPr>
    </w:p>
    <w:p w14:paraId="52CB2D5B" w14:textId="72FE2E19" w:rsidR="00D35AF1" w:rsidRPr="00A252BA" w:rsidRDefault="00151CEC">
      <w:pPr>
        <w:spacing w:line="271" w:lineRule="auto"/>
        <w:rPr>
          <w:rFonts w:ascii="Palatino Linotype" w:hAnsi="Palatino Linotype"/>
          <w:sz w:val="22"/>
          <w:szCs w:val="22"/>
        </w:rPr>
      </w:pPr>
      <w:r w:rsidRPr="00A252BA">
        <w:rPr>
          <w:rFonts w:ascii="Palatino Linotype" w:hAnsi="Palatino Linotype"/>
          <w:sz w:val="22"/>
          <w:szCs w:val="22"/>
        </w:rPr>
        <w:t xml:space="preserve">Supplementary Table S1. Parametrization of the four types of observations in </w:t>
      </w:r>
      <w:r w:rsidRPr="00A252BA">
        <w:rPr>
          <w:rFonts w:ascii="Palatino Linotype" w:hAnsi="Palatino Linotype"/>
          <w:i/>
          <w:iCs/>
          <w:sz w:val="22"/>
          <w:szCs w:val="22"/>
        </w:rPr>
        <w:t>GPM</w:t>
      </w:r>
      <w:r w:rsidRPr="00A252BA">
        <w:rPr>
          <w:rFonts w:ascii="Palatino Linotype" w:hAnsi="Palatino Linotype"/>
          <w:sz w:val="22"/>
          <w:szCs w:val="22"/>
        </w:rPr>
        <w:t xml:space="preserve"> analysis.</w:t>
      </w:r>
    </w:p>
    <w:p w14:paraId="768B4F02" w14:textId="77777777" w:rsidR="00D35AF1" w:rsidRPr="00A252BA" w:rsidRDefault="00151CEC">
      <w:pPr>
        <w:spacing w:line="271" w:lineRule="auto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ab/>
      </w:r>
      <w:r w:rsidRPr="00A252BA">
        <w:rPr>
          <w:rFonts w:ascii="Palatino Linotype" w:hAnsi="Palatino Linotype"/>
          <w:b/>
          <w:bCs/>
        </w:rPr>
        <w:t>Hypothesis testing</w:t>
      </w:r>
      <w:r w:rsidRPr="00A252BA">
        <w:rPr>
          <w:rFonts w:ascii="Palatino Linotype" w:hAnsi="Palatino Linotype"/>
        </w:rPr>
        <w:t xml:space="preserve">. For a given pattern,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, we want to test its association with a phenotype, </w:t>
      </w:r>
      <w:r w:rsidRPr="00A252BA">
        <w:rPr>
          <w:rFonts w:ascii="Palatino Linotype" w:hAnsi="Palatino Linotype"/>
          <w:i/>
          <w:iCs/>
        </w:rPr>
        <w:t>Y</w:t>
      </w:r>
      <w:r w:rsidRPr="00A252BA">
        <w:rPr>
          <w:rFonts w:ascii="Palatino Linotype" w:hAnsi="Palatino Linotype"/>
        </w:rPr>
        <w:t xml:space="preserve">, here, of being a case (affected by disease). Table S1 shows four types of observations, α = number of cases carrying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, β = number of cases not carrying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, γ = number of controls with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, and δ = number of controls lacking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. The </w:t>
      </w:r>
      <w:proofErr w:type="spellStart"/>
      <w:r w:rsidRPr="00A252BA">
        <w:rPr>
          <w:rFonts w:ascii="Palatino Linotype" w:hAnsi="Palatino Linotype"/>
          <w:i/>
          <w:iCs/>
        </w:rPr>
        <w:t>fpgrowth</w:t>
      </w:r>
      <w:proofErr w:type="spellEnd"/>
      <w:r w:rsidRPr="00A252BA">
        <w:rPr>
          <w:rFonts w:ascii="Palatino Linotype" w:hAnsi="Palatino Linotype"/>
        </w:rPr>
        <w:t xml:space="preserve"> program will furnish association rules, </w:t>
      </w:r>
      <w:r w:rsidRPr="00A252BA">
        <w:rPr>
          <w:rFonts w:ascii="Palatino Linotype" w:hAnsi="Palatino Linotype"/>
          <w:i/>
          <w:iCs/>
        </w:rPr>
        <w:t>R</w:t>
      </w:r>
      <w:r w:rsidRPr="00A252BA">
        <w:rPr>
          <w:rFonts w:ascii="Palatino Linotype" w:hAnsi="Palatino Linotype"/>
        </w:rPr>
        <w:t xml:space="preserve"> = “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 </w:t>
      </w:r>
      <w:r w:rsidRPr="00A252BA">
        <w:t>→</w:t>
      </w:r>
      <w:r w:rsidRPr="00A252BA">
        <w:rPr>
          <w:rFonts w:ascii="Palatino Linotype" w:hAnsi="Palatino Linotype"/>
        </w:rPr>
        <w:t xml:space="preserve"> </w:t>
      </w:r>
      <w:r w:rsidRPr="00A252BA">
        <w:rPr>
          <w:rFonts w:ascii="Palatino Linotype" w:hAnsi="Palatino Linotype"/>
          <w:i/>
          <w:iCs/>
        </w:rPr>
        <w:t>Y</w:t>
      </w:r>
      <w:r w:rsidRPr="00A252BA">
        <w:rPr>
          <w:rFonts w:ascii="Palatino Linotype" w:hAnsi="Palatino Linotype"/>
        </w:rPr>
        <w:t xml:space="preserve">”, with associated observed support, </w:t>
      </w:r>
      <w:r w:rsidRPr="00A252BA">
        <w:rPr>
          <w:rFonts w:ascii="Palatino Linotype" w:hAnsi="Palatino Linotype"/>
          <w:i/>
          <w:iCs/>
        </w:rPr>
        <w:t>s</w:t>
      </w:r>
      <w:r w:rsidRPr="00A252BA">
        <w:rPr>
          <w:rFonts w:ascii="Palatino Linotype" w:hAnsi="Palatino Linotype"/>
        </w:rPr>
        <w:t xml:space="preserve"> = α + γ, and observed confidence, </w:t>
      </w:r>
      <w:r w:rsidRPr="00A252BA">
        <w:rPr>
          <w:rFonts w:ascii="Palatino Linotype" w:hAnsi="Palatino Linotype"/>
          <w:i/>
          <w:iCs/>
        </w:rPr>
        <w:t>c</w:t>
      </w:r>
      <w:r w:rsidRPr="00A252BA">
        <w:rPr>
          <w:rFonts w:ascii="Palatino Linotype" w:hAnsi="Palatino Linotype"/>
        </w:rPr>
        <w:t xml:space="preserve"> = α</w:t>
      </w:r>
      <w:proofErr w:type="gramStart"/>
      <w:r w:rsidRPr="00A252BA">
        <w:rPr>
          <w:rFonts w:ascii="Palatino Linotype" w:hAnsi="Palatino Linotype"/>
        </w:rPr>
        <w:t>/(</w:t>
      </w:r>
      <w:proofErr w:type="gramEnd"/>
      <w:r w:rsidRPr="00A252BA">
        <w:rPr>
          <w:rFonts w:ascii="Palatino Linotype" w:hAnsi="Palatino Linotype"/>
        </w:rPr>
        <w:t>α + γ), which is an estimate for the conditional probability of being a case, P(</w:t>
      </w:r>
      <w:r w:rsidRPr="00A252BA">
        <w:rPr>
          <w:rFonts w:ascii="Palatino Linotype" w:hAnsi="Palatino Linotype"/>
          <w:i/>
          <w:iCs/>
        </w:rPr>
        <w:t>Y</w:t>
      </w:r>
      <w:r w:rsidRPr="00A252BA">
        <w:rPr>
          <w:rFonts w:ascii="Palatino Linotype" w:hAnsi="Palatino Linotype"/>
        </w:rPr>
        <w:t>|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), given an individual carries the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 pattern. Thus, we can retrieve the 2 × 2 table above as α = </w:t>
      </w:r>
      <w:r w:rsidRPr="00A252BA">
        <w:rPr>
          <w:rFonts w:ascii="Palatino Linotype" w:hAnsi="Palatino Linotype"/>
          <w:i/>
          <w:iCs/>
        </w:rPr>
        <w:t>c</w:t>
      </w:r>
      <w:r w:rsidRPr="00A252BA">
        <w:rPr>
          <w:rFonts w:ascii="Palatino Linotype" w:hAnsi="Palatino Linotype"/>
        </w:rPr>
        <w:t xml:space="preserve"> × </w:t>
      </w:r>
      <w:r w:rsidRPr="00A252BA">
        <w:rPr>
          <w:rFonts w:ascii="Palatino Linotype" w:hAnsi="Palatino Linotype"/>
          <w:i/>
          <w:iCs/>
        </w:rPr>
        <w:t>s</w:t>
      </w:r>
      <w:r w:rsidRPr="00A252BA">
        <w:rPr>
          <w:rFonts w:ascii="Palatino Linotype" w:hAnsi="Palatino Linotype"/>
        </w:rPr>
        <w:t xml:space="preserve">, β =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2</w:t>
      </w:r>
      <w:r w:rsidRPr="00A252BA">
        <w:rPr>
          <w:rFonts w:ascii="Palatino Linotype" w:hAnsi="Palatino Linotype"/>
        </w:rPr>
        <w:t xml:space="preserve"> – α, γ = </w:t>
      </w:r>
      <w:r w:rsidRPr="00A252BA">
        <w:rPr>
          <w:rFonts w:ascii="Palatino Linotype" w:hAnsi="Palatino Linotype"/>
          <w:i/>
          <w:iCs/>
        </w:rPr>
        <w:t>s</w:t>
      </w:r>
      <w:r w:rsidRPr="00A252BA">
        <w:rPr>
          <w:rFonts w:ascii="Palatino Linotype" w:hAnsi="Palatino Linotype"/>
        </w:rPr>
        <w:t xml:space="preserve"> – α, and δ = </w:t>
      </w:r>
      <w:r w:rsidRPr="00A252BA">
        <w:rPr>
          <w:rFonts w:ascii="Palatino Linotype" w:hAnsi="Palatino Linotype"/>
          <w:i/>
          <w:iCs/>
        </w:rPr>
        <w:t>N</w:t>
      </w:r>
      <w:r w:rsidRPr="00A252BA">
        <w:rPr>
          <w:rFonts w:ascii="Palatino Linotype" w:hAnsi="Palatino Linotype"/>
          <w:vertAlign w:val="subscript"/>
        </w:rPr>
        <w:t>1</w:t>
      </w:r>
      <w:r w:rsidRPr="00A252BA">
        <w:rPr>
          <w:rFonts w:ascii="Palatino Linotype" w:hAnsi="Palatino Linotype"/>
        </w:rPr>
        <w:t xml:space="preserve"> – γ, and compute an appropriate test statistic in support of the alternative hypothesis of association between </w:t>
      </w:r>
      <w:r w:rsidRPr="00A252BA">
        <w:rPr>
          <w:rFonts w:ascii="Palatino Linotype" w:hAnsi="Palatino Linotype"/>
          <w:i/>
          <w:iCs/>
        </w:rPr>
        <w:t>X</w:t>
      </w:r>
      <w:r w:rsidRPr="00A252BA">
        <w:rPr>
          <w:rFonts w:ascii="Palatino Linotype" w:hAnsi="Palatino Linotype"/>
        </w:rPr>
        <w:t xml:space="preserve"> and </w:t>
      </w:r>
      <w:r w:rsidRPr="00A252BA">
        <w:rPr>
          <w:rFonts w:ascii="Palatino Linotype" w:hAnsi="Palatino Linotype"/>
          <w:i/>
          <w:iCs/>
        </w:rPr>
        <w:t>Y</w:t>
      </w:r>
      <w:r w:rsidRPr="00A252BA">
        <w:rPr>
          <w:rFonts w:ascii="Palatino Linotype" w:hAnsi="Palatino Linotype"/>
        </w:rPr>
        <w:t>. We chose the likelihood ratio chi-square as our test statistic.</w:t>
      </w:r>
    </w:p>
    <w:p w14:paraId="45CA8197" w14:textId="376BC2EA" w:rsidR="00D35AF1" w:rsidRPr="00A252BA" w:rsidRDefault="00151CEC">
      <w:pPr>
        <w:pStyle w:val="Heading2"/>
        <w:rPr>
          <w:rFonts w:ascii="Palatino Linotype" w:hAnsi="Palatino Linotype"/>
        </w:rPr>
      </w:pPr>
      <w:r w:rsidRPr="00A252BA">
        <w:rPr>
          <w:rFonts w:ascii="Palatino Linotype" w:hAnsi="Palatino Linotype"/>
          <w:b/>
          <w:bCs/>
          <w:sz w:val="28"/>
          <w:szCs w:val="28"/>
        </w:rPr>
        <w:t>References</w:t>
      </w:r>
    </w:p>
    <w:p w14:paraId="04DA58D3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fldChar w:fldCharType="begin"/>
      </w:r>
      <w:r w:rsidRPr="00A252BA">
        <w:rPr>
          <w:rFonts w:ascii="Palatino Linotype" w:hAnsi="Palatino Linotype"/>
        </w:rPr>
        <w:instrText>ADDIN EN.REFLIST</w:instrText>
      </w:r>
      <w:r w:rsidRPr="00A252BA">
        <w:rPr>
          <w:rFonts w:ascii="Palatino Linotype" w:hAnsi="Palatino Linotype"/>
        </w:rPr>
        <w:fldChar w:fldCharType="separate"/>
      </w:r>
      <w:bookmarkStart w:id="9" w:name="Bookmark9"/>
      <w:r w:rsidRPr="00A252BA">
        <w:rPr>
          <w:rFonts w:ascii="Palatino Linotype" w:hAnsi="Palatino Linotype"/>
        </w:rPr>
        <w:t>1.</w:t>
      </w:r>
      <w:r w:rsidRPr="00A252BA">
        <w:rPr>
          <w:rFonts w:ascii="Palatino Linotype" w:hAnsi="Palatino Linotype"/>
        </w:rPr>
        <w:tab/>
        <w:t>Moore JH, Hahn LW. A cellular automata approach to detecting interactions among single-nucleotide polymorphisms in complex multifactorial diseases, Pac Symp Biocomput 2002:53-64.</w:t>
      </w:r>
      <w:r w:rsidRPr="00A252BA">
        <w:rPr>
          <w:rFonts w:ascii="Palatino Linotype" w:hAnsi="Palatino Linotype"/>
        </w:rPr>
        <w:fldChar w:fldCharType="end"/>
      </w:r>
      <w:bookmarkEnd w:id="9"/>
    </w:p>
    <w:p w14:paraId="478E3765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>2.</w:t>
      </w:r>
      <w:r w:rsidRPr="00A252BA">
        <w:rPr>
          <w:rFonts w:ascii="Palatino Linotype" w:hAnsi="Palatino Linotype"/>
        </w:rPr>
        <w:tab/>
        <w:t xml:space="preserve">Moore JH, Ritchie MD. STUDENTJAMA. The challenges of whole-genome approaches to common diseases, Jama. </w:t>
      </w:r>
      <w:proofErr w:type="gramStart"/>
      <w:r w:rsidRPr="00A252BA">
        <w:rPr>
          <w:rFonts w:ascii="Palatino Linotype" w:hAnsi="Palatino Linotype"/>
        </w:rPr>
        <w:t>2004;291:1642</w:t>
      </w:r>
      <w:proofErr w:type="gramEnd"/>
      <w:r w:rsidRPr="00A252BA">
        <w:rPr>
          <w:rFonts w:ascii="Palatino Linotype" w:hAnsi="Palatino Linotype"/>
        </w:rPr>
        <w:t>-1643.</w:t>
      </w:r>
    </w:p>
    <w:p w14:paraId="35F005FE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  <w:lang w:val="es-ES"/>
        </w:rPr>
        <w:t>3.</w:t>
      </w:r>
      <w:r w:rsidRPr="00A252BA">
        <w:rPr>
          <w:rFonts w:ascii="Palatino Linotype" w:hAnsi="Palatino Linotype"/>
          <w:lang w:val="es-ES"/>
        </w:rPr>
        <w:tab/>
      </w:r>
      <w:proofErr w:type="spellStart"/>
      <w:r w:rsidRPr="00A252BA">
        <w:rPr>
          <w:rFonts w:ascii="Palatino Linotype" w:hAnsi="Palatino Linotype"/>
          <w:lang w:val="es-ES"/>
        </w:rPr>
        <w:t>Manly</w:t>
      </w:r>
      <w:proofErr w:type="spellEnd"/>
      <w:r w:rsidRPr="00A252BA">
        <w:rPr>
          <w:rFonts w:ascii="Palatino Linotype" w:hAnsi="Palatino Linotype"/>
          <w:lang w:val="es-ES"/>
        </w:rPr>
        <w:t xml:space="preserve"> BFJ, Navarro Alberto JA. </w:t>
      </w:r>
      <w:r w:rsidRPr="00A252BA">
        <w:rPr>
          <w:rFonts w:ascii="Palatino Linotype" w:hAnsi="Palatino Linotype"/>
        </w:rPr>
        <w:t xml:space="preserve">Randomization, </w:t>
      </w:r>
      <w:proofErr w:type="gramStart"/>
      <w:r w:rsidRPr="00A252BA">
        <w:rPr>
          <w:rFonts w:ascii="Palatino Linotype" w:hAnsi="Palatino Linotype"/>
        </w:rPr>
        <w:t>bootstrap</w:t>
      </w:r>
      <w:proofErr w:type="gramEnd"/>
      <w:r w:rsidRPr="00A252BA">
        <w:rPr>
          <w:rFonts w:ascii="Palatino Linotype" w:hAnsi="Palatino Linotype"/>
        </w:rPr>
        <w:t xml:space="preserve"> and monte </w:t>
      </w:r>
      <w:proofErr w:type="spellStart"/>
      <w:r w:rsidRPr="00A252BA">
        <w:rPr>
          <w:rFonts w:ascii="Palatino Linotype" w:hAnsi="Palatino Linotype"/>
        </w:rPr>
        <w:t>carlo</w:t>
      </w:r>
      <w:proofErr w:type="spellEnd"/>
      <w:r w:rsidRPr="00A252BA">
        <w:rPr>
          <w:rFonts w:ascii="Palatino Linotype" w:hAnsi="Palatino Linotype"/>
        </w:rPr>
        <w:t xml:space="preserve"> methods in biology.  Chapman &amp; hall/</w:t>
      </w:r>
      <w:proofErr w:type="spellStart"/>
      <w:r w:rsidRPr="00A252BA">
        <w:rPr>
          <w:rFonts w:ascii="Palatino Linotype" w:hAnsi="Palatino Linotype"/>
        </w:rPr>
        <w:t>crc</w:t>
      </w:r>
      <w:proofErr w:type="spellEnd"/>
      <w:r w:rsidRPr="00A252BA">
        <w:rPr>
          <w:rFonts w:ascii="Palatino Linotype" w:hAnsi="Palatino Linotype"/>
        </w:rPr>
        <w:t xml:space="preserve"> texts in statistical science. Boca Raton: Taylor &amp; Francis, 2021, 1 online resource.</w:t>
      </w:r>
    </w:p>
    <w:p w14:paraId="5422B51E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>4.</w:t>
      </w:r>
      <w:r w:rsidRPr="00A252BA">
        <w:rPr>
          <w:rFonts w:ascii="Palatino Linotype" w:hAnsi="Palatino Linotype"/>
        </w:rPr>
        <w:tab/>
        <w:t xml:space="preserve">Borgelt C. An implementation of the FP-growth algorithm.  Proceedings of the 1st international workshop on </w:t>
      </w:r>
      <w:proofErr w:type="gramStart"/>
      <w:r w:rsidRPr="00A252BA">
        <w:rPr>
          <w:rFonts w:ascii="Palatino Linotype" w:hAnsi="Palatino Linotype"/>
        </w:rPr>
        <w:t>open source</w:t>
      </w:r>
      <w:proofErr w:type="gramEnd"/>
      <w:r w:rsidRPr="00A252BA">
        <w:rPr>
          <w:rFonts w:ascii="Palatino Linotype" w:hAnsi="Palatino Linotype"/>
        </w:rPr>
        <w:t xml:space="preserve"> data mining: frequent pattern mining implementations. Chicago, Illinois: Association for Computing Machinery, 2005, 1–5.</w:t>
      </w:r>
    </w:p>
    <w:p w14:paraId="528B238D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lastRenderedPageBreak/>
        <w:t>5.</w:t>
      </w:r>
      <w:r w:rsidRPr="00A252BA">
        <w:rPr>
          <w:rFonts w:ascii="Palatino Linotype" w:hAnsi="Palatino Linotype"/>
        </w:rPr>
        <w:tab/>
        <w:t>Purcell S, Neale B, Todd-Brown K et al. PLINK: a tool set for whole-genome association and population-based linkage analyses, Am J Hum Genet 2007;81:559-575.</w:t>
      </w:r>
    </w:p>
    <w:p w14:paraId="3EDFC864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  <w:lang w:val="fr-FR"/>
        </w:rPr>
        <w:t>6.</w:t>
      </w:r>
      <w:r w:rsidRPr="00A252BA">
        <w:rPr>
          <w:rFonts w:ascii="Palatino Linotype" w:hAnsi="Palatino Linotype"/>
          <w:lang w:val="fr-FR"/>
        </w:rPr>
        <w:tab/>
        <w:t xml:space="preserve">Chang CC, Chow CC, Tellier LC et al. </w:t>
      </w:r>
      <w:r w:rsidRPr="00A252BA">
        <w:rPr>
          <w:rFonts w:ascii="Palatino Linotype" w:hAnsi="Palatino Linotype"/>
        </w:rPr>
        <w:t xml:space="preserve">Second-generation PLINK: rising to the challenge of larger and richer datasets, </w:t>
      </w:r>
      <w:proofErr w:type="spellStart"/>
      <w:r w:rsidRPr="00A252BA">
        <w:rPr>
          <w:rFonts w:ascii="Palatino Linotype" w:hAnsi="Palatino Linotype"/>
        </w:rPr>
        <w:t>Gigascience</w:t>
      </w:r>
      <w:proofErr w:type="spellEnd"/>
      <w:r w:rsidRPr="00A252BA">
        <w:rPr>
          <w:rFonts w:ascii="Palatino Linotype" w:hAnsi="Palatino Linotype"/>
        </w:rPr>
        <w:t xml:space="preserve"> 2015;4:7.</w:t>
      </w:r>
    </w:p>
    <w:p w14:paraId="2A177AF2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>7.</w:t>
      </w:r>
      <w:r w:rsidRPr="00A252BA">
        <w:rPr>
          <w:rFonts w:ascii="Palatino Linotype" w:hAnsi="Palatino Linotype"/>
        </w:rPr>
        <w:tab/>
        <w:t>Moore JH, Andrews PC. Epistasis Analysis Using Multifactor Dimensionality Reduction. In: Moore J. H., Williams S. M. eds). Epistasis: Methods and Protocols. New York, NY: Springer New York, 2015, 301-314.</w:t>
      </w:r>
    </w:p>
    <w:p w14:paraId="61D46EDA" w14:textId="77777777" w:rsidR="00D35AF1" w:rsidRPr="00A252BA" w:rsidRDefault="00151CEC">
      <w:pPr>
        <w:pStyle w:val="EndNoteBibliography"/>
        <w:spacing w:after="120"/>
        <w:rPr>
          <w:rFonts w:ascii="Palatino Linotype" w:hAnsi="Palatino Linotype"/>
        </w:rPr>
      </w:pPr>
      <w:r w:rsidRPr="00A252BA">
        <w:rPr>
          <w:rFonts w:ascii="Palatino Linotype" w:hAnsi="Palatino Linotype"/>
        </w:rPr>
        <w:t>8.</w:t>
      </w:r>
      <w:r w:rsidRPr="00A252BA">
        <w:rPr>
          <w:rFonts w:ascii="Palatino Linotype" w:hAnsi="Palatino Linotype"/>
        </w:rPr>
        <w:tab/>
        <w:t xml:space="preserve">Winham SJ, Motsinger-Reif AA. An R package implementation of multifactor dimensionality reduction, </w:t>
      </w:r>
      <w:proofErr w:type="spellStart"/>
      <w:r w:rsidRPr="00A252BA">
        <w:rPr>
          <w:rFonts w:ascii="Palatino Linotype" w:hAnsi="Palatino Linotype"/>
        </w:rPr>
        <w:t>BioData</w:t>
      </w:r>
      <w:proofErr w:type="spellEnd"/>
      <w:r w:rsidRPr="00A252BA">
        <w:rPr>
          <w:rFonts w:ascii="Palatino Linotype" w:hAnsi="Palatino Linotype"/>
        </w:rPr>
        <w:t xml:space="preserve"> Min 2011;4:24.</w:t>
      </w:r>
    </w:p>
    <w:p w14:paraId="2DAD9257" w14:textId="512625A2" w:rsidR="00D35AF1" w:rsidRPr="00A252BA" w:rsidRDefault="00D35AF1">
      <w:pPr>
        <w:rPr>
          <w:rFonts w:ascii="Palatino Linotype" w:hAnsi="Palatino Linotype"/>
        </w:rPr>
      </w:pPr>
    </w:p>
    <w:sectPr w:rsidR="00D35AF1" w:rsidRPr="00A252BA" w:rsidSect="00A252B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B20E" w14:textId="77777777" w:rsidR="00520C5B" w:rsidRDefault="00520C5B">
      <w:pPr>
        <w:spacing w:after="0" w:line="240" w:lineRule="auto"/>
      </w:pPr>
      <w:r>
        <w:separator/>
      </w:r>
    </w:p>
  </w:endnote>
  <w:endnote w:type="continuationSeparator" w:id="0">
    <w:p w14:paraId="1E8EE8D4" w14:textId="77777777" w:rsidR="00520C5B" w:rsidRDefault="0052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783218"/>
      <w:docPartObj>
        <w:docPartGallery w:val="Page Numbers (Bottom of Page)"/>
        <w:docPartUnique/>
      </w:docPartObj>
    </w:sdtPr>
    <w:sdtEndPr/>
    <w:sdtContent>
      <w:p w14:paraId="300D2690" w14:textId="77777777" w:rsidR="00D35AF1" w:rsidRDefault="00151CEC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38D38A2" w14:textId="77777777" w:rsidR="00D35AF1" w:rsidRDefault="00D35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8D5E" w14:textId="77777777" w:rsidR="00520C5B" w:rsidRDefault="00520C5B">
      <w:pPr>
        <w:spacing w:after="0" w:line="240" w:lineRule="auto"/>
      </w:pPr>
      <w:r>
        <w:separator/>
      </w:r>
    </w:p>
  </w:footnote>
  <w:footnote w:type="continuationSeparator" w:id="0">
    <w:p w14:paraId="49A8BFD9" w14:textId="77777777" w:rsidR="00520C5B" w:rsidRDefault="0052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9212" w14:textId="77777777" w:rsidR="00D35AF1" w:rsidRDefault="00D35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MDPIgen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D35AF1"/>
    <w:rsid w:val="000509CE"/>
    <w:rsid w:val="00151CEC"/>
    <w:rsid w:val="00520C5B"/>
    <w:rsid w:val="007350B3"/>
    <w:rsid w:val="00A252BA"/>
    <w:rsid w:val="00D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9131"/>
  <w15:docId w15:val="{6B5AC3D8-A50D-40B7-B483-11F900C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7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A7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ndNoteBibliographyTitleChar">
    <w:name w:val="EndNote Bibliography Title Char"/>
    <w:basedOn w:val="DefaultParagraphFont"/>
    <w:link w:val="EndNoteBibliographyTitle"/>
    <w:qFormat/>
    <w:rsid w:val="00A02027"/>
  </w:style>
  <w:style w:type="character" w:customStyle="1" w:styleId="EndNoteBibliographyChar">
    <w:name w:val="EndNote Bibliography Char"/>
    <w:basedOn w:val="DefaultParagraphFont"/>
    <w:link w:val="EndNoteBibliography"/>
    <w:qFormat/>
    <w:rsid w:val="00A02027"/>
  </w:style>
  <w:style w:type="character" w:customStyle="1" w:styleId="InternetLink">
    <w:name w:val="Internet Link"/>
    <w:basedOn w:val="DefaultParagraphFont"/>
    <w:uiPriority w:val="99"/>
    <w:unhideWhenUsed/>
    <w:rsid w:val="00224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24A3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91308"/>
  </w:style>
  <w:style w:type="character" w:customStyle="1" w:styleId="FooterChar">
    <w:name w:val="Footer Char"/>
    <w:basedOn w:val="DefaultParagraphFont"/>
    <w:link w:val="Footer"/>
    <w:uiPriority w:val="99"/>
    <w:qFormat/>
    <w:rsid w:val="00E9130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dNoteBibliographyTitle">
    <w:name w:val="EndNote Bibliography Title"/>
    <w:basedOn w:val="Normal"/>
    <w:link w:val="EndNoteBibliographyTitleChar"/>
    <w:qFormat/>
    <w:rsid w:val="00A02027"/>
    <w:pPr>
      <w:spacing w:after="0"/>
      <w:jc w:val="center"/>
    </w:pPr>
  </w:style>
  <w:style w:type="paragraph" w:customStyle="1" w:styleId="EndNoteBibliography">
    <w:name w:val="EndNote Bibliography"/>
    <w:basedOn w:val="Normal"/>
    <w:link w:val="EndNoteBibliographyChar"/>
    <w:qFormat/>
    <w:rsid w:val="00A02027"/>
    <w:pPr>
      <w:spacing w:line="240" w:lineRule="auto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913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9130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ab.rockefeller.edu/ott/program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rceforge.net/projects/md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orgelt.net/doc/fpgrowth/fpgrow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1741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 Ott</dc:creator>
  <dc:description/>
  <cp:lastModifiedBy>Jurg Ott</cp:lastModifiedBy>
  <cp:revision>27</cp:revision>
  <cp:lastPrinted>2021-06-23T10:53:00Z</cp:lastPrinted>
  <dcterms:created xsi:type="dcterms:W3CDTF">2021-04-21T20:01:00Z</dcterms:created>
  <dcterms:modified xsi:type="dcterms:W3CDTF">2021-06-23T10:53:00Z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