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DA" w:rsidRDefault="00262A42">
      <w:pPr>
        <w:rPr>
          <w:rFonts w:ascii="Palatino Linotype" w:hAnsi="Palatino Linotype"/>
          <w:b/>
          <w:sz w:val="20"/>
        </w:rPr>
      </w:pPr>
      <w:proofErr w:type="spellStart"/>
      <w:r w:rsidRPr="00262A42">
        <w:rPr>
          <w:rFonts w:ascii="Palatino Linotype" w:hAnsi="Palatino Linotype"/>
          <w:b/>
          <w:sz w:val="20"/>
        </w:rPr>
        <w:t>Supplementary</w:t>
      </w:r>
      <w:proofErr w:type="spellEnd"/>
      <w:r w:rsidRPr="00262A42">
        <w:rPr>
          <w:rFonts w:ascii="Palatino Linotype" w:hAnsi="Palatino Linotype"/>
          <w:b/>
          <w:sz w:val="20"/>
        </w:rPr>
        <w:t xml:space="preserve"> </w:t>
      </w:r>
      <w:proofErr w:type="spellStart"/>
      <w:r w:rsidRPr="00262A42">
        <w:rPr>
          <w:rFonts w:ascii="Palatino Linotype" w:hAnsi="Palatino Linotype"/>
          <w:b/>
          <w:sz w:val="20"/>
        </w:rPr>
        <w:t>Figures</w:t>
      </w:r>
      <w:proofErr w:type="spellEnd"/>
    </w:p>
    <w:p w:rsidR="00262A42" w:rsidRDefault="007A683F" w:rsidP="007A683F">
      <w:pPr>
        <w:ind w:left="2552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ab/>
        <w:t>Figure S1</w:t>
      </w:r>
    </w:p>
    <w:p w:rsidR="007A683F" w:rsidRDefault="007A683F">
      <w:pPr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noProof/>
          <w:sz w:val="20"/>
          <w:lang w:eastAsia="it-IT"/>
        </w:rPr>
        <w:drawing>
          <wp:inline distT="0" distB="0" distL="0" distR="0">
            <wp:extent cx="6120130" cy="4590415"/>
            <wp:effectExtent l="19050" t="0" r="0" b="0"/>
            <wp:docPr id="2" name="Immagine 1" descr="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positiv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83F" w:rsidRDefault="007A683F" w:rsidP="007A683F">
      <w:pPr>
        <w:pStyle w:val="MDPI51figurecaption"/>
        <w:jc w:val="both"/>
      </w:pPr>
      <w:r>
        <w:rPr>
          <w:b/>
        </w:rPr>
        <w:t>Supplementary Figure 1</w:t>
      </w:r>
      <w:r w:rsidRPr="00FA04F1">
        <w:rPr>
          <w:b/>
        </w:rPr>
        <w:t xml:space="preserve">. </w:t>
      </w:r>
      <w:r w:rsidRPr="007A683F">
        <w:t xml:space="preserve">A) </w:t>
      </w:r>
      <w:proofErr w:type="spellStart"/>
      <w:r w:rsidRPr="007A683F">
        <w:t>Agarose</w:t>
      </w:r>
      <w:proofErr w:type="spellEnd"/>
      <w:r w:rsidRPr="007A683F">
        <w:t xml:space="preserve"> gel showing </w:t>
      </w:r>
      <w:proofErr w:type="spellStart"/>
      <w:r w:rsidRPr="007A683F">
        <w:t>Dsup</w:t>
      </w:r>
      <w:proofErr w:type="spellEnd"/>
      <w:r w:rsidRPr="007A683F">
        <w:t xml:space="preserve"> expression in </w:t>
      </w:r>
      <w:proofErr w:type="spellStart"/>
      <w:r w:rsidRPr="007A683F">
        <w:t>transfected</w:t>
      </w:r>
      <w:proofErr w:type="spellEnd"/>
      <w:r w:rsidRPr="007A683F">
        <w:t xml:space="preserve"> cells compared to </w:t>
      </w:r>
      <w:proofErr w:type="spellStart"/>
      <w:r w:rsidRPr="007A683F">
        <w:t>untransfected</w:t>
      </w:r>
      <w:proofErr w:type="spellEnd"/>
      <w:r w:rsidRPr="007A683F">
        <w:t xml:space="preserve"> HEK293. B) Real time RT-PCR at 2, 5, 7 and 9 days after stabilization of the </w:t>
      </w:r>
      <w:proofErr w:type="spellStart"/>
      <w:r w:rsidRPr="007A683F">
        <w:t>transfection</w:t>
      </w:r>
      <w:proofErr w:type="spellEnd"/>
      <w:r w:rsidRPr="007A683F">
        <w:t>.</w:t>
      </w: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Default="007A683F" w:rsidP="007A683F">
      <w:pPr>
        <w:pStyle w:val="MDPI51figurecaption"/>
        <w:jc w:val="both"/>
      </w:pPr>
    </w:p>
    <w:p w:rsidR="007A683F" w:rsidRPr="007A683F" w:rsidRDefault="007A683F" w:rsidP="007A683F">
      <w:pPr>
        <w:pStyle w:val="MDPI51figurecaption"/>
        <w:jc w:val="both"/>
        <w:rPr>
          <w:b/>
          <w:sz w:val="20"/>
        </w:rPr>
      </w:pPr>
      <w:r w:rsidRPr="007A683F">
        <w:rPr>
          <w:b/>
          <w:sz w:val="20"/>
        </w:rPr>
        <w:lastRenderedPageBreak/>
        <w:t>Figure S2</w:t>
      </w:r>
    </w:p>
    <w:p w:rsidR="007A683F" w:rsidRDefault="00DE0AA8" w:rsidP="007A683F">
      <w:pPr>
        <w:pStyle w:val="MDPI51figurecaption"/>
        <w:jc w:val="both"/>
      </w:pPr>
      <w:r>
        <w:rPr>
          <w:noProof/>
          <w:lang w:val="it-IT" w:eastAsia="it-IT" w:bidi="ar-SA"/>
        </w:rPr>
        <w:drawing>
          <wp:inline distT="0" distB="0" distL="0" distR="0">
            <wp:extent cx="4762171" cy="3571875"/>
            <wp:effectExtent l="19050" t="0" r="329" b="0"/>
            <wp:docPr id="3" name="Immagine 2" descr="Diapositiv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positiva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513" cy="357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AA8" w:rsidRDefault="00DE0AA8" w:rsidP="00DE0AA8">
      <w:pPr>
        <w:pStyle w:val="MDPI51figurecaption"/>
        <w:jc w:val="both"/>
      </w:pPr>
      <w:r>
        <w:rPr>
          <w:b/>
        </w:rPr>
        <w:t>Supplementary Figure 2</w:t>
      </w:r>
      <w:r w:rsidRPr="00FA04F1">
        <w:rPr>
          <w:b/>
        </w:rPr>
        <w:t xml:space="preserve">. </w:t>
      </w:r>
      <w:r w:rsidRPr="00DE0AA8">
        <w:t xml:space="preserve">Graphic showing relative expression of selected genes after H2O2 (250 and 1000 µM) treatment. Both 4 hr and O/N results are presented for A) PARP1, B) </w:t>
      </w:r>
      <w:proofErr w:type="spellStart"/>
      <w:r w:rsidRPr="00DE0AA8">
        <w:t>hTERT</w:t>
      </w:r>
      <w:proofErr w:type="spellEnd"/>
      <w:r w:rsidRPr="00DE0AA8">
        <w:t>, C) SOD1, and D) BRCA1 genes.</w:t>
      </w:r>
    </w:p>
    <w:p w:rsidR="00DE0AA8" w:rsidRDefault="00DE0AA8" w:rsidP="00DE0AA8">
      <w:pPr>
        <w:pStyle w:val="MDPI51figurecaption"/>
        <w:jc w:val="both"/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A610A5" w:rsidRDefault="00A610A5" w:rsidP="00DE0AA8">
      <w:pPr>
        <w:pStyle w:val="MDPI51figurecaption"/>
        <w:jc w:val="both"/>
        <w:rPr>
          <w:b/>
          <w:sz w:val="20"/>
        </w:rPr>
      </w:pPr>
    </w:p>
    <w:p w:rsidR="00DE0AA8" w:rsidRPr="00DE0AA8" w:rsidRDefault="00DE0AA8" w:rsidP="00DE0AA8">
      <w:pPr>
        <w:pStyle w:val="MDPI51figurecaption"/>
        <w:jc w:val="both"/>
        <w:rPr>
          <w:b/>
          <w:sz w:val="20"/>
        </w:rPr>
      </w:pPr>
      <w:r w:rsidRPr="00DE0AA8">
        <w:rPr>
          <w:b/>
          <w:sz w:val="20"/>
        </w:rPr>
        <w:lastRenderedPageBreak/>
        <w:t>Figure S3</w:t>
      </w:r>
    </w:p>
    <w:p w:rsidR="00DE0AA8" w:rsidRDefault="00A610A5" w:rsidP="00DE0AA8">
      <w:pPr>
        <w:pStyle w:val="MDPI51figurecaption"/>
        <w:jc w:val="both"/>
      </w:pPr>
      <w:r>
        <w:rPr>
          <w:noProof/>
          <w:lang w:val="it-IT" w:eastAsia="it-IT" w:bidi="ar-SA"/>
        </w:rPr>
        <w:drawing>
          <wp:inline distT="0" distB="0" distL="0" distR="0">
            <wp:extent cx="4990755" cy="3743325"/>
            <wp:effectExtent l="19050" t="0" r="345" b="0"/>
            <wp:docPr id="4" name="Immagine 3" descr="Diaposit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positiv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0065" cy="374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83F" w:rsidRPr="00DE0AA8" w:rsidRDefault="00A610A5" w:rsidP="007A683F">
      <w:pPr>
        <w:pStyle w:val="MDPI51figurecaption"/>
        <w:jc w:val="both"/>
        <w:rPr>
          <w:b/>
          <w:sz w:val="20"/>
        </w:rPr>
      </w:pPr>
      <w:r>
        <w:rPr>
          <w:b/>
        </w:rPr>
        <w:t>Supplementary Figure 3</w:t>
      </w:r>
      <w:r w:rsidRPr="00FA04F1">
        <w:rPr>
          <w:b/>
        </w:rPr>
        <w:t xml:space="preserve">. </w:t>
      </w:r>
      <w:r w:rsidRPr="00A610A5">
        <w:t>Graphic showing relative expression of selected genes after 5'' or 15'' of UV-C exposure. Results are presented immediately after irradiation (T0) and after 24 or 48 hr of recovery for A) Bcl2, B) ATR, C) ATM, and D) BRCA2 genes.</w:t>
      </w:r>
    </w:p>
    <w:sectPr w:rsidR="007A683F" w:rsidRPr="00DE0AA8" w:rsidSect="00DE1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2A42"/>
    <w:rsid w:val="00262A42"/>
    <w:rsid w:val="00487241"/>
    <w:rsid w:val="007A683F"/>
    <w:rsid w:val="00A610A5"/>
    <w:rsid w:val="00DE0AA8"/>
    <w:rsid w:val="00DE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83F"/>
    <w:rPr>
      <w:rFonts w:ascii="Tahoma" w:hAnsi="Tahoma" w:cs="Tahoma"/>
      <w:sz w:val="16"/>
      <w:szCs w:val="16"/>
    </w:rPr>
  </w:style>
  <w:style w:type="paragraph" w:customStyle="1" w:styleId="MDPI51figurecaption">
    <w:name w:val="MDPI_5.1_figure_caption"/>
    <w:qFormat/>
    <w:rsid w:val="007A683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2021-07-12T13:35:00Z</dcterms:created>
  <dcterms:modified xsi:type="dcterms:W3CDTF">2021-07-12T13:41:00Z</dcterms:modified>
</cp:coreProperties>
</file>