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06F3" w14:textId="77777777" w:rsidR="007D55A4" w:rsidRDefault="00AD39E7">
      <w:pPr>
        <w:pStyle w:val="11"/>
        <w:spacing w:after="156"/>
        <w:jc w:val="both"/>
      </w:pPr>
      <w:r>
        <w:t>S</w:t>
      </w:r>
      <w:r>
        <w:rPr>
          <w:rFonts w:hint="eastAsia"/>
        </w:rPr>
        <w:t>up</w:t>
      </w:r>
      <w:r>
        <w:t>porting information</w:t>
      </w:r>
    </w:p>
    <w:p w14:paraId="0BED8214" w14:textId="77777777" w:rsidR="007D55A4" w:rsidRDefault="00AD39E7">
      <w:pPr>
        <w:topLinePunct/>
        <w:adjustRightInd w:val="0"/>
        <w:snapToGrid/>
        <w:spacing w:afterLines="50" w:after="156"/>
        <w:ind w:firstLineChars="200" w:firstLine="48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Surface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Activity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Humic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Acid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 and </w:t>
      </w:r>
      <w:r>
        <w:rPr>
          <w:rFonts w:ascii="Times New Roman" w:hAnsi="Times New Roman"/>
          <w:b/>
          <w:color w:val="000000"/>
          <w:sz w:val="24"/>
          <w:szCs w:val="24"/>
        </w:rPr>
        <w:t>Its S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ub-fractions from </w:t>
      </w:r>
      <w:r>
        <w:rPr>
          <w:rFonts w:ascii="Times New Roman" w:hAnsi="Times New Roman"/>
          <w:b/>
          <w:color w:val="000000"/>
          <w:sz w:val="24"/>
          <w:szCs w:val="24"/>
        </w:rPr>
        <w:t>F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 xml:space="preserve">orest </w:t>
      </w:r>
      <w:r>
        <w:rPr>
          <w:rFonts w:ascii="Times New Roman" w:hAnsi="Times New Roman"/>
          <w:b/>
          <w:color w:val="000000"/>
          <w:sz w:val="24"/>
          <w:szCs w:val="24"/>
        </w:rPr>
        <w:t>S</w:t>
      </w:r>
      <w:r>
        <w:rPr>
          <w:rFonts w:ascii="Times New Roman" w:hAnsi="Times New Roman" w:hint="eastAsia"/>
          <w:b/>
          <w:color w:val="000000"/>
          <w:sz w:val="24"/>
          <w:szCs w:val="24"/>
        </w:rPr>
        <w:t>oil</w:t>
      </w:r>
    </w:p>
    <w:p w14:paraId="31A3FF06" w14:textId="77777777" w:rsidR="007D55A4" w:rsidRDefault="007D55A4">
      <w:pPr>
        <w:pStyle w:val="af3"/>
        <w:spacing w:after="156"/>
        <w:ind w:firstLineChars="0" w:firstLine="0"/>
      </w:pPr>
    </w:p>
    <w:p w14:paraId="7B7B6723" w14:textId="1FD72BE8" w:rsidR="007D55A4" w:rsidRDefault="00AD39E7">
      <w:pPr>
        <w:pStyle w:val="af3"/>
        <w:spacing w:after="156"/>
        <w:ind w:firstLineChars="0" w:firstLine="0"/>
        <w:rPr>
          <w:b/>
          <w:bCs/>
        </w:rPr>
      </w:pPr>
      <w:r>
        <w:rPr>
          <w:rFonts w:hint="eastAsia"/>
          <w:b/>
          <w:bCs/>
        </w:rPr>
        <w:t xml:space="preserve">Shijie </w:t>
      </w:r>
      <w:r>
        <w:rPr>
          <w:b/>
          <w:bCs/>
        </w:rPr>
        <w:t>T</w:t>
      </w:r>
      <w:r>
        <w:rPr>
          <w:rFonts w:hint="eastAsia"/>
          <w:b/>
          <w:bCs/>
        </w:rPr>
        <w:t>ian</w:t>
      </w:r>
      <w:r>
        <w:rPr>
          <w:rFonts w:hint="eastAsia"/>
          <w:b/>
          <w:bCs/>
          <w:vertAlign w:val="superscript"/>
        </w:rPr>
        <w:t>1</w:t>
      </w:r>
      <w:r>
        <w:rPr>
          <w:rFonts w:hint="eastAsia"/>
          <w:b/>
          <w:bCs/>
        </w:rPr>
        <w:t xml:space="preserve">, </w:t>
      </w:r>
      <w:proofErr w:type="spellStart"/>
      <w:r>
        <w:rPr>
          <w:rFonts w:hint="eastAsia"/>
          <w:b/>
          <w:bCs/>
        </w:rPr>
        <w:t>Weiqiang</w:t>
      </w:r>
      <w:proofErr w:type="spellEnd"/>
      <w:r>
        <w:rPr>
          <w:rFonts w:hint="eastAsia"/>
          <w:b/>
          <w:bCs/>
        </w:rPr>
        <w:t xml:space="preserve"> Tan</w:t>
      </w:r>
      <w:r>
        <w:rPr>
          <w:rFonts w:hint="eastAsia"/>
          <w:b/>
          <w:bCs/>
          <w:vertAlign w:val="superscript"/>
        </w:rPr>
        <w:t>1</w:t>
      </w:r>
      <w:r>
        <w:rPr>
          <w:b/>
          <w:bCs/>
        </w:rPr>
        <w:t>*</w:t>
      </w:r>
      <w:r>
        <w:rPr>
          <w:rFonts w:hint="eastAsia"/>
          <w:b/>
          <w:bCs/>
        </w:rPr>
        <w:t xml:space="preserve">, </w:t>
      </w:r>
      <w:r>
        <w:rPr>
          <w:b/>
          <w:bCs/>
        </w:rPr>
        <w:t>X</w:t>
      </w:r>
      <w:r>
        <w:rPr>
          <w:rFonts w:hint="eastAsia"/>
          <w:b/>
          <w:bCs/>
        </w:rPr>
        <w:t>in</w:t>
      </w:r>
      <w:r>
        <w:rPr>
          <w:b/>
          <w:bCs/>
        </w:rPr>
        <w:t>yuan Wang</w:t>
      </w:r>
      <w:r>
        <w:rPr>
          <w:b/>
          <w:bCs/>
          <w:vertAlign w:val="superscript"/>
        </w:rPr>
        <w:t>1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Tingting</w:t>
      </w:r>
      <w:proofErr w:type="spellEnd"/>
      <w:r>
        <w:rPr>
          <w:b/>
          <w:bCs/>
        </w:rPr>
        <w:t xml:space="preserve"> Li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Fanhao</w:t>
      </w:r>
      <w:proofErr w:type="spellEnd"/>
      <w:r>
        <w:rPr>
          <w:b/>
          <w:bCs/>
        </w:rPr>
        <w:t xml:space="preserve"> Song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Nannan</w:t>
      </w:r>
      <w:proofErr w:type="spellEnd"/>
      <w:r>
        <w:rPr>
          <w:b/>
          <w:bCs/>
        </w:rPr>
        <w:t xml:space="preserve"> Huang</w:t>
      </w:r>
      <w:r>
        <w:rPr>
          <w:b/>
          <w:bCs/>
          <w:vertAlign w:val="superscript"/>
        </w:rPr>
        <w:t>2</w:t>
      </w:r>
    </w:p>
    <w:p w14:paraId="4830A160" w14:textId="77777777" w:rsidR="007D55A4" w:rsidRDefault="007D55A4">
      <w:pPr>
        <w:pStyle w:val="af3"/>
        <w:spacing w:after="156"/>
        <w:ind w:firstLineChars="0" w:firstLine="0"/>
      </w:pPr>
    </w:p>
    <w:p w14:paraId="0CABBCDD" w14:textId="77777777" w:rsidR="007D55A4" w:rsidRDefault="00AD39E7">
      <w:pPr>
        <w:pStyle w:val="af3"/>
        <w:spacing w:after="156"/>
        <w:ind w:firstLineChars="0" w:firstLine="0"/>
      </w:pPr>
      <w:r>
        <w:rPr>
          <w:rFonts w:hint="eastAsia"/>
          <w:vertAlign w:val="superscript"/>
        </w:rPr>
        <w:t>1</w:t>
      </w:r>
      <w:r>
        <w:t>School of Environmental and Municipal Engineering</w:t>
      </w:r>
      <w:r>
        <w:rPr>
          <w:rFonts w:hint="eastAsia"/>
        </w:rPr>
        <w:t xml:space="preserve">, Qingdao </w:t>
      </w:r>
      <w:r>
        <w:t>University</w:t>
      </w:r>
      <w:r>
        <w:rPr>
          <w:rFonts w:hint="eastAsia"/>
        </w:rPr>
        <w:t xml:space="preserve"> of </w:t>
      </w:r>
      <w:r>
        <w:t>Technology</w:t>
      </w:r>
      <w:r>
        <w:rPr>
          <w:rFonts w:hint="eastAsia"/>
        </w:rPr>
        <w:t>, Qingdao 266033, China</w:t>
      </w:r>
      <w:r>
        <w:t>.</w:t>
      </w:r>
    </w:p>
    <w:p w14:paraId="33792DB9" w14:textId="77777777" w:rsidR="007D55A4" w:rsidRDefault="00AD39E7">
      <w:pPr>
        <w:pStyle w:val="af3"/>
        <w:spacing w:after="156"/>
        <w:ind w:firstLineChars="0" w:firstLine="0"/>
      </w:pPr>
      <w:r>
        <w:rPr>
          <w:vertAlign w:val="superscript"/>
        </w:rPr>
        <w:t>2</w:t>
      </w:r>
      <w:r>
        <w:t>State Key Laboratory of Environmental Criteria and Risk Assessment, Chinese Research Academy of Environmental Sciences, Beijing 100012, China.</w:t>
      </w:r>
    </w:p>
    <w:p w14:paraId="4ADBD7F7" w14:textId="77777777" w:rsidR="007D55A4" w:rsidRDefault="007D55A4">
      <w:pPr>
        <w:pStyle w:val="af3"/>
        <w:spacing w:after="156"/>
        <w:ind w:firstLine="480"/>
      </w:pPr>
    </w:p>
    <w:p w14:paraId="6EF8FCB0" w14:textId="77777777" w:rsidR="007D55A4" w:rsidRDefault="007D55A4">
      <w:pPr>
        <w:pStyle w:val="af3"/>
        <w:spacing w:after="156"/>
        <w:ind w:firstLine="480"/>
      </w:pPr>
    </w:p>
    <w:p w14:paraId="6102E399" w14:textId="77777777" w:rsidR="007D55A4" w:rsidRDefault="007D55A4">
      <w:pPr>
        <w:pStyle w:val="af3"/>
        <w:spacing w:after="156"/>
        <w:ind w:firstLine="480"/>
      </w:pPr>
    </w:p>
    <w:p w14:paraId="46E24191" w14:textId="77777777" w:rsidR="007D55A4" w:rsidRDefault="007D55A4">
      <w:pPr>
        <w:pStyle w:val="af3"/>
        <w:spacing w:after="156"/>
        <w:ind w:firstLine="480"/>
      </w:pPr>
    </w:p>
    <w:p w14:paraId="70FA4179" w14:textId="77777777" w:rsidR="007D55A4" w:rsidRDefault="007D55A4">
      <w:pPr>
        <w:pStyle w:val="af3"/>
        <w:spacing w:after="156"/>
        <w:ind w:firstLine="480"/>
      </w:pPr>
    </w:p>
    <w:p w14:paraId="4BAEAB14" w14:textId="77777777" w:rsidR="007D55A4" w:rsidRDefault="007D55A4">
      <w:pPr>
        <w:pStyle w:val="af3"/>
        <w:spacing w:after="156"/>
        <w:ind w:firstLine="480"/>
      </w:pPr>
    </w:p>
    <w:p w14:paraId="06E5FC4E" w14:textId="77777777" w:rsidR="007D55A4" w:rsidRDefault="007D55A4">
      <w:pPr>
        <w:pStyle w:val="af3"/>
        <w:spacing w:after="156"/>
        <w:ind w:firstLine="480"/>
      </w:pPr>
    </w:p>
    <w:p w14:paraId="400CEE3D" w14:textId="77777777" w:rsidR="007D55A4" w:rsidRDefault="007D55A4">
      <w:pPr>
        <w:pStyle w:val="af3"/>
        <w:spacing w:after="156"/>
        <w:ind w:firstLine="480"/>
      </w:pPr>
    </w:p>
    <w:p w14:paraId="4B1C72F3" w14:textId="6447D4AA" w:rsidR="007D55A4" w:rsidRDefault="007D55A4">
      <w:pPr>
        <w:pStyle w:val="af3"/>
        <w:spacing w:after="156"/>
        <w:ind w:firstLineChars="0" w:firstLine="0"/>
      </w:pPr>
    </w:p>
    <w:p w14:paraId="32B66C0E" w14:textId="595122A8" w:rsidR="00764F49" w:rsidRDefault="00764F49">
      <w:pPr>
        <w:pStyle w:val="af3"/>
        <w:spacing w:after="156"/>
        <w:ind w:firstLineChars="0" w:firstLine="0"/>
      </w:pPr>
    </w:p>
    <w:p w14:paraId="18AB6A9D" w14:textId="7374B1F0" w:rsidR="00764F49" w:rsidRDefault="00764F49">
      <w:pPr>
        <w:pStyle w:val="af3"/>
        <w:spacing w:after="156"/>
        <w:ind w:firstLineChars="0" w:firstLine="0"/>
      </w:pPr>
    </w:p>
    <w:p w14:paraId="5EDB333B" w14:textId="77777777" w:rsidR="00916A6D" w:rsidRDefault="00916A6D">
      <w:pPr>
        <w:pStyle w:val="af3"/>
        <w:spacing w:after="156"/>
        <w:ind w:firstLineChars="0" w:firstLine="0"/>
      </w:pPr>
    </w:p>
    <w:p w14:paraId="54F5D667" w14:textId="0010CE84" w:rsidR="007D55A4" w:rsidRDefault="00AD39E7" w:rsidP="00764F49">
      <w:pPr>
        <w:snapToGrid/>
      </w:pPr>
      <w:r>
        <w:rPr>
          <w:rFonts w:ascii="Times New Roman" w:eastAsia="仿宋" w:hAnsi="Times New Roman"/>
          <w:sz w:val="24"/>
          <w:szCs w:val="24"/>
          <w:vertAlign w:val="superscript"/>
        </w:rPr>
        <w:t xml:space="preserve">* </w:t>
      </w:r>
      <w:r>
        <w:rPr>
          <w:rFonts w:ascii="Times New Roman" w:eastAsia="仿宋" w:hAnsi="Times New Roman"/>
          <w:sz w:val="24"/>
          <w:szCs w:val="24"/>
        </w:rPr>
        <w:t xml:space="preserve">Correspondence: </w:t>
      </w:r>
      <w:proofErr w:type="spellStart"/>
      <w:r>
        <w:rPr>
          <w:rFonts w:ascii="Times New Roman" w:eastAsia="仿宋" w:hAnsi="Times New Roman"/>
          <w:sz w:val="24"/>
          <w:szCs w:val="24"/>
        </w:rPr>
        <w:t>Weiqiang</w:t>
      </w:r>
      <w:proofErr w:type="spellEnd"/>
      <w:r>
        <w:rPr>
          <w:rFonts w:ascii="Times New Roman" w:eastAsia="仿宋" w:hAnsi="Times New Roman"/>
          <w:sz w:val="24"/>
          <w:szCs w:val="24"/>
        </w:rPr>
        <w:t xml:space="preserve"> Tan, tanweiqiang@qut.edu.cn</w:t>
      </w:r>
    </w:p>
    <w:p w14:paraId="762F1CC2" w14:textId="77777777" w:rsidR="007D55A4" w:rsidRDefault="007D55A4">
      <w:pPr>
        <w:snapToGrid/>
        <w:ind w:firstLineChars="750" w:firstLine="1800"/>
        <w:rPr>
          <w:rFonts w:ascii="Times New Roman" w:eastAsia="仿宋" w:hAnsi="Times New Roman"/>
          <w:sz w:val="24"/>
          <w:szCs w:val="24"/>
        </w:rPr>
        <w:sectPr w:rsidR="007D55A4">
          <w:footerReference w:type="default" r:id="rId9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086F3B89" w14:textId="77777777" w:rsidR="007D55A4" w:rsidRDefault="00AD39E7">
      <w:pPr>
        <w:pStyle w:val="11"/>
        <w:spacing w:afterLines="60" w:after="187"/>
      </w:pPr>
      <w:r>
        <w:lastRenderedPageBreak/>
        <w:t>Figure captions</w:t>
      </w:r>
    </w:p>
    <w:p w14:paraId="726F6C7B" w14:textId="77777777" w:rsidR="00B97B8C" w:rsidRDefault="00AD39E7" w:rsidP="00B97B8C">
      <w:pPr>
        <w:autoSpaceDE w:val="0"/>
        <w:autoSpaceDN w:val="0"/>
        <w:spacing w:afterLines="50" w:after="156"/>
        <w:rPr>
          <w:color w:val="FF0000"/>
        </w:rPr>
      </w:pPr>
      <w:r w:rsidRPr="00B97B8C">
        <w:rPr>
          <w:rFonts w:ascii="Times New Roman" w:hAnsi="Times New Roman"/>
          <w:b/>
          <w:color w:val="FF0000"/>
          <w:sz w:val="24"/>
          <w:szCs w:val="24"/>
        </w:rPr>
        <w:t xml:space="preserve">Figure S1. </w:t>
      </w:r>
      <w:r w:rsidR="00B97B8C" w:rsidRPr="00B97B8C">
        <w:rPr>
          <w:rFonts w:ascii="Times New Roman" w:hAnsi="Times New Roman"/>
          <w:color w:val="FF0000"/>
          <w:sz w:val="24"/>
          <w:szCs w:val="24"/>
        </w:rPr>
        <w:t xml:space="preserve">Relationships between CMC and percentage of alkyl C, O-alkyl C, aromatic C and carbonyl C base on </w:t>
      </w:r>
      <w:r w:rsidR="00B97B8C" w:rsidRPr="002C35E2">
        <w:rPr>
          <w:rFonts w:ascii="Times New Roman" w:hAnsi="Times New Roman"/>
          <w:color w:val="FF0000"/>
          <w:sz w:val="24"/>
          <w:szCs w:val="24"/>
          <w:vertAlign w:val="superscript"/>
        </w:rPr>
        <w:t>13</w:t>
      </w:r>
      <w:r w:rsidR="00B97B8C" w:rsidRPr="00B97B8C">
        <w:rPr>
          <w:rFonts w:ascii="Times New Roman" w:hAnsi="Times New Roman"/>
          <w:color w:val="FF0000"/>
          <w:sz w:val="24"/>
          <w:szCs w:val="24"/>
        </w:rPr>
        <w:t>C NMR of HA and its sub-fractions: CMC vs. alkyl C (</w:t>
      </w:r>
      <w:r w:rsidR="00B97B8C" w:rsidRPr="00B97B8C">
        <w:rPr>
          <w:rFonts w:ascii="宋体" w:hAnsi="宋体" w:cs="宋体" w:hint="eastAsia"/>
          <w:color w:val="000000" w:themeColor="text1"/>
          <w:sz w:val="24"/>
          <w:szCs w:val="24"/>
        </w:rPr>
        <w:t>┄</w:t>
      </w:r>
      <w:r w:rsidR="00B97B8C" w:rsidRPr="00B97B8C">
        <w:rPr>
          <w:rFonts w:ascii="Times New Roman" w:hAnsi="Times New Roman"/>
          <w:color w:val="FF0000"/>
          <w:sz w:val="24"/>
          <w:szCs w:val="24"/>
        </w:rPr>
        <w:t>), CMC vs. O-alkyl C (</w:t>
      </w:r>
      <w:r w:rsidR="00B97B8C" w:rsidRPr="00B97B8C">
        <w:rPr>
          <w:rFonts w:ascii="宋体" w:hAnsi="宋体" w:cs="宋体" w:hint="eastAsia"/>
          <w:color w:val="FF0000"/>
          <w:sz w:val="24"/>
          <w:szCs w:val="24"/>
        </w:rPr>
        <w:t>┄</w:t>
      </w:r>
      <w:r w:rsidR="00B97B8C" w:rsidRPr="00B97B8C">
        <w:rPr>
          <w:rFonts w:ascii="Times New Roman" w:hAnsi="Times New Roman"/>
          <w:color w:val="FF0000"/>
          <w:sz w:val="24"/>
          <w:szCs w:val="24"/>
        </w:rPr>
        <w:t>), CMC vs. aromatic C (</w:t>
      </w:r>
      <w:r w:rsidR="00B97B8C" w:rsidRPr="00B97B8C">
        <w:rPr>
          <w:rFonts w:ascii="宋体" w:hAnsi="宋体" w:cs="宋体" w:hint="eastAsia"/>
          <w:color w:val="0000FF"/>
          <w:sz w:val="24"/>
          <w:szCs w:val="24"/>
        </w:rPr>
        <w:t>┄</w:t>
      </w:r>
      <w:r w:rsidR="00B97B8C" w:rsidRPr="00B97B8C">
        <w:rPr>
          <w:rFonts w:ascii="Times New Roman" w:hAnsi="Times New Roman"/>
          <w:color w:val="FF0000"/>
          <w:sz w:val="24"/>
          <w:szCs w:val="24"/>
        </w:rPr>
        <w:t>), CMC vs. carbonyl C (</w:t>
      </w:r>
      <w:r w:rsidR="00B97B8C" w:rsidRPr="00B97B8C">
        <w:rPr>
          <w:rFonts w:ascii="宋体" w:hAnsi="宋体" w:cs="宋体" w:hint="eastAsia"/>
          <w:color w:val="00B050"/>
          <w:sz w:val="24"/>
          <w:szCs w:val="24"/>
        </w:rPr>
        <w:t>┄</w:t>
      </w:r>
      <w:r w:rsidR="00B97B8C" w:rsidRPr="00B97B8C">
        <w:rPr>
          <w:rFonts w:ascii="Times New Roman" w:hAnsi="Times New Roman"/>
          <w:color w:val="FF0000"/>
          <w:sz w:val="24"/>
          <w:szCs w:val="24"/>
        </w:rPr>
        <w:t>).</w:t>
      </w:r>
    </w:p>
    <w:p w14:paraId="28BAB9F5" w14:textId="204AD8E4" w:rsidR="007D55A4" w:rsidRDefault="00AD39E7" w:rsidP="00B97B8C">
      <w:pPr>
        <w:autoSpaceDE w:val="0"/>
        <w:autoSpaceDN w:val="0"/>
        <w:spacing w:afterLines="50" w:after="156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Figure S2.</w:t>
      </w:r>
      <w:r>
        <w:rPr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Effect of concentration on Zeta potential for HA.</w:t>
      </w:r>
    </w:p>
    <w:p w14:paraId="1E7CA660" w14:textId="77777777" w:rsidR="007D55A4" w:rsidRDefault="00AD39E7">
      <w:pPr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Figure S3.</w:t>
      </w:r>
      <w:r>
        <w:rPr>
          <w:rFonts w:ascii="Times New Roman" w:hAnsi="Times New Roman"/>
          <w:sz w:val="24"/>
          <w:szCs w:val="24"/>
        </w:rPr>
        <w:t xml:space="preserve"> Intensity-base PSDs of HA and its sub-fractions (</w:t>
      </w:r>
      <w:r>
        <w:rPr>
          <w:rFonts w:ascii="Times New Roman" w:eastAsia="楷体" w:hAnsi="Times New Roman"/>
          <w:sz w:val="24"/>
          <w:szCs w:val="24"/>
        </w:rPr>
        <w:t>a. HA1</w:t>
      </w:r>
      <w:r>
        <w:rPr>
          <w:rFonts w:ascii="Times New Roman" w:eastAsia="楷体" w:hAnsi="Times New Roman" w:hint="eastAsia"/>
          <w:sz w:val="24"/>
          <w:szCs w:val="24"/>
        </w:rPr>
        <w:t>;</w:t>
      </w:r>
      <w:r>
        <w:rPr>
          <w:rFonts w:ascii="Times New Roman" w:eastAsia="楷体" w:hAnsi="Times New Roman"/>
          <w:sz w:val="24"/>
          <w:szCs w:val="24"/>
        </w:rPr>
        <w:t xml:space="preserve"> b. HA2; c. HA3; d. HA4; e. HA5; f. HA6; g. HA).</w:t>
      </w:r>
    </w:p>
    <w:p w14:paraId="2F077775" w14:textId="6046B299" w:rsidR="007D55A4" w:rsidRDefault="00AD39E7">
      <w:pPr>
        <w:rPr>
          <w:rFonts w:ascii="Times New Roman" w:eastAsia="楷体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Figure S4.</w:t>
      </w:r>
      <w:r>
        <w:rPr>
          <w:rFonts w:ascii="Times New Roman" w:hAnsi="Times New Roman"/>
          <w:sz w:val="24"/>
          <w:szCs w:val="24"/>
        </w:rPr>
        <w:t xml:space="preserve"> Volume-base PSDs of HA and its sub-fractions (</w:t>
      </w:r>
      <w:r>
        <w:rPr>
          <w:rFonts w:ascii="Times New Roman" w:eastAsia="楷体" w:hAnsi="Times New Roman"/>
          <w:sz w:val="24"/>
          <w:szCs w:val="24"/>
        </w:rPr>
        <w:t>a. HA1</w:t>
      </w:r>
      <w:r>
        <w:rPr>
          <w:rFonts w:ascii="Times New Roman" w:eastAsia="楷体" w:hAnsi="Times New Roman" w:hint="eastAsia"/>
          <w:sz w:val="24"/>
          <w:szCs w:val="24"/>
        </w:rPr>
        <w:t>;</w:t>
      </w:r>
      <w:r>
        <w:rPr>
          <w:rFonts w:ascii="Times New Roman" w:eastAsia="楷体" w:hAnsi="Times New Roman"/>
          <w:sz w:val="24"/>
          <w:szCs w:val="24"/>
        </w:rPr>
        <w:t xml:space="preserve"> b. HA2; c. HA3; d. HA4; e. HA5; f. HA6; g. HA).</w:t>
      </w:r>
    </w:p>
    <w:p w14:paraId="121AD78E" w14:textId="1CFD25D4" w:rsidR="006F2F16" w:rsidRPr="006F2F16" w:rsidRDefault="006F2F16" w:rsidP="006F2F16">
      <w:pPr>
        <w:pStyle w:val="11"/>
        <w:spacing w:after="156"/>
        <w:rPr>
          <w:rFonts w:eastAsia="楷体"/>
          <w:lang w:bidi="en-US"/>
        </w:rPr>
      </w:pPr>
      <w:r w:rsidRPr="006F2F16">
        <w:rPr>
          <w:rFonts w:eastAsia="楷体"/>
          <w:lang w:bidi="en-US"/>
        </w:rPr>
        <w:t xml:space="preserve">Figure </w:t>
      </w:r>
      <w:r>
        <w:rPr>
          <w:rFonts w:eastAsia="楷体"/>
          <w:lang w:bidi="en-US"/>
        </w:rPr>
        <w:t>S</w:t>
      </w:r>
      <w:r w:rsidRPr="006F2F16">
        <w:rPr>
          <w:rFonts w:eastAsia="楷体"/>
          <w:lang w:bidi="en-US"/>
        </w:rPr>
        <w:t xml:space="preserve">5. </w:t>
      </w:r>
      <w:bookmarkStart w:id="0" w:name="_Hlk68797712"/>
      <w:r w:rsidRPr="006F2F16">
        <w:rPr>
          <w:rFonts w:eastAsia="楷体"/>
          <w:b w:val="0"/>
          <w:bCs/>
          <w:lang w:bidi="en-US"/>
        </w:rPr>
        <w:t>Gaussian peak distribution of Number PSDs for six HA sub-fractions at concentrations of 2000 mg·L</w:t>
      </w:r>
      <w:r w:rsidRPr="006F2F16">
        <w:rPr>
          <w:rFonts w:eastAsia="楷体"/>
          <w:b w:val="0"/>
          <w:bCs/>
          <w:vertAlign w:val="superscript"/>
          <w:lang w:bidi="en-US"/>
        </w:rPr>
        <w:t>-1</w:t>
      </w:r>
      <w:r w:rsidRPr="006F2F16">
        <w:rPr>
          <w:rFonts w:eastAsia="楷体"/>
          <w:b w:val="0"/>
          <w:bCs/>
          <w:lang w:bidi="en-US"/>
        </w:rPr>
        <w:t xml:space="preserve">, pH = 6.86 </w:t>
      </w:r>
      <w:bookmarkEnd w:id="0"/>
      <w:r w:rsidRPr="006F2F16">
        <w:rPr>
          <w:rFonts w:eastAsia="楷体"/>
          <w:b w:val="0"/>
          <w:bCs/>
          <w:lang w:bidi="en-US"/>
        </w:rPr>
        <w:t xml:space="preserve"> (</w:t>
      </w:r>
      <w:r w:rsidRPr="006F2F16">
        <w:rPr>
          <w:rFonts w:eastAsia="楷体" w:hint="eastAsia"/>
          <w:b w:val="0"/>
          <w:bCs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HA1; </w:t>
      </w:r>
      <w:r w:rsidRPr="006F2F16">
        <w:rPr>
          <w:rFonts w:eastAsia="楷体" w:hint="eastAsia"/>
          <w:b w:val="0"/>
          <w:bCs/>
          <w:color w:val="FF0000"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HA2; </w:t>
      </w:r>
      <w:r w:rsidRPr="006F2F16">
        <w:rPr>
          <w:rFonts w:eastAsia="楷体" w:hint="eastAsia"/>
          <w:b w:val="0"/>
          <w:bCs/>
          <w:color w:val="00FF00"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HA3; </w:t>
      </w:r>
      <w:r w:rsidRPr="006F2F16">
        <w:rPr>
          <w:rFonts w:eastAsia="楷体" w:hint="eastAsia"/>
          <w:b w:val="0"/>
          <w:bCs/>
          <w:color w:val="0000FF"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HA4; </w:t>
      </w:r>
      <w:r w:rsidRPr="006F2F16">
        <w:rPr>
          <w:rFonts w:eastAsia="楷体" w:hint="eastAsia"/>
          <w:b w:val="0"/>
          <w:bCs/>
          <w:color w:val="00FFFF"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HA5; </w:t>
      </w:r>
      <w:r w:rsidRPr="006F2F16">
        <w:rPr>
          <w:rFonts w:eastAsia="楷体" w:hint="eastAsia"/>
          <w:b w:val="0"/>
          <w:bCs/>
          <w:color w:val="FF00FF"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HA6).</w:t>
      </w:r>
    </w:p>
    <w:p w14:paraId="4C7EA163" w14:textId="2ACC2353" w:rsidR="007D55A4" w:rsidRDefault="00AD39E7">
      <w:pPr>
        <w:pStyle w:val="11"/>
        <w:spacing w:after="156"/>
      </w:pPr>
      <w:r>
        <w:t>Table captions</w:t>
      </w:r>
    </w:p>
    <w:p w14:paraId="310243A9" w14:textId="77777777" w:rsidR="007D55A4" w:rsidRDefault="00AD39E7">
      <w:pPr>
        <w:topLinePunct/>
        <w:adjustRightInd w:val="0"/>
        <w:spacing w:afterLines="60" w:after="187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Table S1. </w:t>
      </w:r>
      <w:r>
        <w:rPr>
          <w:rFonts w:ascii="Times New Roman" w:hAnsi="Times New Roman"/>
          <w:color w:val="000000"/>
          <w:sz w:val="24"/>
          <w:szCs w:val="24"/>
        </w:rPr>
        <w:t>Multiple linear equations obtained by previous researchers.</w:t>
      </w:r>
    </w:p>
    <w:p w14:paraId="3EEA6510" w14:textId="77777777" w:rsidR="007D55A4" w:rsidRDefault="007D55A4">
      <w:pPr>
        <w:snapToGrid/>
        <w:rPr>
          <w:rFonts w:ascii="Times New Roman" w:eastAsia="仿宋" w:hAnsi="Times New Roman"/>
          <w:sz w:val="24"/>
          <w:szCs w:val="24"/>
        </w:rPr>
        <w:sectPr w:rsidR="007D55A4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4133F945" w14:textId="77777777" w:rsidR="007D55A4" w:rsidRDefault="007D55A4">
      <w:pPr>
        <w:snapToGrid/>
        <w:rPr>
          <w:rFonts w:ascii="Times New Roman" w:eastAsia="仿宋" w:hAnsi="Times New Roman"/>
          <w:sz w:val="24"/>
          <w:szCs w:val="24"/>
        </w:rPr>
      </w:pPr>
    </w:p>
    <w:p w14:paraId="01EE9979" w14:textId="5495E3BC" w:rsidR="007D55A4" w:rsidRDefault="00B97B8C">
      <w:pPr>
        <w:snapToGrid/>
        <w:jc w:val="center"/>
        <w:rPr>
          <w:rFonts w:ascii="Times New Roman" w:eastAsia="仿宋" w:hAnsi="Times New Roman"/>
          <w:sz w:val="24"/>
          <w:szCs w:val="24"/>
        </w:rPr>
      </w:pPr>
      <w:r w:rsidRPr="006758DC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154E8D19" wp14:editId="0187BDD8">
            <wp:extent cx="4388400" cy="306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4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25C6C" w14:textId="2DDFAE6B" w:rsidR="007D55A4" w:rsidRDefault="00AD39E7">
      <w:pPr>
        <w:pStyle w:val="af3"/>
        <w:spacing w:after="156"/>
        <w:ind w:firstLineChars="0" w:firstLine="0"/>
        <w:jc w:val="left"/>
      </w:pPr>
      <w:r w:rsidRPr="00B97B8C">
        <w:rPr>
          <w:b/>
          <w:color w:val="FF0000"/>
        </w:rPr>
        <w:t>Figure S1.</w:t>
      </w:r>
      <w:r w:rsidRPr="00B97B8C">
        <w:rPr>
          <w:color w:val="FF0000"/>
        </w:rPr>
        <w:t xml:space="preserve"> </w:t>
      </w:r>
      <w:r w:rsidR="00B97B8C" w:rsidRPr="00B97B8C">
        <w:rPr>
          <w:rFonts w:hint="eastAsia"/>
          <w:color w:val="FF0000"/>
        </w:rPr>
        <w:t xml:space="preserve">Relationships between CMC and percentage of alkyl C, O-alkyl C, aromatic C and carbonyl C base on </w:t>
      </w:r>
      <w:r w:rsidR="00B97B8C" w:rsidRPr="00B97B8C">
        <w:rPr>
          <w:rFonts w:hint="eastAsia"/>
          <w:color w:val="FF0000"/>
          <w:vertAlign w:val="superscript"/>
        </w:rPr>
        <w:t>13</w:t>
      </w:r>
      <w:r w:rsidR="00B97B8C" w:rsidRPr="00B97B8C">
        <w:rPr>
          <w:rFonts w:hint="eastAsia"/>
          <w:color w:val="FF0000"/>
        </w:rPr>
        <w:t>C NMR of HA and its sub-fractions: CMC vs. alkyl C (</w:t>
      </w:r>
      <w:r w:rsidR="00B97B8C" w:rsidRPr="00B97B8C">
        <w:rPr>
          <w:rFonts w:hint="eastAsia"/>
          <w:color w:val="000000" w:themeColor="text1"/>
        </w:rPr>
        <w:t>┄</w:t>
      </w:r>
      <w:r w:rsidR="00B97B8C" w:rsidRPr="00B97B8C">
        <w:rPr>
          <w:rFonts w:hint="eastAsia"/>
          <w:color w:val="FF0000"/>
        </w:rPr>
        <w:t>), CMC vs. O-alkyl C (</w:t>
      </w:r>
      <w:r w:rsidR="00B97B8C" w:rsidRPr="00B97B8C">
        <w:rPr>
          <w:rFonts w:hint="eastAsia"/>
          <w:color w:val="FF0000"/>
        </w:rPr>
        <w:t>┄</w:t>
      </w:r>
      <w:r w:rsidR="00B97B8C" w:rsidRPr="00B97B8C">
        <w:rPr>
          <w:rFonts w:hint="eastAsia"/>
          <w:color w:val="FF0000"/>
        </w:rPr>
        <w:t>), CMC vs. aromatic C (</w:t>
      </w:r>
      <w:r w:rsidR="00B97B8C" w:rsidRPr="00B97B8C">
        <w:rPr>
          <w:rFonts w:hint="eastAsia"/>
          <w:color w:val="0000FF"/>
        </w:rPr>
        <w:t>┄</w:t>
      </w:r>
      <w:r w:rsidR="00B97B8C" w:rsidRPr="00B97B8C">
        <w:rPr>
          <w:rFonts w:hint="eastAsia"/>
          <w:color w:val="FF0000"/>
        </w:rPr>
        <w:t>), CMC vs. carbonyl C (</w:t>
      </w:r>
      <w:r w:rsidR="00B97B8C" w:rsidRPr="00B97B8C">
        <w:rPr>
          <w:rFonts w:hint="eastAsia"/>
          <w:color w:val="00B050"/>
        </w:rPr>
        <w:t>┄</w:t>
      </w:r>
      <w:r w:rsidR="00B97B8C" w:rsidRPr="00B97B8C">
        <w:rPr>
          <w:rFonts w:hint="eastAsia"/>
          <w:color w:val="FF0000"/>
        </w:rPr>
        <w:t>).</w:t>
      </w:r>
    </w:p>
    <w:p w14:paraId="59206E2E" w14:textId="77777777" w:rsidR="007D55A4" w:rsidRDefault="007D55A4">
      <w:pPr>
        <w:sectPr w:rsidR="007D55A4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4C2FCE7A" w14:textId="77777777" w:rsidR="007D55A4" w:rsidRDefault="007D55A4">
      <w:pPr>
        <w:pStyle w:val="af3"/>
        <w:spacing w:after="156"/>
        <w:ind w:firstLineChars="0" w:firstLine="0"/>
      </w:pPr>
      <w:bookmarkStart w:id="1" w:name="_Hlk66407379"/>
    </w:p>
    <w:p w14:paraId="6110EA25" w14:textId="77777777" w:rsidR="007D55A4" w:rsidRDefault="00AD39E7">
      <w:pPr>
        <w:pStyle w:val="af3"/>
        <w:spacing w:after="156"/>
        <w:ind w:firstLine="480"/>
      </w:pPr>
      <w:r>
        <w:rPr>
          <w:noProof/>
        </w:rPr>
        <w:drawing>
          <wp:inline distT="0" distB="0" distL="0" distR="0" wp14:anchorId="00B0734A" wp14:editId="0C438B85">
            <wp:extent cx="5274310" cy="3684270"/>
            <wp:effectExtent l="0" t="0" r="254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386C0" w14:textId="77777777" w:rsidR="007D55A4" w:rsidRDefault="00AD39E7">
      <w:pPr>
        <w:pStyle w:val="af3"/>
        <w:spacing w:after="156"/>
        <w:ind w:firstLineChars="0" w:firstLine="0"/>
        <w:jc w:val="center"/>
      </w:pPr>
      <w:r>
        <w:rPr>
          <w:b/>
          <w:bCs/>
        </w:rPr>
        <w:t>Figure S2.</w:t>
      </w:r>
      <w:r>
        <w:t xml:space="preserve"> Effect of concentration on Zeta potential for HA.</w:t>
      </w:r>
      <w:bookmarkEnd w:id="1"/>
      <w:r>
        <w:br w:type="page"/>
      </w:r>
    </w:p>
    <w:p w14:paraId="79855082" w14:textId="77777777" w:rsidR="007D55A4" w:rsidRDefault="00AD39E7">
      <w:pPr>
        <w:pStyle w:val="af3"/>
        <w:spacing w:after="156"/>
        <w:ind w:firstLineChars="0" w:firstLine="0"/>
        <w:jc w:val="center"/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64C122F" wp14:editId="7F62622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29175" cy="75819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E867D" w14:textId="77777777" w:rsidR="007D55A4" w:rsidRDefault="007D55A4">
      <w:pPr>
        <w:pStyle w:val="af3"/>
        <w:spacing w:after="156"/>
        <w:ind w:firstLineChars="0" w:firstLine="0"/>
        <w:jc w:val="center"/>
      </w:pPr>
    </w:p>
    <w:p w14:paraId="4D2A153E" w14:textId="77777777" w:rsidR="007D55A4" w:rsidRDefault="007D55A4">
      <w:pPr>
        <w:pStyle w:val="af3"/>
        <w:spacing w:after="156"/>
        <w:ind w:firstLineChars="0" w:firstLine="0"/>
      </w:pPr>
    </w:p>
    <w:p w14:paraId="627DCF53" w14:textId="77777777" w:rsidR="007D55A4" w:rsidRDefault="007D55A4">
      <w:pPr>
        <w:pStyle w:val="af3"/>
        <w:spacing w:after="156"/>
        <w:ind w:firstLineChars="0" w:firstLine="0"/>
      </w:pPr>
    </w:p>
    <w:p w14:paraId="0F87A143" w14:textId="77777777" w:rsidR="007D55A4" w:rsidRDefault="007D55A4">
      <w:pPr>
        <w:pStyle w:val="af3"/>
        <w:spacing w:after="156"/>
        <w:ind w:firstLineChars="0" w:firstLine="0"/>
      </w:pPr>
    </w:p>
    <w:p w14:paraId="61422F5A" w14:textId="77777777" w:rsidR="007D55A4" w:rsidRDefault="007D55A4">
      <w:pPr>
        <w:pStyle w:val="af3"/>
        <w:spacing w:after="156"/>
        <w:ind w:firstLineChars="0" w:firstLine="0"/>
      </w:pPr>
    </w:p>
    <w:p w14:paraId="431F6962" w14:textId="77777777" w:rsidR="007D55A4" w:rsidRDefault="007D55A4">
      <w:pPr>
        <w:pStyle w:val="af3"/>
        <w:spacing w:after="156"/>
        <w:ind w:firstLineChars="0" w:firstLine="0"/>
      </w:pPr>
    </w:p>
    <w:p w14:paraId="271ABEB4" w14:textId="77777777" w:rsidR="007D55A4" w:rsidRDefault="007D55A4">
      <w:pPr>
        <w:pStyle w:val="af3"/>
        <w:spacing w:after="156"/>
        <w:ind w:firstLineChars="0" w:firstLine="0"/>
      </w:pPr>
    </w:p>
    <w:p w14:paraId="4812BAA9" w14:textId="77777777" w:rsidR="007D55A4" w:rsidRDefault="007D55A4">
      <w:pPr>
        <w:pStyle w:val="af3"/>
        <w:spacing w:after="156"/>
        <w:ind w:firstLineChars="0" w:firstLine="0"/>
      </w:pPr>
    </w:p>
    <w:p w14:paraId="118FB2E0" w14:textId="77777777" w:rsidR="007D55A4" w:rsidRDefault="007D55A4">
      <w:pPr>
        <w:pStyle w:val="af3"/>
        <w:spacing w:after="156"/>
        <w:ind w:firstLineChars="0" w:firstLine="0"/>
      </w:pPr>
    </w:p>
    <w:p w14:paraId="50CDE7CF" w14:textId="77777777" w:rsidR="007D55A4" w:rsidRDefault="007D55A4">
      <w:pPr>
        <w:pStyle w:val="af3"/>
        <w:spacing w:after="156"/>
        <w:ind w:firstLineChars="0" w:firstLine="0"/>
      </w:pPr>
    </w:p>
    <w:p w14:paraId="0642BF07" w14:textId="77777777" w:rsidR="007D55A4" w:rsidRDefault="007D55A4">
      <w:pPr>
        <w:pStyle w:val="af3"/>
        <w:spacing w:after="156"/>
        <w:ind w:firstLineChars="0" w:firstLine="0"/>
      </w:pPr>
    </w:p>
    <w:p w14:paraId="49A72651" w14:textId="77777777" w:rsidR="007D55A4" w:rsidRDefault="007D55A4">
      <w:pPr>
        <w:pStyle w:val="af3"/>
        <w:spacing w:after="156"/>
        <w:ind w:firstLineChars="0" w:firstLine="0"/>
      </w:pPr>
    </w:p>
    <w:p w14:paraId="2C75C2CD" w14:textId="77777777" w:rsidR="007D55A4" w:rsidRDefault="007D55A4">
      <w:pPr>
        <w:pStyle w:val="af3"/>
        <w:spacing w:after="156"/>
        <w:ind w:firstLineChars="0" w:firstLine="0"/>
      </w:pPr>
    </w:p>
    <w:p w14:paraId="3CBEEFFD" w14:textId="77777777" w:rsidR="007D55A4" w:rsidRDefault="007D55A4">
      <w:pPr>
        <w:pStyle w:val="af3"/>
        <w:spacing w:after="156"/>
        <w:ind w:firstLineChars="0" w:firstLine="0"/>
      </w:pPr>
    </w:p>
    <w:p w14:paraId="04099BA0" w14:textId="77777777" w:rsidR="007D55A4" w:rsidRDefault="007D55A4">
      <w:pPr>
        <w:pStyle w:val="af3"/>
        <w:spacing w:after="156"/>
        <w:ind w:firstLineChars="0" w:firstLine="0"/>
      </w:pPr>
    </w:p>
    <w:p w14:paraId="7FA3ED03" w14:textId="77777777" w:rsidR="007D55A4" w:rsidRDefault="007D55A4">
      <w:pPr>
        <w:pStyle w:val="af3"/>
        <w:spacing w:after="156"/>
        <w:ind w:firstLineChars="0" w:firstLine="0"/>
      </w:pPr>
    </w:p>
    <w:p w14:paraId="4EC88C84" w14:textId="77777777" w:rsidR="007D55A4" w:rsidRDefault="007D55A4">
      <w:pPr>
        <w:pStyle w:val="af3"/>
        <w:spacing w:after="156"/>
        <w:ind w:firstLineChars="0" w:firstLine="0"/>
      </w:pPr>
    </w:p>
    <w:p w14:paraId="7EC38AAD" w14:textId="77777777" w:rsidR="007D55A4" w:rsidRDefault="007D55A4">
      <w:pPr>
        <w:pStyle w:val="af3"/>
        <w:spacing w:after="156"/>
        <w:ind w:firstLineChars="0" w:firstLine="0"/>
      </w:pPr>
    </w:p>
    <w:p w14:paraId="2EAC102D" w14:textId="77777777" w:rsidR="007D55A4" w:rsidRDefault="00AD39E7">
      <w:pPr>
        <w:spacing w:beforeLines="165" w:before="5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Figure S3.</w:t>
      </w:r>
      <w:r>
        <w:rPr>
          <w:rFonts w:ascii="Times New Roman" w:hAnsi="Times New Roman"/>
          <w:sz w:val="24"/>
          <w:szCs w:val="24"/>
        </w:rPr>
        <w:t xml:space="preserve"> Intensity-base PSDs of HA and its sub-fractions (</w:t>
      </w:r>
      <w:r>
        <w:rPr>
          <w:rFonts w:ascii="Times New Roman" w:eastAsia="楷体" w:hAnsi="Times New Roman"/>
          <w:sz w:val="24"/>
          <w:szCs w:val="24"/>
        </w:rPr>
        <w:t>a. HA1</w:t>
      </w:r>
      <w:r>
        <w:rPr>
          <w:rFonts w:ascii="Times New Roman" w:eastAsia="楷体" w:hAnsi="Times New Roman" w:hint="eastAsia"/>
          <w:sz w:val="24"/>
          <w:szCs w:val="24"/>
        </w:rPr>
        <w:t>;</w:t>
      </w:r>
      <w:r>
        <w:rPr>
          <w:rFonts w:ascii="Times New Roman" w:eastAsia="楷体" w:hAnsi="Times New Roman"/>
          <w:sz w:val="24"/>
          <w:szCs w:val="24"/>
        </w:rPr>
        <w:t xml:space="preserve"> b. HA2; c. HA3; d. HA4; e. HA5; f. HA6; g. HA).</w:t>
      </w:r>
      <w:r>
        <w:br w:type="page"/>
      </w:r>
    </w:p>
    <w:p w14:paraId="19F5559B" w14:textId="77777777" w:rsidR="007D55A4" w:rsidRDefault="00AD39E7">
      <w:pPr>
        <w:pStyle w:val="af3"/>
        <w:spacing w:after="156"/>
        <w:ind w:firstLineChars="0" w:firstLine="0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C5BBEBA" wp14:editId="66B0DE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500" cy="753427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E1EB2E" w14:textId="77777777" w:rsidR="007D55A4" w:rsidRDefault="007D55A4">
      <w:pPr>
        <w:pStyle w:val="af3"/>
        <w:spacing w:after="156"/>
        <w:ind w:firstLineChars="0" w:firstLine="0"/>
      </w:pPr>
    </w:p>
    <w:p w14:paraId="3D0835AD" w14:textId="77777777" w:rsidR="007D55A4" w:rsidRDefault="007D55A4">
      <w:pPr>
        <w:pStyle w:val="af3"/>
        <w:spacing w:after="156"/>
        <w:ind w:firstLineChars="0" w:firstLine="0"/>
      </w:pPr>
    </w:p>
    <w:p w14:paraId="7F001253" w14:textId="77777777" w:rsidR="007D55A4" w:rsidRDefault="007D55A4">
      <w:pPr>
        <w:pStyle w:val="af3"/>
        <w:spacing w:after="156"/>
        <w:ind w:firstLineChars="0" w:firstLine="0"/>
      </w:pPr>
    </w:p>
    <w:p w14:paraId="40CBEA3F" w14:textId="77777777" w:rsidR="007D55A4" w:rsidRDefault="007D55A4">
      <w:pPr>
        <w:pStyle w:val="af3"/>
        <w:spacing w:after="156"/>
        <w:ind w:firstLineChars="0" w:firstLine="0"/>
      </w:pPr>
    </w:p>
    <w:p w14:paraId="69E64289" w14:textId="77777777" w:rsidR="007D55A4" w:rsidRDefault="007D55A4">
      <w:pPr>
        <w:pStyle w:val="af3"/>
        <w:spacing w:after="156"/>
        <w:ind w:firstLineChars="0" w:firstLine="0"/>
      </w:pPr>
    </w:p>
    <w:p w14:paraId="41935ED5" w14:textId="77777777" w:rsidR="007D55A4" w:rsidRDefault="007D55A4">
      <w:pPr>
        <w:pStyle w:val="af3"/>
        <w:spacing w:after="156"/>
        <w:ind w:firstLineChars="0" w:firstLine="0"/>
      </w:pPr>
    </w:p>
    <w:p w14:paraId="4DA9DBC8" w14:textId="77777777" w:rsidR="007D55A4" w:rsidRDefault="007D55A4">
      <w:pPr>
        <w:pStyle w:val="af3"/>
        <w:spacing w:after="156"/>
        <w:ind w:firstLineChars="0" w:firstLine="0"/>
      </w:pPr>
    </w:p>
    <w:p w14:paraId="08616FA9" w14:textId="77777777" w:rsidR="007D55A4" w:rsidRDefault="007D55A4">
      <w:pPr>
        <w:pStyle w:val="af3"/>
        <w:spacing w:after="156"/>
        <w:ind w:firstLineChars="0" w:firstLine="0"/>
      </w:pPr>
    </w:p>
    <w:p w14:paraId="1D055E5E" w14:textId="77777777" w:rsidR="007D55A4" w:rsidRDefault="007D55A4">
      <w:pPr>
        <w:pStyle w:val="af3"/>
        <w:spacing w:after="156"/>
        <w:ind w:firstLineChars="0" w:firstLine="0"/>
      </w:pPr>
    </w:p>
    <w:p w14:paraId="720209EC" w14:textId="77777777" w:rsidR="007D55A4" w:rsidRDefault="007D55A4">
      <w:pPr>
        <w:pStyle w:val="af3"/>
        <w:spacing w:after="156"/>
        <w:ind w:firstLineChars="0" w:firstLine="0"/>
      </w:pPr>
    </w:p>
    <w:p w14:paraId="53439167" w14:textId="77777777" w:rsidR="007D55A4" w:rsidRDefault="007D55A4">
      <w:pPr>
        <w:pStyle w:val="af3"/>
        <w:spacing w:after="156"/>
        <w:ind w:firstLineChars="0" w:firstLine="0"/>
      </w:pPr>
    </w:p>
    <w:p w14:paraId="622E0132" w14:textId="77777777" w:rsidR="007D55A4" w:rsidRDefault="007D55A4">
      <w:pPr>
        <w:pStyle w:val="af3"/>
        <w:spacing w:after="156"/>
        <w:ind w:firstLineChars="0" w:firstLine="0"/>
      </w:pPr>
    </w:p>
    <w:p w14:paraId="19F0C0C5" w14:textId="77777777" w:rsidR="007D55A4" w:rsidRDefault="007D55A4">
      <w:pPr>
        <w:pStyle w:val="af3"/>
        <w:spacing w:after="156"/>
        <w:ind w:firstLineChars="0" w:firstLine="0"/>
      </w:pPr>
    </w:p>
    <w:p w14:paraId="442004BB" w14:textId="77777777" w:rsidR="007D55A4" w:rsidRDefault="007D55A4">
      <w:pPr>
        <w:pStyle w:val="af3"/>
        <w:spacing w:after="156"/>
        <w:ind w:firstLineChars="0" w:firstLine="0"/>
      </w:pPr>
    </w:p>
    <w:p w14:paraId="1B62587F" w14:textId="77777777" w:rsidR="007D55A4" w:rsidRDefault="007D55A4">
      <w:pPr>
        <w:pStyle w:val="af3"/>
        <w:spacing w:after="156"/>
        <w:ind w:firstLineChars="0" w:firstLine="0"/>
      </w:pPr>
    </w:p>
    <w:p w14:paraId="26E9BC75" w14:textId="77777777" w:rsidR="007D55A4" w:rsidRDefault="007D55A4">
      <w:pPr>
        <w:pStyle w:val="af3"/>
        <w:spacing w:after="156"/>
        <w:ind w:firstLineChars="0" w:firstLine="0"/>
      </w:pPr>
    </w:p>
    <w:p w14:paraId="6FEF9072" w14:textId="77777777" w:rsidR="007D55A4" w:rsidRDefault="007D55A4">
      <w:pPr>
        <w:pStyle w:val="af3"/>
        <w:spacing w:after="156"/>
        <w:ind w:firstLineChars="0" w:firstLine="0"/>
      </w:pPr>
    </w:p>
    <w:p w14:paraId="54854B3E" w14:textId="77777777" w:rsidR="007D55A4" w:rsidRDefault="007D55A4">
      <w:pPr>
        <w:pStyle w:val="af3"/>
        <w:spacing w:after="156"/>
        <w:ind w:firstLineChars="0" w:firstLine="0"/>
      </w:pPr>
    </w:p>
    <w:p w14:paraId="18A45DAC" w14:textId="6869DCE2" w:rsidR="007D55A4" w:rsidRDefault="00AD39E7">
      <w:pPr>
        <w:pStyle w:val="af3"/>
        <w:spacing w:beforeLines="165" w:before="514" w:afterLines="0" w:after="60"/>
        <w:ind w:firstLineChars="0" w:firstLine="0"/>
        <w:rPr>
          <w:rFonts w:eastAsia="楷体"/>
        </w:rPr>
      </w:pPr>
      <w:r>
        <w:rPr>
          <w:b/>
          <w:bCs/>
        </w:rPr>
        <w:t>Figure S4.</w:t>
      </w:r>
      <w:r>
        <w:t xml:space="preserve"> Volume-base PSDs of HA and its sub-fractions (</w:t>
      </w:r>
      <w:r>
        <w:rPr>
          <w:rFonts w:eastAsia="楷体"/>
        </w:rPr>
        <w:t>a. HA1</w:t>
      </w:r>
      <w:r>
        <w:rPr>
          <w:rFonts w:eastAsia="楷体" w:hint="eastAsia"/>
        </w:rPr>
        <w:t>;</w:t>
      </w:r>
      <w:r>
        <w:rPr>
          <w:rFonts w:eastAsia="楷体"/>
        </w:rPr>
        <w:t xml:space="preserve"> b. HA2; c. HA3; d. HA4; e. HA5; f. HA6; g. HA).</w:t>
      </w:r>
    </w:p>
    <w:p w14:paraId="404BBA58" w14:textId="4D04B3DB" w:rsidR="006F2F16" w:rsidRDefault="006F2F16">
      <w:pPr>
        <w:pStyle w:val="af3"/>
        <w:spacing w:beforeLines="165" w:before="514" w:afterLines="0" w:after="60"/>
        <w:ind w:firstLineChars="0" w:firstLine="0"/>
        <w:rPr>
          <w:rFonts w:eastAsia="楷体"/>
        </w:rPr>
      </w:pPr>
    </w:p>
    <w:p w14:paraId="2CB5F70B" w14:textId="597CE581" w:rsidR="006F2F16" w:rsidRDefault="006F2F16" w:rsidP="006F2F16">
      <w:pPr>
        <w:pStyle w:val="af3"/>
        <w:spacing w:beforeLines="165" w:before="514" w:afterLines="0" w:after="60"/>
        <w:ind w:firstLineChars="0" w:firstLine="0"/>
        <w:jc w:val="center"/>
      </w:pPr>
      <w:r w:rsidRPr="00E370EE">
        <w:rPr>
          <w:b/>
          <w:noProof/>
          <w:color w:val="000000" w:themeColor="text1"/>
        </w:rPr>
        <w:drawing>
          <wp:inline distT="0" distB="0" distL="0" distR="0" wp14:anchorId="043A7A06" wp14:editId="5267EAD5">
            <wp:extent cx="2941983" cy="2251293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423" cy="227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D700A" w14:textId="0051E7C3" w:rsidR="006F2F16" w:rsidRPr="006F2F16" w:rsidRDefault="006F2F16" w:rsidP="006F2F16">
      <w:pPr>
        <w:pStyle w:val="11"/>
        <w:spacing w:after="156"/>
        <w:rPr>
          <w:rFonts w:eastAsia="楷体" w:hint="eastAsia"/>
          <w:lang w:bidi="en-US"/>
        </w:rPr>
      </w:pPr>
      <w:r w:rsidRPr="006F2F16">
        <w:rPr>
          <w:rFonts w:eastAsia="楷体"/>
          <w:lang w:bidi="en-US"/>
        </w:rPr>
        <w:t xml:space="preserve">Figure </w:t>
      </w:r>
      <w:r>
        <w:rPr>
          <w:rFonts w:eastAsia="楷体"/>
          <w:lang w:bidi="en-US"/>
        </w:rPr>
        <w:t>S</w:t>
      </w:r>
      <w:r w:rsidRPr="006F2F16">
        <w:rPr>
          <w:rFonts w:eastAsia="楷体"/>
          <w:lang w:bidi="en-US"/>
        </w:rPr>
        <w:t xml:space="preserve">5. </w:t>
      </w:r>
      <w:r w:rsidRPr="006F2F16">
        <w:rPr>
          <w:rFonts w:eastAsia="楷体"/>
          <w:b w:val="0"/>
          <w:bCs/>
          <w:lang w:bidi="en-US"/>
        </w:rPr>
        <w:t>Gaussian peak distribution of Number PSDs for six HA sub-fractions at concentrations of 2000 mg·L</w:t>
      </w:r>
      <w:r w:rsidRPr="006F2F16">
        <w:rPr>
          <w:rFonts w:eastAsia="楷体"/>
          <w:b w:val="0"/>
          <w:bCs/>
          <w:vertAlign w:val="superscript"/>
          <w:lang w:bidi="en-US"/>
        </w:rPr>
        <w:t>-1</w:t>
      </w:r>
      <w:r w:rsidRPr="006F2F16">
        <w:rPr>
          <w:rFonts w:eastAsia="楷体"/>
          <w:b w:val="0"/>
          <w:bCs/>
          <w:lang w:bidi="en-US"/>
        </w:rPr>
        <w:t>, pH = 6.86  (</w:t>
      </w:r>
      <w:r w:rsidRPr="006F2F16">
        <w:rPr>
          <w:rFonts w:eastAsia="楷体" w:hint="eastAsia"/>
          <w:b w:val="0"/>
          <w:bCs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HA1; </w:t>
      </w:r>
      <w:r w:rsidRPr="006F2F16">
        <w:rPr>
          <w:rFonts w:eastAsia="楷体" w:hint="eastAsia"/>
          <w:b w:val="0"/>
          <w:bCs/>
          <w:color w:val="FF0000"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HA2; </w:t>
      </w:r>
      <w:r w:rsidRPr="006F2F16">
        <w:rPr>
          <w:rFonts w:eastAsia="楷体" w:hint="eastAsia"/>
          <w:b w:val="0"/>
          <w:bCs/>
          <w:color w:val="00FF00"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HA3; </w:t>
      </w:r>
      <w:r w:rsidRPr="006F2F16">
        <w:rPr>
          <w:rFonts w:eastAsia="楷体" w:hint="eastAsia"/>
          <w:b w:val="0"/>
          <w:bCs/>
          <w:color w:val="0000FF"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HA4; </w:t>
      </w:r>
      <w:r w:rsidRPr="006F2F16">
        <w:rPr>
          <w:rFonts w:eastAsia="楷体" w:hint="eastAsia"/>
          <w:b w:val="0"/>
          <w:bCs/>
          <w:color w:val="00FFFF"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HA5; </w:t>
      </w:r>
      <w:r w:rsidRPr="006F2F16">
        <w:rPr>
          <w:rFonts w:eastAsia="楷体" w:hint="eastAsia"/>
          <w:b w:val="0"/>
          <w:bCs/>
          <w:color w:val="FF00FF"/>
          <w:lang w:bidi="en-US"/>
        </w:rPr>
        <w:t>■</w:t>
      </w:r>
      <w:r w:rsidRPr="006F2F16">
        <w:rPr>
          <w:rFonts w:eastAsia="楷体"/>
          <w:b w:val="0"/>
          <w:bCs/>
          <w:lang w:bidi="en-US"/>
        </w:rPr>
        <w:t xml:space="preserve"> HA6).</w:t>
      </w:r>
    </w:p>
    <w:p w14:paraId="74AA4248" w14:textId="77777777" w:rsidR="007D55A4" w:rsidRDefault="00AD39E7">
      <w:pPr>
        <w:pStyle w:val="af3"/>
        <w:spacing w:after="156"/>
        <w:ind w:firstLineChars="0" w:firstLine="0"/>
        <w:rPr>
          <w:highlight w:val="yellow"/>
        </w:rPr>
      </w:pPr>
      <w:r>
        <w:br w:type="page"/>
      </w:r>
    </w:p>
    <w:p w14:paraId="42BDCA34" w14:textId="77777777" w:rsidR="007D55A4" w:rsidRDefault="007D55A4">
      <w:pPr>
        <w:pStyle w:val="af3"/>
        <w:spacing w:after="156"/>
        <w:ind w:firstLineChars="0" w:firstLine="0"/>
        <w:sectPr w:rsidR="007D55A4"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06030516" w14:textId="77777777" w:rsidR="007D55A4" w:rsidRDefault="007D55A4">
      <w:pPr>
        <w:pStyle w:val="af3"/>
        <w:spacing w:after="156"/>
        <w:ind w:firstLineChars="0" w:firstLine="0"/>
      </w:pPr>
    </w:p>
    <w:p w14:paraId="3CE6C873" w14:textId="77777777" w:rsidR="007D55A4" w:rsidRDefault="00AD39E7">
      <w:pPr>
        <w:pStyle w:val="af3"/>
        <w:spacing w:after="156"/>
        <w:ind w:firstLineChars="0" w:firstLine="0"/>
        <w:jc w:val="center"/>
        <w:rPr>
          <w:b/>
          <w:bCs/>
        </w:rPr>
      </w:pPr>
      <w:r>
        <w:rPr>
          <w:b/>
          <w:bCs/>
        </w:rPr>
        <w:t xml:space="preserve">Table S1. </w:t>
      </w:r>
      <w:r>
        <w:t>Multiple linear equations obtained by previous researchers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7"/>
        <w:gridCol w:w="8299"/>
        <w:gridCol w:w="502"/>
        <w:gridCol w:w="832"/>
        <w:gridCol w:w="1114"/>
        <w:gridCol w:w="2694"/>
      </w:tblGrid>
      <w:tr w:rsidR="007D55A4" w14:paraId="11786ADF" w14:textId="77777777">
        <w:trPr>
          <w:trHeight w:val="276"/>
        </w:trPr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A4CB1A" w14:textId="77777777" w:rsidR="007D55A4" w:rsidRDefault="007D55A4">
            <w:pPr>
              <w:widowControl/>
              <w:snapToGrid/>
              <w:spacing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1090CA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Equation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F8865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083EC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81F10B" w14:textId="0AD4799D" w:rsidR="007D55A4" w:rsidRPr="00677624" w:rsidRDefault="00677624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677624">
              <w:rPr>
                <w:rFonts w:ascii="Times New Roman" w:eastAsia="等线" w:hAnsi="Times New Roman" w:hint="eastAsia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8F3A9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ef</w:t>
            </w:r>
          </w:p>
        </w:tc>
      </w:tr>
      <w:tr w:rsidR="007D55A4" w14:paraId="0808CAF2" w14:textId="77777777">
        <w:trPr>
          <w:trHeight w:val="276"/>
        </w:trPr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8A3A2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S1</w:t>
            </w:r>
          </w:p>
        </w:tc>
        <w:tc>
          <w:tcPr>
            <w:tcW w:w="29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A67A7" w14:textId="4701EA6F" w:rsidR="007D55A4" w:rsidRDefault="00AD39E7">
            <w:pPr>
              <w:widowControl/>
              <w:snapToGrid/>
              <w:spacing w:line="24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CMC = 24.6</w:t>
            </w:r>
            <w:r w:rsidR="003D221E">
              <w:t>–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0.189</w:t>
            </w:r>
            <w:r w:rsidR="003D221E">
              <w:t>×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alkyl-C</w:t>
            </w:r>
            <w:r w:rsidR="003D221E">
              <w:t>–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2.64(N+S)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7376D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62E8E" w14:textId="77777777" w:rsidR="007D55A4" w:rsidRDefault="00AD39E7">
            <w:pPr>
              <w:widowControl/>
              <w:wordWrap w:val="0"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0.770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4F53F" w14:textId="77777777" w:rsidR="007D55A4" w:rsidRDefault="00AD39E7">
            <w:pPr>
              <w:widowControl/>
              <w:snapToGrid/>
              <w:spacing w:line="240" w:lineRule="auto"/>
              <w:jc w:val="righ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&lt;0.1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114ECC" w14:textId="6430C9A9" w:rsidR="007D55A4" w:rsidRDefault="00893389">
            <w:pPr>
              <w:widowControl/>
              <w:snapToGrid/>
              <w:spacing w:line="240" w:lineRule="auto"/>
              <w:jc w:val="righ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noProof/>
                <w:color w:val="000000"/>
                <w:kern w:val="0"/>
                <w:sz w:val="24"/>
                <w:szCs w:val="24"/>
              </w:rPr>
              <w:t>Quadri, et al. [1]</w:t>
            </w:r>
          </w:p>
        </w:tc>
      </w:tr>
      <w:tr w:rsidR="007D55A4" w14:paraId="4A5B221D" w14:textId="77777777">
        <w:trPr>
          <w:trHeight w:val="276"/>
        </w:trPr>
        <w:tc>
          <w:tcPr>
            <w:tcW w:w="1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5E496E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S2</w:t>
            </w:r>
          </w:p>
        </w:tc>
        <w:tc>
          <w:tcPr>
            <w:tcW w:w="29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33DE8C" w14:textId="05312302" w:rsidR="007D55A4" w:rsidRDefault="00AD39E7">
            <w:pPr>
              <w:widowControl/>
              <w:snapToGrid/>
              <w:spacing w:line="24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CMC = 12,246</w:t>
            </w:r>
            <w:r w:rsidR="003D221E">
              <w:t>–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56.19</w:t>
            </w:r>
            <w:r w:rsidR="003D221E">
              <w:t>×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alkyl-C</w:t>
            </w:r>
            <w:r w:rsidR="003D221E">
              <w:t>–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0.532</w:t>
            </w:r>
            <w:r w:rsidR="003D221E">
              <w:t>×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MW</w:t>
            </w:r>
          </w:p>
        </w:tc>
        <w:tc>
          <w:tcPr>
            <w:tcW w:w="1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ED75AE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C85F5D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0.900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FF53BE" w14:textId="77777777" w:rsidR="007D55A4" w:rsidRDefault="00AD39E7">
            <w:pPr>
              <w:widowControl/>
              <w:snapToGrid/>
              <w:spacing w:line="240" w:lineRule="auto"/>
              <w:jc w:val="righ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&lt;0.05</w:t>
            </w:r>
          </w:p>
        </w:tc>
        <w:tc>
          <w:tcPr>
            <w:tcW w:w="965" w:type="pct"/>
            <w:tcBorders>
              <w:top w:val="nil"/>
              <w:left w:val="nil"/>
              <w:right w:val="nil"/>
            </w:tcBorders>
          </w:tcPr>
          <w:p w14:paraId="2B3C7B83" w14:textId="1BE01625" w:rsidR="007D55A4" w:rsidRDefault="00893389">
            <w:pPr>
              <w:widowControl/>
              <w:snapToGrid/>
              <w:spacing w:line="240" w:lineRule="auto"/>
              <w:jc w:val="righ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noProof/>
                <w:color w:val="000000"/>
                <w:kern w:val="0"/>
                <w:sz w:val="24"/>
                <w:szCs w:val="24"/>
              </w:rPr>
              <w:t>Adani, et al. [2]</w:t>
            </w:r>
          </w:p>
        </w:tc>
      </w:tr>
      <w:tr w:rsidR="007D55A4" w14:paraId="1D2D5C24" w14:textId="77777777">
        <w:trPr>
          <w:trHeight w:val="276"/>
        </w:trPr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87DFD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S3</w:t>
            </w:r>
          </w:p>
        </w:tc>
        <w:tc>
          <w:tcPr>
            <w:tcW w:w="29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62962" w14:textId="34D8E1B9" w:rsidR="007D55A4" w:rsidRDefault="00AD39E7">
            <w:pPr>
              <w:widowControl/>
              <w:snapToGrid/>
              <w:spacing w:line="24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CMC = 8565</w:t>
            </w:r>
            <w:r w:rsidR="003D221E">
              <w:t>–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(22.1</w:t>
            </w:r>
            <w:r w:rsidR="003D221E">
              <w:t>×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H)</w:t>
            </w:r>
            <w:r w:rsidR="003D221E">
              <w:t>–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(146</w:t>
            </w:r>
            <w:r w:rsidR="003D221E">
              <w:t>×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alkyl-C)</w:t>
            </w:r>
            <w:r w:rsidR="003D221E">
              <w:t>–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(176</w:t>
            </w:r>
            <w:r w:rsidR="003D221E">
              <w:t>×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aromatic-</w:t>
            </w:r>
            <w:r w:rsidR="00CF477E"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C)+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1877</w:t>
            </w:r>
            <w:r w:rsidR="003D221E">
              <w:t>×</w:t>
            </w: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HB/HI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E393E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D6D28B" w14:textId="77777777" w:rsidR="007D55A4" w:rsidRDefault="00AD39E7">
            <w:pPr>
              <w:widowControl/>
              <w:snapToGrid/>
              <w:spacing w:line="24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0.878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58193C" w14:textId="77777777" w:rsidR="007D55A4" w:rsidRDefault="00AD39E7">
            <w:pPr>
              <w:widowControl/>
              <w:snapToGrid/>
              <w:spacing w:line="240" w:lineRule="auto"/>
              <w:jc w:val="righ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  <w:t>&lt;0.0001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CB44A" w14:textId="3165D860" w:rsidR="007D55A4" w:rsidRDefault="00893389">
            <w:pPr>
              <w:widowControl/>
              <w:snapToGrid/>
              <w:spacing w:line="240" w:lineRule="auto"/>
              <w:jc w:val="right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/>
                <w:noProof/>
                <w:color w:val="000000"/>
                <w:kern w:val="0"/>
                <w:sz w:val="24"/>
                <w:szCs w:val="24"/>
              </w:rPr>
              <w:t>Salati, et al. [3]</w:t>
            </w:r>
          </w:p>
        </w:tc>
      </w:tr>
    </w:tbl>
    <w:p w14:paraId="7034A213" w14:textId="77777777" w:rsidR="007D55A4" w:rsidRDefault="007D55A4">
      <w:pPr>
        <w:pStyle w:val="af3"/>
        <w:spacing w:after="156"/>
        <w:ind w:firstLineChars="0" w:firstLine="0"/>
        <w:sectPr w:rsidR="007D55A4"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p w14:paraId="78EC29D3" w14:textId="22B76F50" w:rsidR="00260036" w:rsidRDefault="00AD39E7" w:rsidP="00893389">
      <w:pPr>
        <w:pStyle w:val="11"/>
        <w:spacing w:after="156"/>
      </w:pPr>
      <w:r>
        <w:rPr>
          <w:rFonts w:hint="eastAsia"/>
        </w:rPr>
        <w:lastRenderedPageBreak/>
        <w:t>R</w:t>
      </w:r>
      <w:r>
        <w:t>eferences</w:t>
      </w:r>
    </w:p>
    <w:p w14:paraId="21F68DE5" w14:textId="5C39326B" w:rsidR="00893389" w:rsidRPr="00893389" w:rsidRDefault="00893389" w:rsidP="00893389">
      <w:pPr>
        <w:pStyle w:val="EndNoteBibliography"/>
        <w:ind w:left="560" w:hanging="560"/>
        <w:rPr>
          <w:noProof/>
        </w:rPr>
      </w:pPr>
      <w:r w:rsidRPr="00893389">
        <w:rPr>
          <w:noProof/>
        </w:rPr>
        <w:t>1.</w:t>
      </w:r>
      <w:r w:rsidRPr="00893389">
        <w:rPr>
          <w:noProof/>
        </w:rPr>
        <w:tab/>
        <w:t xml:space="preserve">Quadri, G.; Chen, X.; Jawitz, J. W.; Tambone, F.; Genevini, P.; Faoro, F.; Adani, F., Biobased surfactant-like molecules from organic wastes: the effect of waste composition and composting process on surfactant properties and on the ability to solubilize tetrachloroethene (PCE). </w:t>
      </w:r>
      <w:r w:rsidRPr="00893389">
        <w:rPr>
          <w:i/>
          <w:noProof/>
        </w:rPr>
        <w:t xml:space="preserve">Environmental Science &amp; Technology </w:t>
      </w:r>
      <w:r w:rsidRPr="00893389">
        <w:rPr>
          <w:b/>
          <w:noProof/>
        </w:rPr>
        <w:t>2008,</w:t>
      </w:r>
      <w:r w:rsidRPr="00893389">
        <w:rPr>
          <w:noProof/>
        </w:rPr>
        <w:t xml:space="preserve"> </w:t>
      </w:r>
      <w:r w:rsidRPr="00893389">
        <w:rPr>
          <w:i/>
          <w:noProof/>
        </w:rPr>
        <w:t>42</w:t>
      </w:r>
      <w:r w:rsidRPr="00893389">
        <w:rPr>
          <w:noProof/>
        </w:rPr>
        <w:t xml:space="preserve">, (7), 2618-2623. </w:t>
      </w:r>
      <w:r w:rsidRPr="007C583C">
        <w:rPr>
          <w:noProof/>
        </w:rPr>
        <w:t>https://doi.org/10.1021/es702144t</w:t>
      </w:r>
      <w:r w:rsidRPr="00893389">
        <w:rPr>
          <w:noProof/>
        </w:rPr>
        <w:t>.</w:t>
      </w:r>
    </w:p>
    <w:p w14:paraId="4B46955F" w14:textId="094DE0AD" w:rsidR="00893389" w:rsidRPr="00893389" w:rsidRDefault="00893389" w:rsidP="00893389">
      <w:pPr>
        <w:pStyle w:val="EndNoteBibliography"/>
        <w:ind w:left="560" w:hanging="560"/>
        <w:rPr>
          <w:noProof/>
        </w:rPr>
      </w:pPr>
      <w:r w:rsidRPr="00893389">
        <w:rPr>
          <w:noProof/>
        </w:rPr>
        <w:t>2.</w:t>
      </w:r>
      <w:r w:rsidRPr="00893389">
        <w:rPr>
          <w:noProof/>
        </w:rPr>
        <w:tab/>
        <w:t xml:space="preserve">Adani, F.; Tambone, F.; Davoli, E.; Scaglia, B., Surfactant properties and tetrachloroethene (PCE) solubilisation ability of humic acid-like substances extracted from maize plant and from organic wastes: A comparative study. </w:t>
      </w:r>
      <w:r w:rsidRPr="00893389">
        <w:rPr>
          <w:i/>
          <w:noProof/>
        </w:rPr>
        <w:t xml:space="preserve">Chemosphere </w:t>
      </w:r>
      <w:r w:rsidRPr="00893389">
        <w:rPr>
          <w:b/>
          <w:noProof/>
        </w:rPr>
        <w:t>2010,</w:t>
      </w:r>
      <w:r w:rsidRPr="00893389">
        <w:rPr>
          <w:noProof/>
        </w:rPr>
        <w:t xml:space="preserve"> </w:t>
      </w:r>
      <w:r w:rsidRPr="00893389">
        <w:rPr>
          <w:i/>
          <w:noProof/>
        </w:rPr>
        <w:t>78</w:t>
      </w:r>
      <w:r w:rsidRPr="00893389">
        <w:rPr>
          <w:noProof/>
        </w:rPr>
        <w:t xml:space="preserve">, (8), 1017-1022. </w:t>
      </w:r>
      <w:r w:rsidRPr="007C583C">
        <w:rPr>
          <w:noProof/>
        </w:rPr>
        <w:t>https://doi.org/10.1016/j.chemosphere.2009.11.039</w:t>
      </w:r>
      <w:r w:rsidRPr="00893389">
        <w:rPr>
          <w:noProof/>
        </w:rPr>
        <w:t>.</w:t>
      </w:r>
    </w:p>
    <w:p w14:paraId="1F8B2ED3" w14:textId="4096E485" w:rsidR="00893389" w:rsidRPr="00893389" w:rsidRDefault="00893389" w:rsidP="00893389">
      <w:pPr>
        <w:pStyle w:val="EndNoteBibliography"/>
        <w:ind w:left="560" w:hanging="560"/>
        <w:rPr>
          <w:noProof/>
        </w:rPr>
      </w:pPr>
      <w:r w:rsidRPr="00893389">
        <w:rPr>
          <w:noProof/>
        </w:rPr>
        <w:t>3.</w:t>
      </w:r>
      <w:r w:rsidRPr="00893389">
        <w:rPr>
          <w:noProof/>
        </w:rPr>
        <w:tab/>
        <w:t xml:space="preserve">Salati, S.; Papa, G.; Adani, F., Perspective on the use of humic acids from biomass as natural surfactants for industrial applications. </w:t>
      </w:r>
      <w:r w:rsidRPr="00893389">
        <w:rPr>
          <w:i/>
          <w:noProof/>
        </w:rPr>
        <w:t xml:space="preserve">Biotechnology Advances </w:t>
      </w:r>
      <w:r w:rsidRPr="00893389">
        <w:rPr>
          <w:b/>
          <w:noProof/>
        </w:rPr>
        <w:t>2011,</w:t>
      </w:r>
      <w:r w:rsidRPr="00893389">
        <w:rPr>
          <w:noProof/>
        </w:rPr>
        <w:t xml:space="preserve"> </w:t>
      </w:r>
      <w:r w:rsidRPr="00893389">
        <w:rPr>
          <w:i/>
          <w:noProof/>
        </w:rPr>
        <w:t>29</w:t>
      </w:r>
      <w:r w:rsidRPr="00893389">
        <w:rPr>
          <w:noProof/>
        </w:rPr>
        <w:t xml:space="preserve">, (6), 913-22. </w:t>
      </w:r>
      <w:r w:rsidRPr="007C583C">
        <w:rPr>
          <w:noProof/>
        </w:rPr>
        <w:t>https://doi.org/10.1016/j.biotechadv.2011.07.012</w:t>
      </w:r>
      <w:r w:rsidRPr="00893389">
        <w:rPr>
          <w:noProof/>
        </w:rPr>
        <w:t>.</w:t>
      </w:r>
    </w:p>
    <w:p w14:paraId="38D52003" w14:textId="1593A54D" w:rsidR="007D55A4" w:rsidRDefault="007D55A4" w:rsidP="00B97B8C">
      <w:pPr>
        <w:pStyle w:val="EndNoteBibliography"/>
      </w:pPr>
    </w:p>
    <w:sectPr w:rsidR="007D55A4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1C70" w14:textId="77777777" w:rsidR="007200B6" w:rsidRDefault="007200B6">
      <w:pPr>
        <w:spacing w:line="240" w:lineRule="auto"/>
      </w:pPr>
      <w:r>
        <w:separator/>
      </w:r>
    </w:p>
  </w:endnote>
  <w:endnote w:type="continuationSeparator" w:id="0">
    <w:p w14:paraId="14FB3176" w14:textId="77777777" w:rsidR="007200B6" w:rsidRDefault="00720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854A" w14:textId="77777777" w:rsidR="007D55A4" w:rsidRDefault="00AD39E7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41</w:t>
    </w:r>
    <w:r>
      <w:rPr>
        <w:rFonts w:ascii="Times New Roman" w:hAnsi="Times New Roman"/>
      </w:rPr>
      <w:fldChar w:fldCharType="end"/>
    </w:r>
  </w:p>
  <w:p w14:paraId="25865102" w14:textId="77777777" w:rsidR="007D55A4" w:rsidRDefault="007D55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A372" w14:textId="77777777" w:rsidR="007200B6" w:rsidRDefault="007200B6">
      <w:pPr>
        <w:spacing w:line="240" w:lineRule="auto"/>
      </w:pPr>
      <w:r>
        <w:separator/>
      </w:r>
    </w:p>
  </w:footnote>
  <w:footnote w:type="continuationSeparator" w:id="0">
    <w:p w14:paraId="38ADB589" w14:textId="77777777" w:rsidR="007200B6" w:rsidRDefault="007200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A23B8"/>
    <w:multiLevelType w:val="multilevel"/>
    <w:tmpl w:val="3CEA23B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1703D8"/>
    <w:multiLevelType w:val="multilevel"/>
    <w:tmpl w:val="4B1703D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ustainability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565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s95vvx1rsvw6ews5050srdxv95fdfdwxtw&quot;&gt;My EndNote Library&lt;record-ids&gt;&lt;item&gt;2&lt;/item&gt;&lt;item&gt;69&lt;/item&gt;&lt;item&gt;73&lt;/item&gt;&lt;/record-ids&gt;&lt;/item&gt;&lt;/Libraries&gt;"/>
  </w:docVars>
  <w:rsids>
    <w:rsidRoot w:val="00464629"/>
    <w:rsid w:val="00004EAF"/>
    <w:rsid w:val="00006474"/>
    <w:rsid w:val="00007BFE"/>
    <w:rsid w:val="00012638"/>
    <w:rsid w:val="00012970"/>
    <w:rsid w:val="000130E8"/>
    <w:rsid w:val="00014714"/>
    <w:rsid w:val="000153A6"/>
    <w:rsid w:val="00015E01"/>
    <w:rsid w:val="000209AA"/>
    <w:rsid w:val="00023987"/>
    <w:rsid w:val="00023BF4"/>
    <w:rsid w:val="00024CEF"/>
    <w:rsid w:val="00026AB9"/>
    <w:rsid w:val="0003241B"/>
    <w:rsid w:val="00032D56"/>
    <w:rsid w:val="00036964"/>
    <w:rsid w:val="00037193"/>
    <w:rsid w:val="0004103C"/>
    <w:rsid w:val="000412D2"/>
    <w:rsid w:val="00044F37"/>
    <w:rsid w:val="00045C12"/>
    <w:rsid w:val="00050FC0"/>
    <w:rsid w:val="0005484F"/>
    <w:rsid w:val="00054D97"/>
    <w:rsid w:val="00055393"/>
    <w:rsid w:val="00055AEE"/>
    <w:rsid w:val="00056C2E"/>
    <w:rsid w:val="00062345"/>
    <w:rsid w:val="00064A0E"/>
    <w:rsid w:val="00065250"/>
    <w:rsid w:val="00065652"/>
    <w:rsid w:val="000661F2"/>
    <w:rsid w:val="00067237"/>
    <w:rsid w:val="00073592"/>
    <w:rsid w:val="000744BE"/>
    <w:rsid w:val="00074CD3"/>
    <w:rsid w:val="00075F77"/>
    <w:rsid w:val="00081CB4"/>
    <w:rsid w:val="00083521"/>
    <w:rsid w:val="00083D78"/>
    <w:rsid w:val="00091BB3"/>
    <w:rsid w:val="0009355B"/>
    <w:rsid w:val="00094596"/>
    <w:rsid w:val="00094BBC"/>
    <w:rsid w:val="000962B9"/>
    <w:rsid w:val="00097844"/>
    <w:rsid w:val="000A0AF4"/>
    <w:rsid w:val="000A0D7C"/>
    <w:rsid w:val="000A58C7"/>
    <w:rsid w:val="000A733F"/>
    <w:rsid w:val="000A7FF7"/>
    <w:rsid w:val="000B212E"/>
    <w:rsid w:val="000B3D30"/>
    <w:rsid w:val="000B58A3"/>
    <w:rsid w:val="000B59DF"/>
    <w:rsid w:val="000B617F"/>
    <w:rsid w:val="000B7CF0"/>
    <w:rsid w:val="000C07D3"/>
    <w:rsid w:val="000C11BE"/>
    <w:rsid w:val="000C2E0B"/>
    <w:rsid w:val="000C735C"/>
    <w:rsid w:val="000C7B58"/>
    <w:rsid w:val="000C7FAF"/>
    <w:rsid w:val="000D28F7"/>
    <w:rsid w:val="000D42F3"/>
    <w:rsid w:val="000E1638"/>
    <w:rsid w:val="000F00B5"/>
    <w:rsid w:val="000F00BC"/>
    <w:rsid w:val="000F01F9"/>
    <w:rsid w:val="000F1643"/>
    <w:rsid w:val="000F238A"/>
    <w:rsid w:val="00100DDD"/>
    <w:rsid w:val="00102312"/>
    <w:rsid w:val="00105DEF"/>
    <w:rsid w:val="001116A6"/>
    <w:rsid w:val="001132FD"/>
    <w:rsid w:val="00113D07"/>
    <w:rsid w:val="00114806"/>
    <w:rsid w:val="00114C2E"/>
    <w:rsid w:val="00117588"/>
    <w:rsid w:val="00117B60"/>
    <w:rsid w:val="00120134"/>
    <w:rsid w:val="00122E10"/>
    <w:rsid w:val="00126F5D"/>
    <w:rsid w:val="00127577"/>
    <w:rsid w:val="001277C4"/>
    <w:rsid w:val="00130F7B"/>
    <w:rsid w:val="00133E13"/>
    <w:rsid w:val="0013746B"/>
    <w:rsid w:val="00144119"/>
    <w:rsid w:val="00146345"/>
    <w:rsid w:val="00151184"/>
    <w:rsid w:val="00154932"/>
    <w:rsid w:val="00154F67"/>
    <w:rsid w:val="00156FDF"/>
    <w:rsid w:val="001604A6"/>
    <w:rsid w:val="0016086E"/>
    <w:rsid w:val="00160A74"/>
    <w:rsid w:val="001649A2"/>
    <w:rsid w:val="0016625C"/>
    <w:rsid w:val="0016645C"/>
    <w:rsid w:val="00174C70"/>
    <w:rsid w:val="00174F3A"/>
    <w:rsid w:val="0017584A"/>
    <w:rsid w:val="00176888"/>
    <w:rsid w:val="0017723C"/>
    <w:rsid w:val="00177B3D"/>
    <w:rsid w:val="0018245D"/>
    <w:rsid w:val="00182D13"/>
    <w:rsid w:val="001832D2"/>
    <w:rsid w:val="00183CA9"/>
    <w:rsid w:val="00184094"/>
    <w:rsid w:val="0018424D"/>
    <w:rsid w:val="0018479E"/>
    <w:rsid w:val="00187331"/>
    <w:rsid w:val="00194D25"/>
    <w:rsid w:val="001A1DE5"/>
    <w:rsid w:val="001A1F31"/>
    <w:rsid w:val="001A213D"/>
    <w:rsid w:val="001A393B"/>
    <w:rsid w:val="001A5114"/>
    <w:rsid w:val="001A7302"/>
    <w:rsid w:val="001A7D83"/>
    <w:rsid w:val="001B474F"/>
    <w:rsid w:val="001B62EE"/>
    <w:rsid w:val="001B7273"/>
    <w:rsid w:val="001C037C"/>
    <w:rsid w:val="001C13BE"/>
    <w:rsid w:val="001C1F14"/>
    <w:rsid w:val="001C53FA"/>
    <w:rsid w:val="001C71E4"/>
    <w:rsid w:val="001D00AC"/>
    <w:rsid w:val="001D1B98"/>
    <w:rsid w:val="001D3D61"/>
    <w:rsid w:val="001E45A8"/>
    <w:rsid w:val="001E4623"/>
    <w:rsid w:val="001E5BD8"/>
    <w:rsid w:val="001E643C"/>
    <w:rsid w:val="001E6A03"/>
    <w:rsid w:val="001F0C7C"/>
    <w:rsid w:val="001F0FE6"/>
    <w:rsid w:val="001F367F"/>
    <w:rsid w:val="001F78AB"/>
    <w:rsid w:val="001F7B0D"/>
    <w:rsid w:val="002033B3"/>
    <w:rsid w:val="00204587"/>
    <w:rsid w:val="002054BC"/>
    <w:rsid w:val="00206B42"/>
    <w:rsid w:val="00206C42"/>
    <w:rsid w:val="00210671"/>
    <w:rsid w:val="00214362"/>
    <w:rsid w:val="00215BCB"/>
    <w:rsid w:val="00216A9B"/>
    <w:rsid w:val="002200AC"/>
    <w:rsid w:val="00221495"/>
    <w:rsid w:val="002219EE"/>
    <w:rsid w:val="00221C8F"/>
    <w:rsid w:val="002224D2"/>
    <w:rsid w:val="00222FD2"/>
    <w:rsid w:val="00223A3C"/>
    <w:rsid w:val="002245FA"/>
    <w:rsid w:val="00227F95"/>
    <w:rsid w:val="0023059C"/>
    <w:rsid w:val="0023064B"/>
    <w:rsid w:val="0023556A"/>
    <w:rsid w:val="002369D5"/>
    <w:rsid w:val="00236B31"/>
    <w:rsid w:val="0023778B"/>
    <w:rsid w:val="002413E6"/>
    <w:rsid w:val="0024181B"/>
    <w:rsid w:val="002426B3"/>
    <w:rsid w:val="00243F00"/>
    <w:rsid w:val="00244F6E"/>
    <w:rsid w:val="00251539"/>
    <w:rsid w:val="00257682"/>
    <w:rsid w:val="00257827"/>
    <w:rsid w:val="00260036"/>
    <w:rsid w:val="00260BF3"/>
    <w:rsid w:val="00261AE7"/>
    <w:rsid w:val="00266BCC"/>
    <w:rsid w:val="00267143"/>
    <w:rsid w:val="0026787D"/>
    <w:rsid w:val="00267C34"/>
    <w:rsid w:val="00267E60"/>
    <w:rsid w:val="00274916"/>
    <w:rsid w:val="00277228"/>
    <w:rsid w:val="00282658"/>
    <w:rsid w:val="00282CA8"/>
    <w:rsid w:val="0028624E"/>
    <w:rsid w:val="00287D1F"/>
    <w:rsid w:val="002901E7"/>
    <w:rsid w:val="00292024"/>
    <w:rsid w:val="002946AD"/>
    <w:rsid w:val="00295F08"/>
    <w:rsid w:val="00296DCA"/>
    <w:rsid w:val="002A117C"/>
    <w:rsid w:val="002A2501"/>
    <w:rsid w:val="002A4B55"/>
    <w:rsid w:val="002A5A49"/>
    <w:rsid w:val="002A63E1"/>
    <w:rsid w:val="002B0FB1"/>
    <w:rsid w:val="002B36BA"/>
    <w:rsid w:val="002B3EAA"/>
    <w:rsid w:val="002C1F77"/>
    <w:rsid w:val="002C35E2"/>
    <w:rsid w:val="002C70C0"/>
    <w:rsid w:val="002D1FDD"/>
    <w:rsid w:val="002D2EC5"/>
    <w:rsid w:val="002D318C"/>
    <w:rsid w:val="002D5D1D"/>
    <w:rsid w:val="002E03ED"/>
    <w:rsid w:val="002E12F8"/>
    <w:rsid w:val="002E62D5"/>
    <w:rsid w:val="002F30EA"/>
    <w:rsid w:val="002F3405"/>
    <w:rsid w:val="002F4A24"/>
    <w:rsid w:val="002F7FC7"/>
    <w:rsid w:val="00300CB4"/>
    <w:rsid w:val="0030313F"/>
    <w:rsid w:val="00303AEB"/>
    <w:rsid w:val="003110B7"/>
    <w:rsid w:val="003117AD"/>
    <w:rsid w:val="00312842"/>
    <w:rsid w:val="003130B0"/>
    <w:rsid w:val="003142F0"/>
    <w:rsid w:val="003146F2"/>
    <w:rsid w:val="00316403"/>
    <w:rsid w:val="003177E0"/>
    <w:rsid w:val="00317B95"/>
    <w:rsid w:val="00320547"/>
    <w:rsid w:val="0032190A"/>
    <w:rsid w:val="00323759"/>
    <w:rsid w:val="00323B60"/>
    <w:rsid w:val="00324FC9"/>
    <w:rsid w:val="00325F18"/>
    <w:rsid w:val="00326F3A"/>
    <w:rsid w:val="003278E3"/>
    <w:rsid w:val="003311C8"/>
    <w:rsid w:val="00332073"/>
    <w:rsid w:val="003339B6"/>
    <w:rsid w:val="0033478E"/>
    <w:rsid w:val="00336A2C"/>
    <w:rsid w:val="003373B8"/>
    <w:rsid w:val="00337A26"/>
    <w:rsid w:val="00341620"/>
    <w:rsid w:val="0034265E"/>
    <w:rsid w:val="003432F2"/>
    <w:rsid w:val="00347AD9"/>
    <w:rsid w:val="00352B78"/>
    <w:rsid w:val="00353F1E"/>
    <w:rsid w:val="00354110"/>
    <w:rsid w:val="003550C6"/>
    <w:rsid w:val="003578E8"/>
    <w:rsid w:val="00357BE8"/>
    <w:rsid w:val="0036144D"/>
    <w:rsid w:val="00361D40"/>
    <w:rsid w:val="003629DB"/>
    <w:rsid w:val="00364C28"/>
    <w:rsid w:val="00367E59"/>
    <w:rsid w:val="00371398"/>
    <w:rsid w:val="00371B7D"/>
    <w:rsid w:val="003720A4"/>
    <w:rsid w:val="00377567"/>
    <w:rsid w:val="00377D2D"/>
    <w:rsid w:val="003816C8"/>
    <w:rsid w:val="00382654"/>
    <w:rsid w:val="00385C35"/>
    <w:rsid w:val="00387F34"/>
    <w:rsid w:val="00392E56"/>
    <w:rsid w:val="0039550A"/>
    <w:rsid w:val="00396BB7"/>
    <w:rsid w:val="003A0D12"/>
    <w:rsid w:val="003A2B61"/>
    <w:rsid w:val="003A2CC4"/>
    <w:rsid w:val="003B040C"/>
    <w:rsid w:val="003B0F88"/>
    <w:rsid w:val="003B37BD"/>
    <w:rsid w:val="003B41FD"/>
    <w:rsid w:val="003B5553"/>
    <w:rsid w:val="003C1389"/>
    <w:rsid w:val="003C4C12"/>
    <w:rsid w:val="003C7AE1"/>
    <w:rsid w:val="003C7D3D"/>
    <w:rsid w:val="003D1ED8"/>
    <w:rsid w:val="003D221E"/>
    <w:rsid w:val="003D4962"/>
    <w:rsid w:val="003D5745"/>
    <w:rsid w:val="003D57EE"/>
    <w:rsid w:val="003D68D9"/>
    <w:rsid w:val="003D728E"/>
    <w:rsid w:val="003E0229"/>
    <w:rsid w:val="003E170F"/>
    <w:rsid w:val="003E192C"/>
    <w:rsid w:val="003E4C0B"/>
    <w:rsid w:val="003E5270"/>
    <w:rsid w:val="003E52DE"/>
    <w:rsid w:val="003E61CE"/>
    <w:rsid w:val="003E6FBD"/>
    <w:rsid w:val="003F0466"/>
    <w:rsid w:val="003F0DA3"/>
    <w:rsid w:val="003F1AF0"/>
    <w:rsid w:val="003F550E"/>
    <w:rsid w:val="003F624A"/>
    <w:rsid w:val="003F6D38"/>
    <w:rsid w:val="004008DA"/>
    <w:rsid w:val="004045C4"/>
    <w:rsid w:val="004070DD"/>
    <w:rsid w:val="00410AC7"/>
    <w:rsid w:val="00411871"/>
    <w:rsid w:val="00416161"/>
    <w:rsid w:val="00416F72"/>
    <w:rsid w:val="00420458"/>
    <w:rsid w:val="004228FF"/>
    <w:rsid w:val="00422F48"/>
    <w:rsid w:val="004231B8"/>
    <w:rsid w:val="00423A2F"/>
    <w:rsid w:val="00425C1D"/>
    <w:rsid w:val="00426E69"/>
    <w:rsid w:val="00432064"/>
    <w:rsid w:val="0043345F"/>
    <w:rsid w:val="0044216C"/>
    <w:rsid w:val="00442703"/>
    <w:rsid w:val="00445FF1"/>
    <w:rsid w:val="00446324"/>
    <w:rsid w:val="004537E4"/>
    <w:rsid w:val="004600DD"/>
    <w:rsid w:val="00460A8F"/>
    <w:rsid w:val="00463A46"/>
    <w:rsid w:val="00464629"/>
    <w:rsid w:val="004664C7"/>
    <w:rsid w:val="00466A18"/>
    <w:rsid w:val="0047088F"/>
    <w:rsid w:val="00472B51"/>
    <w:rsid w:val="00472B86"/>
    <w:rsid w:val="00472F0A"/>
    <w:rsid w:val="00473609"/>
    <w:rsid w:val="00473EB6"/>
    <w:rsid w:val="00476DB4"/>
    <w:rsid w:val="00477115"/>
    <w:rsid w:val="00477F46"/>
    <w:rsid w:val="00481792"/>
    <w:rsid w:val="00484B78"/>
    <w:rsid w:val="004856D6"/>
    <w:rsid w:val="00487066"/>
    <w:rsid w:val="0048755F"/>
    <w:rsid w:val="004918FA"/>
    <w:rsid w:val="00492E65"/>
    <w:rsid w:val="0049643D"/>
    <w:rsid w:val="004B154C"/>
    <w:rsid w:val="004B27F8"/>
    <w:rsid w:val="004B44E5"/>
    <w:rsid w:val="004B4D61"/>
    <w:rsid w:val="004B5114"/>
    <w:rsid w:val="004B5B85"/>
    <w:rsid w:val="004C115D"/>
    <w:rsid w:val="004C12E5"/>
    <w:rsid w:val="004C5317"/>
    <w:rsid w:val="004C59C0"/>
    <w:rsid w:val="004C5BD5"/>
    <w:rsid w:val="004C630C"/>
    <w:rsid w:val="004C662A"/>
    <w:rsid w:val="004D1E97"/>
    <w:rsid w:val="004D4DF7"/>
    <w:rsid w:val="004D5D4D"/>
    <w:rsid w:val="004D6A13"/>
    <w:rsid w:val="004D7934"/>
    <w:rsid w:val="004E1789"/>
    <w:rsid w:val="004E20AD"/>
    <w:rsid w:val="004E687D"/>
    <w:rsid w:val="004E6A65"/>
    <w:rsid w:val="004F1E24"/>
    <w:rsid w:val="004F30C2"/>
    <w:rsid w:val="004F33BE"/>
    <w:rsid w:val="004F33E6"/>
    <w:rsid w:val="00500166"/>
    <w:rsid w:val="00504E1F"/>
    <w:rsid w:val="0050513F"/>
    <w:rsid w:val="00507EAD"/>
    <w:rsid w:val="005145E6"/>
    <w:rsid w:val="00516981"/>
    <w:rsid w:val="0051739E"/>
    <w:rsid w:val="005216EF"/>
    <w:rsid w:val="00521778"/>
    <w:rsid w:val="0052200B"/>
    <w:rsid w:val="005237E6"/>
    <w:rsid w:val="0052634C"/>
    <w:rsid w:val="00531694"/>
    <w:rsid w:val="00532DEA"/>
    <w:rsid w:val="0053469D"/>
    <w:rsid w:val="00534FB7"/>
    <w:rsid w:val="00536CD9"/>
    <w:rsid w:val="005433D7"/>
    <w:rsid w:val="005443D4"/>
    <w:rsid w:val="005460EF"/>
    <w:rsid w:val="00547DF4"/>
    <w:rsid w:val="00550DC5"/>
    <w:rsid w:val="005512B5"/>
    <w:rsid w:val="00553CC5"/>
    <w:rsid w:val="005556D0"/>
    <w:rsid w:val="00555CB0"/>
    <w:rsid w:val="0055740C"/>
    <w:rsid w:val="0055757D"/>
    <w:rsid w:val="005576FC"/>
    <w:rsid w:val="00562A18"/>
    <w:rsid w:val="00562B8D"/>
    <w:rsid w:val="00562D9E"/>
    <w:rsid w:val="00563A15"/>
    <w:rsid w:val="00564CE7"/>
    <w:rsid w:val="00571BAD"/>
    <w:rsid w:val="00573BB0"/>
    <w:rsid w:val="0058461F"/>
    <w:rsid w:val="0058483C"/>
    <w:rsid w:val="00584C6B"/>
    <w:rsid w:val="005857F3"/>
    <w:rsid w:val="00586EDA"/>
    <w:rsid w:val="00590BF3"/>
    <w:rsid w:val="00591D2B"/>
    <w:rsid w:val="005921A0"/>
    <w:rsid w:val="00592CBB"/>
    <w:rsid w:val="00594317"/>
    <w:rsid w:val="00597F14"/>
    <w:rsid w:val="005A0CE1"/>
    <w:rsid w:val="005A6A46"/>
    <w:rsid w:val="005A7840"/>
    <w:rsid w:val="005C560D"/>
    <w:rsid w:val="005C5FF8"/>
    <w:rsid w:val="005C75E4"/>
    <w:rsid w:val="005C7ABD"/>
    <w:rsid w:val="005D5780"/>
    <w:rsid w:val="005E5B99"/>
    <w:rsid w:val="005E6D51"/>
    <w:rsid w:val="005F27BF"/>
    <w:rsid w:val="005F29F7"/>
    <w:rsid w:val="005F4F6A"/>
    <w:rsid w:val="006009F2"/>
    <w:rsid w:val="00606B83"/>
    <w:rsid w:val="0061024E"/>
    <w:rsid w:val="00610B56"/>
    <w:rsid w:val="00611894"/>
    <w:rsid w:val="0061292A"/>
    <w:rsid w:val="006178E2"/>
    <w:rsid w:val="00617943"/>
    <w:rsid w:val="0061794B"/>
    <w:rsid w:val="006233B8"/>
    <w:rsid w:val="00623B25"/>
    <w:rsid w:val="00631C3F"/>
    <w:rsid w:val="00634275"/>
    <w:rsid w:val="00636D37"/>
    <w:rsid w:val="00637088"/>
    <w:rsid w:val="006372CC"/>
    <w:rsid w:val="00641040"/>
    <w:rsid w:val="00641D7E"/>
    <w:rsid w:val="00643C60"/>
    <w:rsid w:val="006516FE"/>
    <w:rsid w:val="00652C85"/>
    <w:rsid w:val="00652DBC"/>
    <w:rsid w:val="00654FC6"/>
    <w:rsid w:val="006559A0"/>
    <w:rsid w:val="0066536A"/>
    <w:rsid w:val="00666237"/>
    <w:rsid w:val="0066663E"/>
    <w:rsid w:val="00667154"/>
    <w:rsid w:val="00670238"/>
    <w:rsid w:val="00670A44"/>
    <w:rsid w:val="00673DE4"/>
    <w:rsid w:val="00676917"/>
    <w:rsid w:val="00677434"/>
    <w:rsid w:val="00677624"/>
    <w:rsid w:val="006808FF"/>
    <w:rsid w:val="006810BA"/>
    <w:rsid w:val="00685076"/>
    <w:rsid w:val="006855F7"/>
    <w:rsid w:val="00685C72"/>
    <w:rsid w:val="006917C1"/>
    <w:rsid w:val="006937C6"/>
    <w:rsid w:val="0069507B"/>
    <w:rsid w:val="006966D4"/>
    <w:rsid w:val="00696B83"/>
    <w:rsid w:val="006A0ABC"/>
    <w:rsid w:val="006A0EB0"/>
    <w:rsid w:val="006A140B"/>
    <w:rsid w:val="006B368B"/>
    <w:rsid w:val="006B5B17"/>
    <w:rsid w:val="006B61D1"/>
    <w:rsid w:val="006B6CFC"/>
    <w:rsid w:val="006C228A"/>
    <w:rsid w:val="006C5D37"/>
    <w:rsid w:val="006C77F3"/>
    <w:rsid w:val="006D14D7"/>
    <w:rsid w:val="006D1836"/>
    <w:rsid w:val="006D3642"/>
    <w:rsid w:val="006D3B29"/>
    <w:rsid w:val="006E1127"/>
    <w:rsid w:val="006E164F"/>
    <w:rsid w:val="006E2D32"/>
    <w:rsid w:val="006E3B05"/>
    <w:rsid w:val="006E77FE"/>
    <w:rsid w:val="006F1F82"/>
    <w:rsid w:val="006F2F16"/>
    <w:rsid w:val="006F6934"/>
    <w:rsid w:val="006F6CCC"/>
    <w:rsid w:val="006F7D9E"/>
    <w:rsid w:val="00700DB7"/>
    <w:rsid w:val="0070141B"/>
    <w:rsid w:val="00701DEF"/>
    <w:rsid w:val="00702D45"/>
    <w:rsid w:val="00706018"/>
    <w:rsid w:val="007067E8"/>
    <w:rsid w:val="00710A2D"/>
    <w:rsid w:val="00711CE8"/>
    <w:rsid w:val="00714923"/>
    <w:rsid w:val="007173E4"/>
    <w:rsid w:val="007200B6"/>
    <w:rsid w:val="00720920"/>
    <w:rsid w:val="00721207"/>
    <w:rsid w:val="00723085"/>
    <w:rsid w:val="007239FC"/>
    <w:rsid w:val="00724C94"/>
    <w:rsid w:val="007271C5"/>
    <w:rsid w:val="00732BA2"/>
    <w:rsid w:val="0073699E"/>
    <w:rsid w:val="00737775"/>
    <w:rsid w:val="00743375"/>
    <w:rsid w:val="007445C1"/>
    <w:rsid w:val="00744D84"/>
    <w:rsid w:val="0075232D"/>
    <w:rsid w:val="00752DE5"/>
    <w:rsid w:val="00752E67"/>
    <w:rsid w:val="00752FC0"/>
    <w:rsid w:val="00753416"/>
    <w:rsid w:val="00755D92"/>
    <w:rsid w:val="007567BF"/>
    <w:rsid w:val="007569F2"/>
    <w:rsid w:val="00756EA3"/>
    <w:rsid w:val="00760156"/>
    <w:rsid w:val="00763E33"/>
    <w:rsid w:val="007646E4"/>
    <w:rsid w:val="00764F49"/>
    <w:rsid w:val="00771D5C"/>
    <w:rsid w:val="007725C5"/>
    <w:rsid w:val="007750D9"/>
    <w:rsid w:val="00777187"/>
    <w:rsid w:val="007850DA"/>
    <w:rsid w:val="00785E29"/>
    <w:rsid w:val="00797F4E"/>
    <w:rsid w:val="007B4370"/>
    <w:rsid w:val="007B4CBB"/>
    <w:rsid w:val="007C03B1"/>
    <w:rsid w:val="007C08C6"/>
    <w:rsid w:val="007C0A6E"/>
    <w:rsid w:val="007C112C"/>
    <w:rsid w:val="007C1CFD"/>
    <w:rsid w:val="007C2939"/>
    <w:rsid w:val="007C2D13"/>
    <w:rsid w:val="007C5343"/>
    <w:rsid w:val="007C583C"/>
    <w:rsid w:val="007C5DC4"/>
    <w:rsid w:val="007D2FA5"/>
    <w:rsid w:val="007D55A4"/>
    <w:rsid w:val="007D5CF4"/>
    <w:rsid w:val="007D7663"/>
    <w:rsid w:val="007E07E7"/>
    <w:rsid w:val="007E64AB"/>
    <w:rsid w:val="007E66F5"/>
    <w:rsid w:val="007E6F25"/>
    <w:rsid w:val="007E7CB0"/>
    <w:rsid w:val="007F0145"/>
    <w:rsid w:val="007F2617"/>
    <w:rsid w:val="007F3E04"/>
    <w:rsid w:val="007F5791"/>
    <w:rsid w:val="007F6804"/>
    <w:rsid w:val="00807F6D"/>
    <w:rsid w:val="00810DE2"/>
    <w:rsid w:val="008129A3"/>
    <w:rsid w:val="00816E22"/>
    <w:rsid w:val="00816ED8"/>
    <w:rsid w:val="00821A9E"/>
    <w:rsid w:val="00821C17"/>
    <w:rsid w:val="008224B9"/>
    <w:rsid w:val="00822A04"/>
    <w:rsid w:val="00823BB5"/>
    <w:rsid w:val="0082473C"/>
    <w:rsid w:val="0082627E"/>
    <w:rsid w:val="00827648"/>
    <w:rsid w:val="00831A5B"/>
    <w:rsid w:val="00831BCF"/>
    <w:rsid w:val="00836326"/>
    <w:rsid w:val="0083659D"/>
    <w:rsid w:val="008366BB"/>
    <w:rsid w:val="00841694"/>
    <w:rsid w:val="0084575A"/>
    <w:rsid w:val="008476CC"/>
    <w:rsid w:val="00852105"/>
    <w:rsid w:val="00855A7F"/>
    <w:rsid w:val="00856266"/>
    <w:rsid w:val="00856668"/>
    <w:rsid w:val="00856916"/>
    <w:rsid w:val="00862C47"/>
    <w:rsid w:val="00862D15"/>
    <w:rsid w:val="0086300F"/>
    <w:rsid w:val="008648A8"/>
    <w:rsid w:val="0086523B"/>
    <w:rsid w:val="0086587E"/>
    <w:rsid w:val="00865E55"/>
    <w:rsid w:val="00866695"/>
    <w:rsid w:val="00866F7F"/>
    <w:rsid w:val="00870E39"/>
    <w:rsid w:val="008725A1"/>
    <w:rsid w:val="00872B6C"/>
    <w:rsid w:val="0087618F"/>
    <w:rsid w:val="00876303"/>
    <w:rsid w:val="00876969"/>
    <w:rsid w:val="008776D3"/>
    <w:rsid w:val="008833C7"/>
    <w:rsid w:val="008859E8"/>
    <w:rsid w:val="00891D6C"/>
    <w:rsid w:val="00893389"/>
    <w:rsid w:val="00893DF1"/>
    <w:rsid w:val="00894269"/>
    <w:rsid w:val="00894E39"/>
    <w:rsid w:val="008969C7"/>
    <w:rsid w:val="008A3126"/>
    <w:rsid w:val="008A6E27"/>
    <w:rsid w:val="008A6FDD"/>
    <w:rsid w:val="008B251E"/>
    <w:rsid w:val="008B39F5"/>
    <w:rsid w:val="008B4B62"/>
    <w:rsid w:val="008B503B"/>
    <w:rsid w:val="008B69A5"/>
    <w:rsid w:val="008B7B1E"/>
    <w:rsid w:val="008C0AD7"/>
    <w:rsid w:val="008C141D"/>
    <w:rsid w:val="008C3A08"/>
    <w:rsid w:val="008C5149"/>
    <w:rsid w:val="008C59EF"/>
    <w:rsid w:val="008D076B"/>
    <w:rsid w:val="008D07BC"/>
    <w:rsid w:val="008D219D"/>
    <w:rsid w:val="008D26DD"/>
    <w:rsid w:val="008D351E"/>
    <w:rsid w:val="008D4203"/>
    <w:rsid w:val="008D435C"/>
    <w:rsid w:val="008D672C"/>
    <w:rsid w:val="008D7C76"/>
    <w:rsid w:val="008E0950"/>
    <w:rsid w:val="008E1B9A"/>
    <w:rsid w:val="008E6246"/>
    <w:rsid w:val="008E6521"/>
    <w:rsid w:val="008E7E50"/>
    <w:rsid w:val="008F1D7E"/>
    <w:rsid w:val="008F6B16"/>
    <w:rsid w:val="008F798A"/>
    <w:rsid w:val="009009E5"/>
    <w:rsid w:val="009015A5"/>
    <w:rsid w:val="009015E9"/>
    <w:rsid w:val="00905A4D"/>
    <w:rsid w:val="009065BF"/>
    <w:rsid w:val="00907E5B"/>
    <w:rsid w:val="009153C6"/>
    <w:rsid w:val="00916A6D"/>
    <w:rsid w:val="00917E6F"/>
    <w:rsid w:val="009200BF"/>
    <w:rsid w:val="00920455"/>
    <w:rsid w:val="00921484"/>
    <w:rsid w:val="00921B44"/>
    <w:rsid w:val="00922375"/>
    <w:rsid w:val="00923454"/>
    <w:rsid w:val="00926F01"/>
    <w:rsid w:val="00930163"/>
    <w:rsid w:val="00934FCB"/>
    <w:rsid w:val="00935430"/>
    <w:rsid w:val="00935BC5"/>
    <w:rsid w:val="00935BC7"/>
    <w:rsid w:val="0093612A"/>
    <w:rsid w:val="00937502"/>
    <w:rsid w:val="0094073B"/>
    <w:rsid w:val="00944D79"/>
    <w:rsid w:val="00945D14"/>
    <w:rsid w:val="0094687E"/>
    <w:rsid w:val="00947093"/>
    <w:rsid w:val="009470C8"/>
    <w:rsid w:val="009510FB"/>
    <w:rsid w:val="009522C4"/>
    <w:rsid w:val="0095607A"/>
    <w:rsid w:val="00962162"/>
    <w:rsid w:val="00962877"/>
    <w:rsid w:val="00964B33"/>
    <w:rsid w:val="009674EB"/>
    <w:rsid w:val="00967CCD"/>
    <w:rsid w:val="009717EF"/>
    <w:rsid w:val="00976B2C"/>
    <w:rsid w:val="00976FA0"/>
    <w:rsid w:val="00977B99"/>
    <w:rsid w:val="00981834"/>
    <w:rsid w:val="00982639"/>
    <w:rsid w:val="00986B61"/>
    <w:rsid w:val="009915DD"/>
    <w:rsid w:val="00991B7A"/>
    <w:rsid w:val="00992FA2"/>
    <w:rsid w:val="009935CE"/>
    <w:rsid w:val="00993B35"/>
    <w:rsid w:val="009943D0"/>
    <w:rsid w:val="0099441B"/>
    <w:rsid w:val="0099636F"/>
    <w:rsid w:val="009964D6"/>
    <w:rsid w:val="00996C10"/>
    <w:rsid w:val="00996CED"/>
    <w:rsid w:val="009A00A9"/>
    <w:rsid w:val="009A2017"/>
    <w:rsid w:val="009A7D46"/>
    <w:rsid w:val="009B0268"/>
    <w:rsid w:val="009B1839"/>
    <w:rsid w:val="009B46E6"/>
    <w:rsid w:val="009B69F1"/>
    <w:rsid w:val="009C030F"/>
    <w:rsid w:val="009C04A3"/>
    <w:rsid w:val="009C394B"/>
    <w:rsid w:val="009C3B87"/>
    <w:rsid w:val="009C558E"/>
    <w:rsid w:val="009C5EB5"/>
    <w:rsid w:val="009C678B"/>
    <w:rsid w:val="009D1C8F"/>
    <w:rsid w:val="009D53E9"/>
    <w:rsid w:val="009D5574"/>
    <w:rsid w:val="009E0159"/>
    <w:rsid w:val="009E1C82"/>
    <w:rsid w:val="009E4B62"/>
    <w:rsid w:val="009E729A"/>
    <w:rsid w:val="009F011D"/>
    <w:rsid w:val="009F25FA"/>
    <w:rsid w:val="009F2E12"/>
    <w:rsid w:val="009F3A33"/>
    <w:rsid w:val="009F3AB9"/>
    <w:rsid w:val="009F72DB"/>
    <w:rsid w:val="00A041DD"/>
    <w:rsid w:val="00A0460C"/>
    <w:rsid w:val="00A04DE1"/>
    <w:rsid w:val="00A0655E"/>
    <w:rsid w:val="00A101ED"/>
    <w:rsid w:val="00A12A9E"/>
    <w:rsid w:val="00A1464F"/>
    <w:rsid w:val="00A157CE"/>
    <w:rsid w:val="00A178A1"/>
    <w:rsid w:val="00A178D0"/>
    <w:rsid w:val="00A219F1"/>
    <w:rsid w:val="00A21DBB"/>
    <w:rsid w:val="00A2226C"/>
    <w:rsid w:val="00A226DA"/>
    <w:rsid w:val="00A24E2F"/>
    <w:rsid w:val="00A26B2B"/>
    <w:rsid w:val="00A27C2C"/>
    <w:rsid w:val="00A30736"/>
    <w:rsid w:val="00A349AE"/>
    <w:rsid w:val="00A34D6A"/>
    <w:rsid w:val="00A34E0B"/>
    <w:rsid w:val="00A35487"/>
    <w:rsid w:val="00A41AB4"/>
    <w:rsid w:val="00A41C89"/>
    <w:rsid w:val="00A46D28"/>
    <w:rsid w:val="00A4774A"/>
    <w:rsid w:val="00A51DF2"/>
    <w:rsid w:val="00A52290"/>
    <w:rsid w:val="00A529A8"/>
    <w:rsid w:val="00A549EF"/>
    <w:rsid w:val="00A55126"/>
    <w:rsid w:val="00A56AC2"/>
    <w:rsid w:val="00A6090A"/>
    <w:rsid w:val="00A61F32"/>
    <w:rsid w:val="00A624FF"/>
    <w:rsid w:val="00A6334B"/>
    <w:rsid w:val="00A6343C"/>
    <w:rsid w:val="00A653C9"/>
    <w:rsid w:val="00A65BE1"/>
    <w:rsid w:val="00A65D8E"/>
    <w:rsid w:val="00A67A69"/>
    <w:rsid w:val="00A67F03"/>
    <w:rsid w:val="00A70238"/>
    <w:rsid w:val="00A71012"/>
    <w:rsid w:val="00A74DDD"/>
    <w:rsid w:val="00A772DF"/>
    <w:rsid w:val="00A773D3"/>
    <w:rsid w:val="00A77DFC"/>
    <w:rsid w:val="00A801D8"/>
    <w:rsid w:val="00A80980"/>
    <w:rsid w:val="00A81838"/>
    <w:rsid w:val="00A81A72"/>
    <w:rsid w:val="00A835A8"/>
    <w:rsid w:val="00A864D1"/>
    <w:rsid w:val="00A866CF"/>
    <w:rsid w:val="00A875C5"/>
    <w:rsid w:val="00A92DD3"/>
    <w:rsid w:val="00A947B4"/>
    <w:rsid w:val="00A951E2"/>
    <w:rsid w:val="00A958DB"/>
    <w:rsid w:val="00A9772C"/>
    <w:rsid w:val="00AA0CB8"/>
    <w:rsid w:val="00AA2ECE"/>
    <w:rsid w:val="00AA3757"/>
    <w:rsid w:val="00AA650C"/>
    <w:rsid w:val="00AA7C39"/>
    <w:rsid w:val="00AB1AA4"/>
    <w:rsid w:val="00AB539C"/>
    <w:rsid w:val="00AC0234"/>
    <w:rsid w:val="00AC0282"/>
    <w:rsid w:val="00AC13A1"/>
    <w:rsid w:val="00AC2EF7"/>
    <w:rsid w:val="00AC5DEC"/>
    <w:rsid w:val="00AC7529"/>
    <w:rsid w:val="00AC7A45"/>
    <w:rsid w:val="00AD056C"/>
    <w:rsid w:val="00AD118D"/>
    <w:rsid w:val="00AD1BF6"/>
    <w:rsid w:val="00AD39E7"/>
    <w:rsid w:val="00AD47E3"/>
    <w:rsid w:val="00AD70EE"/>
    <w:rsid w:val="00AE3853"/>
    <w:rsid w:val="00AE53AD"/>
    <w:rsid w:val="00AE56F4"/>
    <w:rsid w:val="00AF2E8B"/>
    <w:rsid w:val="00AF46D5"/>
    <w:rsid w:val="00AF7989"/>
    <w:rsid w:val="00AF7DEB"/>
    <w:rsid w:val="00B03679"/>
    <w:rsid w:val="00B0483E"/>
    <w:rsid w:val="00B04C0C"/>
    <w:rsid w:val="00B06AEF"/>
    <w:rsid w:val="00B07DBC"/>
    <w:rsid w:val="00B13139"/>
    <w:rsid w:val="00B13E50"/>
    <w:rsid w:val="00B148FE"/>
    <w:rsid w:val="00B15CB1"/>
    <w:rsid w:val="00B172FC"/>
    <w:rsid w:val="00B17430"/>
    <w:rsid w:val="00B22B65"/>
    <w:rsid w:val="00B22E90"/>
    <w:rsid w:val="00B260F4"/>
    <w:rsid w:val="00B2717A"/>
    <w:rsid w:val="00B272D5"/>
    <w:rsid w:val="00B27DEB"/>
    <w:rsid w:val="00B31B0E"/>
    <w:rsid w:val="00B35505"/>
    <w:rsid w:val="00B364C9"/>
    <w:rsid w:val="00B37905"/>
    <w:rsid w:val="00B501AB"/>
    <w:rsid w:val="00B51469"/>
    <w:rsid w:val="00B51DEB"/>
    <w:rsid w:val="00B52F8E"/>
    <w:rsid w:val="00B5642A"/>
    <w:rsid w:val="00B565D0"/>
    <w:rsid w:val="00B57CBD"/>
    <w:rsid w:val="00B61DF3"/>
    <w:rsid w:val="00B63B40"/>
    <w:rsid w:val="00B6483D"/>
    <w:rsid w:val="00B64F36"/>
    <w:rsid w:val="00B70E65"/>
    <w:rsid w:val="00B72FC3"/>
    <w:rsid w:val="00B74034"/>
    <w:rsid w:val="00B84B30"/>
    <w:rsid w:val="00B8627E"/>
    <w:rsid w:val="00B87FB8"/>
    <w:rsid w:val="00B92A74"/>
    <w:rsid w:val="00B94B26"/>
    <w:rsid w:val="00B95BBE"/>
    <w:rsid w:val="00B9656E"/>
    <w:rsid w:val="00B97B8C"/>
    <w:rsid w:val="00BA0E95"/>
    <w:rsid w:val="00BA3ED1"/>
    <w:rsid w:val="00BA5468"/>
    <w:rsid w:val="00BA6553"/>
    <w:rsid w:val="00BA7580"/>
    <w:rsid w:val="00BA7DF4"/>
    <w:rsid w:val="00BB2AAC"/>
    <w:rsid w:val="00BB2EE8"/>
    <w:rsid w:val="00BB45BC"/>
    <w:rsid w:val="00BB7C3E"/>
    <w:rsid w:val="00BC15E4"/>
    <w:rsid w:val="00BC28C0"/>
    <w:rsid w:val="00BC573A"/>
    <w:rsid w:val="00BC5DEF"/>
    <w:rsid w:val="00BD2522"/>
    <w:rsid w:val="00BD2BA8"/>
    <w:rsid w:val="00BD52B5"/>
    <w:rsid w:val="00BD6D79"/>
    <w:rsid w:val="00BD7FF2"/>
    <w:rsid w:val="00BE18A6"/>
    <w:rsid w:val="00BE23E2"/>
    <w:rsid w:val="00BE5097"/>
    <w:rsid w:val="00BE7298"/>
    <w:rsid w:val="00BF2D0A"/>
    <w:rsid w:val="00C04FEE"/>
    <w:rsid w:val="00C05539"/>
    <w:rsid w:val="00C07CCF"/>
    <w:rsid w:val="00C17244"/>
    <w:rsid w:val="00C21CA1"/>
    <w:rsid w:val="00C25C61"/>
    <w:rsid w:val="00C30294"/>
    <w:rsid w:val="00C31B44"/>
    <w:rsid w:val="00C32909"/>
    <w:rsid w:val="00C32C75"/>
    <w:rsid w:val="00C33896"/>
    <w:rsid w:val="00C33E67"/>
    <w:rsid w:val="00C348E8"/>
    <w:rsid w:val="00C40289"/>
    <w:rsid w:val="00C42BA4"/>
    <w:rsid w:val="00C43D29"/>
    <w:rsid w:val="00C45134"/>
    <w:rsid w:val="00C469C2"/>
    <w:rsid w:val="00C46C18"/>
    <w:rsid w:val="00C4774E"/>
    <w:rsid w:val="00C5419E"/>
    <w:rsid w:val="00C54534"/>
    <w:rsid w:val="00C55AC7"/>
    <w:rsid w:val="00C5676E"/>
    <w:rsid w:val="00C57AC4"/>
    <w:rsid w:val="00C61E0D"/>
    <w:rsid w:val="00C635CC"/>
    <w:rsid w:val="00C642C1"/>
    <w:rsid w:val="00C653D4"/>
    <w:rsid w:val="00C65832"/>
    <w:rsid w:val="00C66812"/>
    <w:rsid w:val="00C67386"/>
    <w:rsid w:val="00C70CED"/>
    <w:rsid w:val="00C71816"/>
    <w:rsid w:val="00C72ABD"/>
    <w:rsid w:val="00C80573"/>
    <w:rsid w:val="00C85EFE"/>
    <w:rsid w:val="00C8717B"/>
    <w:rsid w:val="00C9013A"/>
    <w:rsid w:val="00C93287"/>
    <w:rsid w:val="00C939AA"/>
    <w:rsid w:val="00C94827"/>
    <w:rsid w:val="00C95053"/>
    <w:rsid w:val="00C958B5"/>
    <w:rsid w:val="00C96BC8"/>
    <w:rsid w:val="00C96C0F"/>
    <w:rsid w:val="00C978C4"/>
    <w:rsid w:val="00CA0CC3"/>
    <w:rsid w:val="00CA1E75"/>
    <w:rsid w:val="00CA2FAD"/>
    <w:rsid w:val="00CA3693"/>
    <w:rsid w:val="00CA449B"/>
    <w:rsid w:val="00CB0EC0"/>
    <w:rsid w:val="00CB7C6D"/>
    <w:rsid w:val="00CC050A"/>
    <w:rsid w:val="00CC3713"/>
    <w:rsid w:val="00CC58E2"/>
    <w:rsid w:val="00CC5AF1"/>
    <w:rsid w:val="00CC5D3E"/>
    <w:rsid w:val="00CC5EB4"/>
    <w:rsid w:val="00CD05EA"/>
    <w:rsid w:val="00CD2A1F"/>
    <w:rsid w:val="00CD2CFB"/>
    <w:rsid w:val="00CD33B3"/>
    <w:rsid w:val="00CD3A20"/>
    <w:rsid w:val="00CD7006"/>
    <w:rsid w:val="00CD7054"/>
    <w:rsid w:val="00CD7AC6"/>
    <w:rsid w:val="00CE120F"/>
    <w:rsid w:val="00CE2AD9"/>
    <w:rsid w:val="00CE522D"/>
    <w:rsid w:val="00CE5D8D"/>
    <w:rsid w:val="00CE6E94"/>
    <w:rsid w:val="00CE7BE2"/>
    <w:rsid w:val="00CE7CD3"/>
    <w:rsid w:val="00CF26CF"/>
    <w:rsid w:val="00CF3B01"/>
    <w:rsid w:val="00CF4589"/>
    <w:rsid w:val="00CF477E"/>
    <w:rsid w:val="00CF609B"/>
    <w:rsid w:val="00CF6D9A"/>
    <w:rsid w:val="00D01088"/>
    <w:rsid w:val="00D03368"/>
    <w:rsid w:val="00D03C14"/>
    <w:rsid w:val="00D06739"/>
    <w:rsid w:val="00D06FE7"/>
    <w:rsid w:val="00D10E50"/>
    <w:rsid w:val="00D155FD"/>
    <w:rsid w:val="00D22417"/>
    <w:rsid w:val="00D230F4"/>
    <w:rsid w:val="00D23887"/>
    <w:rsid w:val="00D23FDB"/>
    <w:rsid w:val="00D254D2"/>
    <w:rsid w:val="00D27262"/>
    <w:rsid w:val="00D27A94"/>
    <w:rsid w:val="00D31136"/>
    <w:rsid w:val="00D32F19"/>
    <w:rsid w:val="00D335AC"/>
    <w:rsid w:val="00D353EA"/>
    <w:rsid w:val="00D364CC"/>
    <w:rsid w:val="00D36B67"/>
    <w:rsid w:val="00D40CAC"/>
    <w:rsid w:val="00D40D09"/>
    <w:rsid w:val="00D537F6"/>
    <w:rsid w:val="00D57439"/>
    <w:rsid w:val="00D575D1"/>
    <w:rsid w:val="00D57D2F"/>
    <w:rsid w:val="00D62748"/>
    <w:rsid w:val="00D65896"/>
    <w:rsid w:val="00D65F1F"/>
    <w:rsid w:val="00D6717C"/>
    <w:rsid w:val="00D704DC"/>
    <w:rsid w:val="00D743C9"/>
    <w:rsid w:val="00D74E13"/>
    <w:rsid w:val="00D752CA"/>
    <w:rsid w:val="00D76F0B"/>
    <w:rsid w:val="00D815CA"/>
    <w:rsid w:val="00D82D09"/>
    <w:rsid w:val="00D84B2B"/>
    <w:rsid w:val="00D859DE"/>
    <w:rsid w:val="00D9069A"/>
    <w:rsid w:val="00D90E6F"/>
    <w:rsid w:val="00D91345"/>
    <w:rsid w:val="00D93403"/>
    <w:rsid w:val="00D9357D"/>
    <w:rsid w:val="00D93893"/>
    <w:rsid w:val="00DA310A"/>
    <w:rsid w:val="00DA3557"/>
    <w:rsid w:val="00DA575E"/>
    <w:rsid w:val="00DB4320"/>
    <w:rsid w:val="00DB43A8"/>
    <w:rsid w:val="00DC0B2A"/>
    <w:rsid w:val="00DC0D87"/>
    <w:rsid w:val="00DC194A"/>
    <w:rsid w:val="00DC4EE5"/>
    <w:rsid w:val="00DD3CDA"/>
    <w:rsid w:val="00DD6F11"/>
    <w:rsid w:val="00DE0BFA"/>
    <w:rsid w:val="00DE0D7E"/>
    <w:rsid w:val="00DE2B0C"/>
    <w:rsid w:val="00DE2CE0"/>
    <w:rsid w:val="00DE6CD2"/>
    <w:rsid w:val="00DE6D6A"/>
    <w:rsid w:val="00DE743F"/>
    <w:rsid w:val="00DF0882"/>
    <w:rsid w:val="00DF14F1"/>
    <w:rsid w:val="00DF179E"/>
    <w:rsid w:val="00DF227E"/>
    <w:rsid w:val="00DF2A69"/>
    <w:rsid w:val="00DF72AE"/>
    <w:rsid w:val="00DF74B6"/>
    <w:rsid w:val="00DF7E28"/>
    <w:rsid w:val="00E02CC6"/>
    <w:rsid w:val="00E11AE9"/>
    <w:rsid w:val="00E15C02"/>
    <w:rsid w:val="00E25BE0"/>
    <w:rsid w:val="00E25C79"/>
    <w:rsid w:val="00E262B2"/>
    <w:rsid w:val="00E26771"/>
    <w:rsid w:val="00E268A3"/>
    <w:rsid w:val="00E3014E"/>
    <w:rsid w:val="00E30306"/>
    <w:rsid w:val="00E3590A"/>
    <w:rsid w:val="00E361A3"/>
    <w:rsid w:val="00E36B52"/>
    <w:rsid w:val="00E37695"/>
    <w:rsid w:val="00E37C3B"/>
    <w:rsid w:val="00E41A7D"/>
    <w:rsid w:val="00E421F3"/>
    <w:rsid w:val="00E44F1D"/>
    <w:rsid w:val="00E453FF"/>
    <w:rsid w:val="00E455EA"/>
    <w:rsid w:val="00E46070"/>
    <w:rsid w:val="00E46AF0"/>
    <w:rsid w:val="00E50898"/>
    <w:rsid w:val="00E52770"/>
    <w:rsid w:val="00E531F6"/>
    <w:rsid w:val="00E53683"/>
    <w:rsid w:val="00E5443B"/>
    <w:rsid w:val="00E5443C"/>
    <w:rsid w:val="00E544DD"/>
    <w:rsid w:val="00E556B9"/>
    <w:rsid w:val="00E6017A"/>
    <w:rsid w:val="00E616EC"/>
    <w:rsid w:val="00E62DAA"/>
    <w:rsid w:val="00E63475"/>
    <w:rsid w:val="00E645B2"/>
    <w:rsid w:val="00E66457"/>
    <w:rsid w:val="00E717DC"/>
    <w:rsid w:val="00E74C37"/>
    <w:rsid w:val="00E75872"/>
    <w:rsid w:val="00E8273C"/>
    <w:rsid w:val="00E839D2"/>
    <w:rsid w:val="00E8714D"/>
    <w:rsid w:val="00E9023F"/>
    <w:rsid w:val="00E90A84"/>
    <w:rsid w:val="00E91804"/>
    <w:rsid w:val="00E94A4E"/>
    <w:rsid w:val="00E951DC"/>
    <w:rsid w:val="00E968B7"/>
    <w:rsid w:val="00E97FD6"/>
    <w:rsid w:val="00EA0791"/>
    <w:rsid w:val="00EA0EA3"/>
    <w:rsid w:val="00EA0F17"/>
    <w:rsid w:val="00EA1B7F"/>
    <w:rsid w:val="00EA6ADD"/>
    <w:rsid w:val="00EA7B7B"/>
    <w:rsid w:val="00EA7DF3"/>
    <w:rsid w:val="00EB4C36"/>
    <w:rsid w:val="00EB5200"/>
    <w:rsid w:val="00EB5C5A"/>
    <w:rsid w:val="00EB687B"/>
    <w:rsid w:val="00EC0B42"/>
    <w:rsid w:val="00EC4636"/>
    <w:rsid w:val="00EC478B"/>
    <w:rsid w:val="00EC50B4"/>
    <w:rsid w:val="00EC6518"/>
    <w:rsid w:val="00ED18C3"/>
    <w:rsid w:val="00ED2592"/>
    <w:rsid w:val="00ED2875"/>
    <w:rsid w:val="00ED2BF5"/>
    <w:rsid w:val="00ED3E21"/>
    <w:rsid w:val="00EE0010"/>
    <w:rsid w:val="00EE2715"/>
    <w:rsid w:val="00EE59E2"/>
    <w:rsid w:val="00EF161B"/>
    <w:rsid w:val="00EF6598"/>
    <w:rsid w:val="00EF65E3"/>
    <w:rsid w:val="00EF7586"/>
    <w:rsid w:val="00F00178"/>
    <w:rsid w:val="00F0090C"/>
    <w:rsid w:val="00F0180B"/>
    <w:rsid w:val="00F03532"/>
    <w:rsid w:val="00F052F0"/>
    <w:rsid w:val="00F05E8B"/>
    <w:rsid w:val="00F06EE5"/>
    <w:rsid w:val="00F0781F"/>
    <w:rsid w:val="00F10F17"/>
    <w:rsid w:val="00F13C7B"/>
    <w:rsid w:val="00F14F90"/>
    <w:rsid w:val="00F21FF7"/>
    <w:rsid w:val="00F22331"/>
    <w:rsid w:val="00F22A42"/>
    <w:rsid w:val="00F231CB"/>
    <w:rsid w:val="00F24AC3"/>
    <w:rsid w:val="00F25AE0"/>
    <w:rsid w:val="00F33436"/>
    <w:rsid w:val="00F3425A"/>
    <w:rsid w:val="00F373C1"/>
    <w:rsid w:val="00F3797D"/>
    <w:rsid w:val="00F37FDD"/>
    <w:rsid w:val="00F407D7"/>
    <w:rsid w:val="00F4184D"/>
    <w:rsid w:val="00F44C13"/>
    <w:rsid w:val="00F513FA"/>
    <w:rsid w:val="00F563FC"/>
    <w:rsid w:val="00F62344"/>
    <w:rsid w:val="00F624BD"/>
    <w:rsid w:val="00F649C7"/>
    <w:rsid w:val="00F64E3F"/>
    <w:rsid w:val="00F73FC4"/>
    <w:rsid w:val="00F74D74"/>
    <w:rsid w:val="00F7691B"/>
    <w:rsid w:val="00F82387"/>
    <w:rsid w:val="00F873E2"/>
    <w:rsid w:val="00F87498"/>
    <w:rsid w:val="00F87576"/>
    <w:rsid w:val="00F91EB7"/>
    <w:rsid w:val="00F9438D"/>
    <w:rsid w:val="00F94509"/>
    <w:rsid w:val="00F97F9E"/>
    <w:rsid w:val="00FA2246"/>
    <w:rsid w:val="00FA2938"/>
    <w:rsid w:val="00FA3FD3"/>
    <w:rsid w:val="00FA47C7"/>
    <w:rsid w:val="00FA4B65"/>
    <w:rsid w:val="00FA5205"/>
    <w:rsid w:val="00FB0E2A"/>
    <w:rsid w:val="00FB1759"/>
    <w:rsid w:val="00FB1941"/>
    <w:rsid w:val="00FB225E"/>
    <w:rsid w:val="00FB67F4"/>
    <w:rsid w:val="00FB6DAD"/>
    <w:rsid w:val="00FB75A8"/>
    <w:rsid w:val="00FC0261"/>
    <w:rsid w:val="00FC2588"/>
    <w:rsid w:val="00FC5EA8"/>
    <w:rsid w:val="00FC70D0"/>
    <w:rsid w:val="00FD09BC"/>
    <w:rsid w:val="00FD559B"/>
    <w:rsid w:val="00FD7FC1"/>
    <w:rsid w:val="00FE2731"/>
    <w:rsid w:val="00FE6EE5"/>
    <w:rsid w:val="00FE6FC1"/>
    <w:rsid w:val="00FE7758"/>
    <w:rsid w:val="00FF0D5C"/>
    <w:rsid w:val="00FF24C2"/>
    <w:rsid w:val="00FF603A"/>
    <w:rsid w:val="3CD44C04"/>
    <w:rsid w:val="570657D7"/>
    <w:rsid w:val="5C5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2D0501"/>
  <w15:docId w15:val="{A795F867-A810-41A5-868B-BF73613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napToGrid w:val="0"/>
      <w:spacing w:line="360" w:lineRule="auto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Times New Roman" w:eastAsia="Times New Roman" w:hAnsi="Times New Roman"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eastAsia="Times New Roman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adjustRightInd w:val="0"/>
      <w:ind w:firstLineChars="200" w:firstLine="480"/>
      <w:jc w:val="left"/>
    </w:pPr>
    <w:rPr>
      <w:rFonts w:ascii="Times New Roman" w:hAnsi="Times New Roman"/>
      <w:bCs/>
      <w:kern w:val="28"/>
      <w:sz w:val="24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  <w:sz w:val="28"/>
    </w:rPr>
  </w:style>
  <w:style w:type="character" w:styleId="af">
    <w:name w:val="line number"/>
    <w:uiPriority w:val="99"/>
    <w:unhideWhenUsed/>
    <w:qFormat/>
    <w:rPr>
      <w:rFonts w:ascii="Times New Roman" w:hAnsi="Times New Roman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uiPriority w:val="99"/>
    <w:semiHidden/>
    <w:unhideWhenUsed/>
    <w:qFormat/>
    <w:rPr>
      <w:sz w:val="21"/>
      <w:szCs w:val="21"/>
    </w:rPr>
  </w:style>
  <w:style w:type="paragraph" w:styleId="af2">
    <w:name w:val="No Spacing"/>
    <w:uiPriority w:val="1"/>
    <w:qFormat/>
    <w:pPr>
      <w:widowControl w:val="0"/>
      <w:snapToGrid w:val="0"/>
      <w:jc w:val="both"/>
    </w:pPr>
    <w:rPr>
      <w:rFonts w:ascii="Calibri" w:hAnsi="Calibri"/>
      <w:kern w:val="2"/>
      <w:sz w:val="28"/>
      <w:szCs w:val="21"/>
    </w:rPr>
  </w:style>
  <w:style w:type="character" w:customStyle="1" w:styleId="10">
    <w:name w:val="标题 1 字符"/>
    <w:link w:val="1"/>
    <w:uiPriority w:val="9"/>
    <w:qFormat/>
    <w:rPr>
      <w:rFonts w:ascii="Times New Roman" w:hAnsi="Times New Roman"/>
      <w:b/>
      <w:bCs/>
      <w:kern w:val="44"/>
      <w:sz w:val="24"/>
      <w:szCs w:val="44"/>
    </w:rPr>
  </w:style>
  <w:style w:type="character" w:customStyle="1" w:styleId="20">
    <w:name w:val="标题 2 字符"/>
    <w:link w:val="2"/>
    <w:uiPriority w:val="9"/>
    <w:qFormat/>
    <w:rPr>
      <w:rFonts w:eastAsia="Times New Roman" w:cs="Times New Roman"/>
      <w:bCs/>
      <w:kern w:val="2"/>
      <w:sz w:val="24"/>
      <w:szCs w:val="32"/>
    </w:rPr>
  </w:style>
  <w:style w:type="paragraph" w:customStyle="1" w:styleId="af3">
    <w:name w:val="全文"/>
    <w:basedOn w:val="a"/>
    <w:link w:val="Char"/>
    <w:qFormat/>
    <w:pPr>
      <w:topLinePunct/>
      <w:adjustRightInd w:val="0"/>
      <w:snapToGrid/>
      <w:spacing w:afterLines="50" w:after="50"/>
      <w:ind w:firstLineChars="200" w:firstLine="200"/>
    </w:pPr>
    <w:rPr>
      <w:rFonts w:ascii="Times New Roman" w:hAnsi="Times New Roman"/>
      <w:color w:val="000000"/>
      <w:sz w:val="24"/>
      <w:szCs w:val="24"/>
    </w:rPr>
  </w:style>
  <w:style w:type="character" w:customStyle="1" w:styleId="Char">
    <w:name w:val="全文 Char"/>
    <w:link w:val="af3"/>
    <w:qFormat/>
    <w:rPr>
      <w:rFonts w:eastAsia="宋体"/>
      <w:color w:val="000000"/>
      <w:kern w:val="2"/>
      <w:sz w:val="24"/>
      <w:szCs w:val="24"/>
    </w:rPr>
  </w:style>
  <w:style w:type="character" w:customStyle="1" w:styleId="30">
    <w:name w:val="标题 3 字符"/>
    <w:link w:val="3"/>
    <w:uiPriority w:val="9"/>
    <w:qFormat/>
    <w:rPr>
      <w:rFonts w:eastAsia="Times New Roman"/>
      <w:b/>
      <w:bCs/>
      <w:sz w:val="28"/>
      <w:szCs w:val="32"/>
    </w:rPr>
  </w:style>
  <w:style w:type="character" w:customStyle="1" w:styleId="ac">
    <w:name w:val="副标题 字符"/>
    <w:link w:val="ab"/>
    <w:uiPriority w:val="11"/>
    <w:qFormat/>
    <w:rPr>
      <w:rFonts w:ascii="Times New Roman" w:eastAsia="宋体" w:hAnsi="Times New Roman" w:cs="Times New Roman"/>
      <w:bCs/>
      <w:kern w:val="28"/>
      <w:sz w:val="24"/>
      <w:szCs w:val="32"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jc w:val="center"/>
    </w:pPr>
    <w:rPr>
      <w:rFonts w:ascii="Times New Roman" w:hAnsi="Times New Roman"/>
      <w:sz w:val="24"/>
    </w:rPr>
  </w:style>
  <w:style w:type="character" w:customStyle="1" w:styleId="EndNoteBibliographyTitleChar">
    <w:name w:val="EndNote Bibliography Title Char"/>
    <w:link w:val="EndNoteBibliographyTitle"/>
    <w:qFormat/>
    <w:rPr>
      <w:kern w:val="2"/>
      <w:sz w:val="24"/>
      <w:szCs w:val="21"/>
    </w:rPr>
  </w:style>
  <w:style w:type="paragraph" w:customStyle="1" w:styleId="EndNoteBibliography">
    <w:name w:val="EndNote Bibliography"/>
    <w:basedOn w:val="a"/>
    <w:link w:val="EndNoteBibliographyChar"/>
    <w:qFormat/>
    <w:rPr>
      <w:rFonts w:ascii="Times New Roman" w:hAnsi="Times New Roman"/>
      <w:sz w:val="24"/>
    </w:rPr>
  </w:style>
  <w:style w:type="character" w:customStyle="1" w:styleId="EndNoteBibliographyChar">
    <w:name w:val="EndNote Bibliography Char"/>
    <w:link w:val="EndNoteBibliography"/>
    <w:qFormat/>
    <w:rPr>
      <w:kern w:val="2"/>
      <w:sz w:val="24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11">
    <w:name w:val="样式1"/>
    <w:basedOn w:val="af3"/>
    <w:link w:val="1Char"/>
    <w:qFormat/>
    <w:pPr>
      <w:ind w:firstLineChars="0" w:firstLine="0"/>
      <w:jc w:val="left"/>
    </w:pPr>
    <w:rPr>
      <w:b/>
    </w:rPr>
  </w:style>
  <w:style w:type="character" w:customStyle="1" w:styleId="1Char">
    <w:name w:val="样式1 Char"/>
    <w:link w:val="11"/>
    <w:qFormat/>
    <w:rPr>
      <w:rFonts w:eastAsia="宋体"/>
      <w:b/>
      <w:color w:val="000000"/>
      <w:kern w:val="2"/>
      <w:sz w:val="24"/>
      <w:szCs w:val="24"/>
    </w:rPr>
  </w:style>
  <w:style w:type="character" w:customStyle="1" w:styleId="a4">
    <w:name w:val="批注文字 字符"/>
    <w:link w:val="a3"/>
    <w:uiPriority w:val="99"/>
    <w:semiHidden/>
    <w:qFormat/>
    <w:rPr>
      <w:sz w:val="24"/>
    </w:rPr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  <w:style w:type="character" w:styleId="af4">
    <w:name w:val="Placeholder Text"/>
    <w:uiPriority w:val="99"/>
    <w:semiHidden/>
    <w:qFormat/>
    <w:rPr>
      <w:color w:val="808080"/>
    </w:rPr>
  </w:style>
  <w:style w:type="character" w:customStyle="1" w:styleId="ae">
    <w:name w:val="批注主题 字符"/>
    <w:link w:val="ad"/>
    <w:uiPriority w:val="99"/>
    <w:semiHidden/>
    <w:qFormat/>
    <w:rPr>
      <w:b/>
      <w:bCs/>
      <w:sz w:val="28"/>
    </w:rPr>
  </w:style>
  <w:style w:type="character" w:customStyle="1" w:styleId="12">
    <w:name w:val="超链接1"/>
    <w:uiPriority w:val="99"/>
    <w:unhideWhenUsed/>
    <w:qFormat/>
    <w:rPr>
      <w:color w:val="0000FF"/>
      <w:u w:val="single"/>
    </w:rPr>
  </w:style>
  <w:style w:type="character" w:customStyle="1" w:styleId="skip">
    <w:name w:val="skip"/>
    <w:basedOn w:val="a0"/>
    <w:qFormat/>
  </w:style>
  <w:style w:type="paragraph" w:customStyle="1" w:styleId="21">
    <w:name w:val="样式2"/>
    <w:basedOn w:val="af3"/>
    <w:link w:val="22"/>
    <w:qFormat/>
    <w:pPr>
      <w:spacing w:after="156"/>
      <w:ind w:firstLineChars="0" w:firstLine="480"/>
      <w:jc w:val="left"/>
    </w:pPr>
  </w:style>
  <w:style w:type="character" w:customStyle="1" w:styleId="22">
    <w:name w:val="样式2 字符"/>
    <w:link w:val="21"/>
    <w:qFormat/>
    <w:rPr>
      <w:rFonts w:eastAsia="宋体"/>
      <w:color w:val="000000"/>
      <w:kern w:val="2"/>
      <w:sz w:val="24"/>
      <w:szCs w:val="24"/>
    </w:rPr>
  </w:style>
  <w:style w:type="character" w:customStyle="1" w:styleId="13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5">
    <w:name w:val="列出段落"/>
    <w:basedOn w:val="a"/>
    <w:uiPriority w:val="99"/>
    <w:qFormat/>
    <w:pPr>
      <w:ind w:firstLineChars="200" w:firstLine="420"/>
    </w:pPr>
  </w:style>
  <w:style w:type="character" w:customStyle="1" w:styleId="23">
    <w:name w:val="未处理的提及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link w:val="4"/>
    <w:uiPriority w:val="9"/>
    <w:semiHidden/>
    <w:qFormat/>
    <w:rPr>
      <w:rFonts w:ascii="Calibri Light" w:eastAsia="宋体" w:hAnsi="Calibri Light" w:cs="Times New Roman"/>
      <w:b/>
      <w:bCs/>
      <w:kern w:val="2"/>
      <w:sz w:val="28"/>
      <w:szCs w:val="28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igh-light-bg">
    <w:name w:val="high-light-bg"/>
    <w:basedOn w:val="a0"/>
    <w:qFormat/>
  </w:style>
  <w:style w:type="paragraph" w:customStyle="1" w:styleId="14">
    <w:name w:val="正文1"/>
    <w:qFormat/>
    <w:pPr>
      <w:jc w:val="both"/>
    </w:pPr>
    <w:rPr>
      <w:kern w:val="2"/>
      <w:sz w:val="21"/>
      <w:szCs w:val="21"/>
    </w:rPr>
  </w:style>
  <w:style w:type="character" w:styleId="af6">
    <w:name w:val="Unresolved Mention"/>
    <w:basedOn w:val="a0"/>
    <w:uiPriority w:val="99"/>
    <w:semiHidden/>
    <w:unhideWhenUsed/>
    <w:rsid w:val="00260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C8A4025-842D-4742-9945-97CDE22B5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497</Words>
  <Characters>2834</Characters>
  <Application>Microsoft Office Word</Application>
  <DocSecurity>0</DocSecurity>
  <Lines>23</Lines>
  <Paragraphs>6</Paragraphs>
  <ScaleCrop>false</ScaleCrop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tian shijie</cp:lastModifiedBy>
  <cp:revision>5</cp:revision>
  <cp:lastPrinted>2021-04-26T02:35:00Z</cp:lastPrinted>
  <dcterms:created xsi:type="dcterms:W3CDTF">2021-06-05T07:24:00Z</dcterms:created>
  <dcterms:modified xsi:type="dcterms:W3CDTF">2021-06-10T09:02:00Z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A615991053E749368761515CC17AC43A</vt:lpwstr>
  </property>
</Properties>
</file>