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8B0B8" w14:textId="70EA2CE2" w:rsidR="001670F3" w:rsidRPr="001670F3" w:rsidRDefault="001670F3" w:rsidP="001670F3">
      <w:pPr>
        <w:pStyle w:val="ListParagraph"/>
        <w:numPr>
          <w:ilvl w:val="0"/>
          <w:numId w:val="6"/>
        </w:numPr>
        <w:ind w:left="360"/>
        <w:rPr>
          <w:rFonts w:ascii="Palatino Linotype" w:hAnsi="Palatino Linotype"/>
          <w:sz w:val="20"/>
          <w:szCs w:val="20"/>
        </w:rPr>
      </w:pPr>
      <w:bookmarkStart w:id="0" w:name="_GoBack"/>
      <w:bookmarkEnd w:id="0"/>
      <w:r>
        <w:rPr>
          <w:rFonts w:ascii="Palatino Linotype" w:hAnsi="Palatino Linotype"/>
          <w:sz w:val="20"/>
          <w:szCs w:val="20"/>
        </w:rPr>
        <w:t xml:space="preserve">  </w:t>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t>(b)</w:t>
      </w:r>
    </w:p>
    <w:p w14:paraId="351A4546" w14:textId="4F72F7CE" w:rsidR="00E1629A" w:rsidRPr="001670F3" w:rsidRDefault="001670F3" w:rsidP="001670F3">
      <w:pPr>
        <w:rPr>
          <w:rFonts w:ascii="Palatino Linotype" w:hAnsi="Palatino Linotype"/>
          <w:sz w:val="20"/>
          <w:szCs w:val="20"/>
        </w:rPr>
      </w:pPr>
      <w:r>
        <w:rPr>
          <w:rFonts w:ascii="Palatino Linotype" w:hAnsi="Palatino Linotype"/>
          <w:noProof/>
          <w:sz w:val="20"/>
          <w:szCs w:val="20"/>
          <w:lang w:eastAsia="en-GB"/>
        </w:rPr>
        <w:drawing>
          <wp:anchor distT="0" distB="0" distL="114300" distR="114300" simplePos="0" relativeHeight="251663360" behindDoc="0" locked="0" layoutInCell="1" allowOverlap="1" wp14:anchorId="7208AEE9" wp14:editId="0F0B7D28">
            <wp:simplePos x="0" y="0"/>
            <wp:positionH relativeFrom="margin">
              <wp:posOffset>115108</wp:posOffset>
            </wp:positionH>
            <wp:positionV relativeFrom="margin">
              <wp:posOffset>231140</wp:posOffset>
            </wp:positionV>
            <wp:extent cx="2451735" cy="1617345"/>
            <wp:effectExtent l="0" t="0" r="12065" b="825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M titration graph.pdf"/>
                    <pic:cNvPicPr/>
                  </pic:nvPicPr>
                  <pic:blipFill>
                    <a:blip r:embed="rId5">
                      <a:extLst>
                        <a:ext uri="{28A0092B-C50C-407E-A947-70E740481C1C}">
                          <a14:useLocalDpi xmlns:a14="http://schemas.microsoft.com/office/drawing/2010/main" val="0"/>
                        </a:ext>
                      </a:extLst>
                    </a:blip>
                    <a:stretch>
                      <a:fillRect/>
                    </a:stretch>
                  </pic:blipFill>
                  <pic:spPr>
                    <a:xfrm>
                      <a:off x="0" y="0"/>
                      <a:ext cx="2451735" cy="1617345"/>
                    </a:xfrm>
                    <a:prstGeom prst="rect">
                      <a:avLst/>
                    </a:prstGeom>
                  </pic:spPr>
                </pic:pic>
              </a:graphicData>
            </a:graphic>
          </wp:anchor>
        </w:drawing>
      </w:r>
      <w:r w:rsidR="00E1629A" w:rsidRPr="001670F3">
        <w:rPr>
          <w:rFonts w:ascii="Palatino Linotype" w:hAnsi="Palatino Linotype"/>
          <w:sz w:val="20"/>
          <w:szCs w:val="20"/>
        </w:rPr>
        <w:tab/>
      </w:r>
      <w:r w:rsidR="00E1629A" w:rsidRPr="001670F3">
        <w:rPr>
          <w:rFonts w:ascii="Palatino Linotype" w:hAnsi="Palatino Linotype"/>
          <w:sz w:val="20"/>
          <w:szCs w:val="20"/>
        </w:rPr>
        <w:tab/>
      </w:r>
    </w:p>
    <w:p w14:paraId="4BE05B15" w14:textId="048723BF" w:rsidR="00E1629A" w:rsidRDefault="00E1629A" w:rsidP="00E1629A">
      <w:pPr>
        <w:pStyle w:val="ListParagraph"/>
        <w:rPr>
          <w:rFonts w:ascii="Palatino Linotype" w:hAnsi="Palatino Linotype"/>
          <w:sz w:val="20"/>
          <w:szCs w:val="20"/>
        </w:rPr>
      </w:pPr>
    </w:p>
    <w:p w14:paraId="7913077F" w14:textId="77777777" w:rsidR="00E1629A" w:rsidRDefault="00E1629A" w:rsidP="00E1629A">
      <w:pPr>
        <w:rPr>
          <w:rFonts w:ascii="Palatino Linotype" w:hAnsi="Palatino Linotype"/>
          <w:sz w:val="20"/>
          <w:szCs w:val="20"/>
        </w:rPr>
      </w:pPr>
    </w:p>
    <w:p w14:paraId="6A138F4A" w14:textId="77777777" w:rsidR="00E1629A" w:rsidRDefault="00E1629A" w:rsidP="00E1629A">
      <w:pPr>
        <w:rPr>
          <w:rFonts w:ascii="Palatino Linotype" w:hAnsi="Palatino Linotype"/>
          <w:sz w:val="20"/>
          <w:szCs w:val="20"/>
        </w:rPr>
      </w:pPr>
    </w:p>
    <w:p w14:paraId="0B6D0957" w14:textId="77777777" w:rsidR="00E1629A" w:rsidRDefault="00E1629A" w:rsidP="00E1629A">
      <w:pPr>
        <w:rPr>
          <w:rFonts w:ascii="Palatino Linotype" w:hAnsi="Palatino Linotype"/>
          <w:sz w:val="20"/>
          <w:szCs w:val="20"/>
        </w:rPr>
      </w:pPr>
    </w:p>
    <w:p w14:paraId="710C00F4" w14:textId="77777777" w:rsidR="00E1629A" w:rsidRDefault="00E1629A" w:rsidP="00E1629A">
      <w:pPr>
        <w:rPr>
          <w:rFonts w:ascii="Palatino Linotype" w:hAnsi="Palatino Linotype"/>
          <w:sz w:val="20"/>
          <w:szCs w:val="20"/>
        </w:rPr>
      </w:pPr>
    </w:p>
    <w:p w14:paraId="748D933D" w14:textId="77777777" w:rsidR="00E1629A" w:rsidRDefault="00E1629A" w:rsidP="00E1629A">
      <w:pPr>
        <w:rPr>
          <w:rFonts w:ascii="Palatino Linotype" w:hAnsi="Palatino Linotype"/>
          <w:sz w:val="20"/>
          <w:szCs w:val="20"/>
        </w:rPr>
      </w:pPr>
    </w:p>
    <w:p w14:paraId="76567C13" w14:textId="77777777" w:rsidR="00E1629A" w:rsidRDefault="00E1629A" w:rsidP="00E1629A">
      <w:pPr>
        <w:rPr>
          <w:rFonts w:ascii="Palatino Linotype" w:hAnsi="Palatino Linotype"/>
          <w:sz w:val="20"/>
          <w:szCs w:val="20"/>
        </w:rPr>
      </w:pPr>
    </w:p>
    <w:p w14:paraId="6EE2DAE9" w14:textId="77777777" w:rsidR="00E1629A" w:rsidRDefault="00E1629A" w:rsidP="00E1629A">
      <w:pPr>
        <w:rPr>
          <w:rFonts w:ascii="Palatino Linotype" w:hAnsi="Palatino Linotype"/>
          <w:sz w:val="20"/>
          <w:szCs w:val="20"/>
        </w:rPr>
      </w:pPr>
    </w:p>
    <w:p w14:paraId="0FF52026" w14:textId="77777777" w:rsidR="00E1629A" w:rsidRDefault="00E1629A" w:rsidP="00E1629A">
      <w:pPr>
        <w:rPr>
          <w:rFonts w:ascii="Palatino Linotype" w:hAnsi="Palatino Linotype"/>
          <w:sz w:val="20"/>
          <w:szCs w:val="20"/>
        </w:rPr>
      </w:pPr>
    </w:p>
    <w:p w14:paraId="49DEFCE3" w14:textId="77777777" w:rsidR="00E1629A" w:rsidRDefault="00E1629A" w:rsidP="00E1629A">
      <w:pPr>
        <w:rPr>
          <w:rFonts w:ascii="Palatino Linotype" w:hAnsi="Palatino Linotype"/>
          <w:sz w:val="20"/>
          <w:szCs w:val="20"/>
        </w:rPr>
      </w:pPr>
    </w:p>
    <w:p w14:paraId="0A987B51" w14:textId="4BF91046" w:rsidR="00E1629A" w:rsidRPr="00E1629A" w:rsidRDefault="001670F3" w:rsidP="00E1629A">
      <w:pPr>
        <w:rPr>
          <w:rFonts w:ascii="Palatino Linotype" w:hAnsi="Palatino Linotype"/>
          <w:sz w:val="20"/>
          <w:szCs w:val="20"/>
        </w:rPr>
      </w:pPr>
      <w:r>
        <w:rPr>
          <w:rFonts w:ascii="Palatino Linotype" w:hAnsi="Palatino Linotype"/>
          <w:sz w:val="20"/>
          <w:szCs w:val="20"/>
        </w:rPr>
        <w:t>(c</w:t>
      </w:r>
      <w:r w:rsidR="00E1629A" w:rsidRPr="00E1629A">
        <w:rPr>
          <w:rFonts w:ascii="Palatino Linotype" w:hAnsi="Palatino Linotype"/>
          <w:sz w:val="20"/>
          <w:szCs w:val="20"/>
        </w:rPr>
        <w:t xml:space="preserve">) </w:t>
      </w:r>
    </w:p>
    <w:p w14:paraId="16BF86A7" w14:textId="6B1E7BD8" w:rsidR="00E1629A" w:rsidRDefault="001670F3">
      <w:pPr>
        <w:rPr>
          <w:rFonts w:ascii="Palatino Linotype" w:hAnsi="Palatino Linotype"/>
          <w:sz w:val="20"/>
          <w:szCs w:val="20"/>
        </w:rPr>
      </w:pPr>
      <w:r>
        <w:rPr>
          <w:rFonts w:ascii="Palatino Linotype" w:hAnsi="Palatino Linotype"/>
          <w:noProof/>
          <w:sz w:val="20"/>
          <w:szCs w:val="20"/>
          <w:lang w:eastAsia="en-GB"/>
        </w:rPr>
        <w:drawing>
          <wp:anchor distT="0" distB="0" distL="114300" distR="114300" simplePos="0" relativeHeight="251664384" behindDoc="0" locked="0" layoutInCell="1" allowOverlap="1" wp14:anchorId="02C2AC88" wp14:editId="247FCB09">
            <wp:simplePos x="0" y="0"/>
            <wp:positionH relativeFrom="margin">
              <wp:posOffset>187362</wp:posOffset>
            </wp:positionH>
            <wp:positionV relativeFrom="margin">
              <wp:posOffset>2519045</wp:posOffset>
            </wp:positionV>
            <wp:extent cx="2378710" cy="1945640"/>
            <wp:effectExtent l="0" t="0" r="8890" b="1016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G taxol titration curves.pdf"/>
                    <pic:cNvPicPr/>
                  </pic:nvPicPr>
                  <pic:blipFill>
                    <a:blip r:embed="rId6">
                      <a:extLst>
                        <a:ext uri="{28A0092B-C50C-407E-A947-70E740481C1C}">
                          <a14:useLocalDpi xmlns:a14="http://schemas.microsoft.com/office/drawing/2010/main" val="0"/>
                        </a:ext>
                      </a:extLst>
                    </a:blip>
                    <a:stretch>
                      <a:fillRect/>
                    </a:stretch>
                  </pic:blipFill>
                  <pic:spPr>
                    <a:xfrm>
                      <a:off x="0" y="0"/>
                      <a:ext cx="2378710" cy="1945640"/>
                    </a:xfrm>
                    <a:prstGeom prst="rect">
                      <a:avLst/>
                    </a:prstGeom>
                  </pic:spPr>
                </pic:pic>
              </a:graphicData>
            </a:graphic>
          </wp:anchor>
        </w:drawing>
      </w:r>
      <w:r w:rsidR="00E1629A">
        <w:rPr>
          <w:rFonts w:ascii="Palatino Linotype" w:hAnsi="Palatino Linotype"/>
          <w:noProof/>
          <w:sz w:val="20"/>
          <w:szCs w:val="20"/>
          <w:lang w:eastAsia="en-GB"/>
        </w:rPr>
        <w:drawing>
          <wp:anchor distT="0" distB="0" distL="114300" distR="114300" simplePos="0" relativeHeight="251661312" behindDoc="0" locked="0" layoutInCell="1" allowOverlap="1" wp14:anchorId="3B7134BB" wp14:editId="3DBF484D">
            <wp:simplePos x="0" y="0"/>
            <wp:positionH relativeFrom="margin">
              <wp:align>right</wp:align>
            </wp:positionH>
            <wp:positionV relativeFrom="margin">
              <wp:align>top</wp:align>
            </wp:positionV>
            <wp:extent cx="2505075" cy="1899920"/>
            <wp:effectExtent l="0" t="0" r="9525" b="508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dipy verapamil titration curves.pdf"/>
                    <pic:cNvPicPr/>
                  </pic:nvPicPr>
                  <pic:blipFill>
                    <a:blip r:embed="rId7">
                      <a:extLst>
                        <a:ext uri="{28A0092B-C50C-407E-A947-70E740481C1C}">
                          <a14:useLocalDpi xmlns:a14="http://schemas.microsoft.com/office/drawing/2010/main" val="0"/>
                        </a:ext>
                      </a:extLst>
                    </a:blip>
                    <a:stretch>
                      <a:fillRect/>
                    </a:stretch>
                  </pic:blipFill>
                  <pic:spPr>
                    <a:xfrm>
                      <a:off x="0" y="0"/>
                      <a:ext cx="2505075" cy="1899920"/>
                    </a:xfrm>
                    <a:prstGeom prst="rect">
                      <a:avLst/>
                    </a:prstGeom>
                  </pic:spPr>
                </pic:pic>
              </a:graphicData>
            </a:graphic>
          </wp:anchor>
        </w:drawing>
      </w:r>
    </w:p>
    <w:p w14:paraId="4C9D7F4C" w14:textId="137E30B0" w:rsidR="00E1629A" w:rsidRDefault="00E1629A">
      <w:pPr>
        <w:rPr>
          <w:rFonts w:ascii="Palatino Linotype" w:hAnsi="Palatino Linotype"/>
          <w:sz w:val="20"/>
          <w:szCs w:val="20"/>
        </w:rPr>
      </w:pPr>
    </w:p>
    <w:p w14:paraId="51295D27" w14:textId="604444D2" w:rsidR="00E1629A" w:rsidRDefault="00E1629A">
      <w:pPr>
        <w:rPr>
          <w:rFonts w:ascii="Palatino Linotype" w:hAnsi="Palatino Linotype"/>
          <w:sz w:val="20"/>
          <w:szCs w:val="20"/>
        </w:rPr>
      </w:pPr>
    </w:p>
    <w:p w14:paraId="3AE77324" w14:textId="003FCDFB" w:rsidR="00E1629A" w:rsidRDefault="00E1629A">
      <w:pPr>
        <w:rPr>
          <w:rFonts w:ascii="Palatino Linotype" w:hAnsi="Palatino Linotype"/>
          <w:sz w:val="20"/>
          <w:szCs w:val="20"/>
        </w:rPr>
      </w:pPr>
    </w:p>
    <w:p w14:paraId="5C38FAFA" w14:textId="0BBA8991" w:rsidR="00E1629A" w:rsidRDefault="00E1629A">
      <w:pPr>
        <w:rPr>
          <w:rFonts w:ascii="Palatino Linotype" w:hAnsi="Palatino Linotype"/>
          <w:sz w:val="20"/>
          <w:szCs w:val="20"/>
        </w:rPr>
      </w:pPr>
    </w:p>
    <w:p w14:paraId="11012CED" w14:textId="3875821C" w:rsidR="00E1629A" w:rsidRDefault="00E1629A">
      <w:pPr>
        <w:rPr>
          <w:rFonts w:ascii="Palatino Linotype" w:hAnsi="Palatino Linotype"/>
          <w:sz w:val="20"/>
          <w:szCs w:val="20"/>
        </w:rPr>
      </w:pPr>
    </w:p>
    <w:p w14:paraId="75254D59" w14:textId="45AA5250" w:rsidR="00E1629A" w:rsidRDefault="00E1629A">
      <w:pPr>
        <w:rPr>
          <w:rFonts w:ascii="Palatino Linotype" w:hAnsi="Palatino Linotype"/>
          <w:sz w:val="20"/>
          <w:szCs w:val="20"/>
        </w:rPr>
      </w:pPr>
    </w:p>
    <w:p w14:paraId="33153396" w14:textId="3D6E80CD" w:rsidR="00E1629A" w:rsidRDefault="00E1629A">
      <w:pPr>
        <w:rPr>
          <w:rFonts w:ascii="Palatino Linotype" w:hAnsi="Palatino Linotype"/>
          <w:sz w:val="20"/>
          <w:szCs w:val="20"/>
        </w:rPr>
      </w:pPr>
    </w:p>
    <w:p w14:paraId="4F68DCD4" w14:textId="02B57672" w:rsidR="00E1629A" w:rsidRDefault="00E1629A">
      <w:pPr>
        <w:rPr>
          <w:rFonts w:ascii="Palatino Linotype" w:hAnsi="Palatino Linotype"/>
          <w:sz w:val="20"/>
          <w:szCs w:val="20"/>
        </w:rPr>
      </w:pPr>
    </w:p>
    <w:p w14:paraId="04EC9AF8" w14:textId="54484959" w:rsidR="00E1629A" w:rsidRDefault="00E1629A">
      <w:pPr>
        <w:rPr>
          <w:rFonts w:ascii="Palatino Linotype" w:hAnsi="Palatino Linotype"/>
          <w:sz w:val="20"/>
          <w:szCs w:val="20"/>
        </w:rPr>
      </w:pPr>
    </w:p>
    <w:p w14:paraId="0401C96E" w14:textId="662186E9" w:rsidR="00E1629A" w:rsidRDefault="00E1629A">
      <w:pPr>
        <w:rPr>
          <w:rFonts w:ascii="Palatino Linotype" w:hAnsi="Palatino Linotype"/>
          <w:sz w:val="20"/>
          <w:szCs w:val="20"/>
        </w:rPr>
      </w:pPr>
    </w:p>
    <w:p w14:paraId="53993051" w14:textId="77777777" w:rsidR="00E1629A" w:rsidRDefault="00E1629A">
      <w:pPr>
        <w:rPr>
          <w:rFonts w:ascii="Palatino Linotype" w:hAnsi="Palatino Linotype"/>
          <w:sz w:val="20"/>
          <w:szCs w:val="20"/>
        </w:rPr>
      </w:pPr>
    </w:p>
    <w:p w14:paraId="36DF6579" w14:textId="2B9B4963" w:rsidR="00E1629A" w:rsidRDefault="00E1629A">
      <w:pPr>
        <w:rPr>
          <w:rFonts w:ascii="Palatino Linotype" w:hAnsi="Palatino Linotype"/>
          <w:sz w:val="20"/>
          <w:szCs w:val="20"/>
        </w:rPr>
      </w:pPr>
    </w:p>
    <w:p w14:paraId="3344A8D3" w14:textId="699FDC79" w:rsidR="00E1629A" w:rsidRDefault="00E1629A">
      <w:pPr>
        <w:rPr>
          <w:rFonts w:ascii="Palatino Linotype" w:hAnsi="Palatino Linotype"/>
          <w:sz w:val="20"/>
          <w:szCs w:val="20"/>
        </w:rPr>
      </w:pPr>
    </w:p>
    <w:p w14:paraId="6C0D86A2" w14:textId="77777777" w:rsidR="00E1629A" w:rsidRDefault="00E1629A">
      <w:pPr>
        <w:rPr>
          <w:rFonts w:ascii="Palatino Linotype" w:hAnsi="Palatino Linotype"/>
          <w:sz w:val="20"/>
          <w:szCs w:val="20"/>
        </w:rPr>
      </w:pPr>
    </w:p>
    <w:p w14:paraId="469259F5" w14:textId="2E81A444" w:rsidR="00D8470F" w:rsidRDefault="00E1629A">
      <w:pPr>
        <w:rPr>
          <w:rFonts w:ascii="Palatino Linotype" w:hAnsi="Palatino Linotype"/>
          <w:sz w:val="18"/>
          <w:szCs w:val="18"/>
        </w:rPr>
      </w:pPr>
      <w:r w:rsidRPr="00E1629A">
        <w:rPr>
          <w:rFonts w:ascii="Palatino Linotype" w:hAnsi="Palatino Linotype"/>
          <w:b/>
          <w:sz w:val="18"/>
          <w:szCs w:val="18"/>
        </w:rPr>
        <w:t xml:space="preserve">Supplementary Figure </w:t>
      </w:r>
      <w:r w:rsidR="004B797E">
        <w:rPr>
          <w:rFonts w:ascii="Palatino Linotype" w:hAnsi="Palatino Linotype"/>
          <w:b/>
          <w:sz w:val="18"/>
          <w:szCs w:val="18"/>
        </w:rPr>
        <w:t>S</w:t>
      </w:r>
      <w:r w:rsidRPr="00E1629A">
        <w:rPr>
          <w:rFonts w:ascii="Palatino Linotype" w:hAnsi="Palatino Linotype"/>
          <w:b/>
          <w:sz w:val="18"/>
          <w:szCs w:val="18"/>
        </w:rPr>
        <w:t>1.</w:t>
      </w:r>
      <w:r>
        <w:rPr>
          <w:rFonts w:ascii="Palatino Linotype" w:hAnsi="Palatino Linotype"/>
          <w:sz w:val="18"/>
          <w:szCs w:val="18"/>
        </w:rPr>
        <w:t xml:space="preserve"> Titration of transport substrates</w:t>
      </w:r>
      <w:r w:rsidR="001670F3">
        <w:rPr>
          <w:rFonts w:ascii="Palatino Linotype" w:hAnsi="Palatino Linotype"/>
          <w:sz w:val="18"/>
          <w:szCs w:val="18"/>
        </w:rPr>
        <w:t xml:space="preserve"> for development of</w:t>
      </w:r>
      <w:r>
        <w:rPr>
          <w:rFonts w:ascii="Palatino Linotype" w:hAnsi="Palatino Linotype"/>
          <w:sz w:val="18"/>
          <w:szCs w:val="18"/>
        </w:rPr>
        <w:t xml:space="preserve"> flow cytometry assay. HEK293T cells were transiently transfected</w:t>
      </w:r>
      <w:r w:rsidR="001670F3">
        <w:rPr>
          <w:rFonts w:ascii="Palatino Linotype" w:hAnsi="Palatino Linotype"/>
          <w:sz w:val="18"/>
          <w:szCs w:val="18"/>
        </w:rPr>
        <w:t xml:space="preserve"> with pABCB1</w:t>
      </w:r>
      <w:r>
        <w:rPr>
          <w:rFonts w:ascii="Palatino Linotype" w:hAnsi="Palatino Linotype"/>
          <w:sz w:val="18"/>
          <w:szCs w:val="18"/>
        </w:rPr>
        <w:t xml:space="preserve">. Cells were labelled with </w:t>
      </w:r>
      <w:r w:rsidR="001670F3">
        <w:rPr>
          <w:rFonts w:ascii="Palatino Linotype" w:hAnsi="Palatino Linotype"/>
          <w:sz w:val="18"/>
          <w:szCs w:val="18"/>
        </w:rPr>
        <w:t xml:space="preserve">the anti-ABCB1 </w:t>
      </w:r>
      <w:r>
        <w:rPr>
          <w:rFonts w:ascii="Palatino Linotype" w:hAnsi="Palatino Linotype"/>
          <w:sz w:val="18"/>
          <w:szCs w:val="18"/>
        </w:rPr>
        <w:t xml:space="preserve">primary 4E3 antibody as described in the methods. The red-fluorescent secondary antibody was added and the cells divided into 100 </w:t>
      </w:r>
      <w:r>
        <w:rPr>
          <w:rFonts w:ascii="Palatino Linotype" w:hAnsi="Palatino Linotype"/>
          <w:sz w:val="18"/>
          <w:szCs w:val="18"/>
        </w:rPr>
        <w:sym w:font="Symbol" w:char="F06D"/>
      </w:r>
      <w:r>
        <w:rPr>
          <w:rFonts w:ascii="Palatino Linotype" w:hAnsi="Palatino Linotype"/>
          <w:sz w:val="18"/>
          <w:szCs w:val="18"/>
        </w:rPr>
        <w:t>l aliquots to which were added increasing concent</w:t>
      </w:r>
      <w:r w:rsidRPr="001670F3">
        <w:rPr>
          <w:rFonts w:ascii="Palatino Linotype" w:hAnsi="Palatino Linotype"/>
          <w:sz w:val="18"/>
          <w:szCs w:val="18"/>
        </w:rPr>
        <w:t>rations of</w:t>
      </w:r>
      <w:r w:rsidR="001670F3" w:rsidRPr="001670F3">
        <w:rPr>
          <w:rFonts w:ascii="Palatino Linotype" w:hAnsi="Palatino Linotype"/>
          <w:sz w:val="18"/>
          <w:szCs w:val="18"/>
        </w:rPr>
        <w:t xml:space="preserve"> green-fluorescent transport substrate</w:t>
      </w:r>
      <w:r w:rsidRPr="001670F3">
        <w:rPr>
          <w:rFonts w:ascii="Palatino Linotype" w:hAnsi="Palatino Linotype"/>
          <w:sz w:val="18"/>
          <w:szCs w:val="18"/>
        </w:rPr>
        <w:t xml:space="preserve">. After </w:t>
      </w:r>
      <w:r>
        <w:rPr>
          <w:rFonts w:ascii="Palatino Linotype" w:hAnsi="Palatino Linotype"/>
          <w:sz w:val="18"/>
          <w:szCs w:val="18"/>
        </w:rPr>
        <w:t>20 minutes at 37</w:t>
      </w:r>
      <w:r w:rsidRPr="00E1629A">
        <w:rPr>
          <w:rFonts w:ascii="Palatino Linotype" w:hAnsi="Palatino Linotype"/>
          <w:sz w:val="18"/>
          <w:szCs w:val="18"/>
          <w:vertAlign w:val="superscript"/>
        </w:rPr>
        <w:t>o</w:t>
      </w:r>
      <w:r>
        <w:rPr>
          <w:rFonts w:ascii="Palatino Linotype" w:hAnsi="Palatino Linotype"/>
          <w:sz w:val="18"/>
          <w:szCs w:val="18"/>
        </w:rPr>
        <w:t xml:space="preserve">C the cells were recovered by gentle centrifugation, washed and resuspended in transport buffer for flow cytometry. Ten thousand cells of normal size and granularity were analysed for antibody binding </w:t>
      </w:r>
      <w:r w:rsidR="001670F3">
        <w:rPr>
          <w:rFonts w:ascii="Palatino Linotype" w:hAnsi="Palatino Linotype"/>
          <w:sz w:val="18"/>
          <w:szCs w:val="18"/>
        </w:rPr>
        <w:t>to distinguish the ABCB1-expressing from the untransfected cells</w:t>
      </w:r>
      <w:r>
        <w:rPr>
          <w:rFonts w:ascii="Palatino Linotype" w:hAnsi="Palatino Linotype"/>
          <w:sz w:val="18"/>
          <w:szCs w:val="18"/>
        </w:rPr>
        <w:t>. The level of transport substrate uptake by the two populations was plotted against the final concentration of transport substrate added to the cell samples using Graphpad Prism version 8. The transport substrate content of the ABCB1-expressing (transfected) cells is shown in red (left Y axis) and the non-expressing (untransfected) cells in black (right Y axis)</w:t>
      </w:r>
      <w:r w:rsidR="001670F3">
        <w:rPr>
          <w:rFonts w:ascii="Palatino Linotype" w:hAnsi="Palatino Linotype"/>
          <w:sz w:val="18"/>
          <w:szCs w:val="18"/>
        </w:rPr>
        <w:t xml:space="preserve"> for: </w:t>
      </w:r>
      <w:r w:rsidR="001670F3" w:rsidRPr="001670F3">
        <w:rPr>
          <w:rFonts w:ascii="Palatino Linotype" w:hAnsi="Palatino Linotype"/>
          <w:b/>
          <w:sz w:val="18"/>
          <w:szCs w:val="18"/>
        </w:rPr>
        <w:t>(a)</w:t>
      </w:r>
      <w:r w:rsidR="001670F3">
        <w:rPr>
          <w:rFonts w:ascii="Palatino Linotype" w:hAnsi="Palatino Linotype"/>
          <w:b/>
          <w:sz w:val="18"/>
          <w:szCs w:val="18"/>
        </w:rPr>
        <w:t xml:space="preserve"> </w:t>
      </w:r>
      <w:r w:rsidR="001670F3">
        <w:rPr>
          <w:rFonts w:ascii="Palatino Linotype" w:hAnsi="Palatino Linotype"/>
          <w:sz w:val="18"/>
          <w:szCs w:val="18"/>
        </w:rPr>
        <w:t xml:space="preserve">Calcein-AM; </w:t>
      </w:r>
      <w:r w:rsidR="001670F3">
        <w:rPr>
          <w:rFonts w:ascii="Palatino Linotype" w:hAnsi="Palatino Linotype"/>
          <w:b/>
          <w:sz w:val="18"/>
          <w:szCs w:val="18"/>
        </w:rPr>
        <w:t>(b</w:t>
      </w:r>
      <w:r w:rsidR="001670F3" w:rsidRPr="001670F3">
        <w:rPr>
          <w:rFonts w:ascii="Palatino Linotype" w:hAnsi="Palatino Linotype"/>
          <w:b/>
          <w:sz w:val="18"/>
          <w:szCs w:val="18"/>
        </w:rPr>
        <w:t>)</w:t>
      </w:r>
      <w:r w:rsidR="001670F3">
        <w:rPr>
          <w:rFonts w:ascii="Palatino Linotype" w:hAnsi="Palatino Linotype"/>
          <w:b/>
          <w:sz w:val="18"/>
          <w:szCs w:val="18"/>
        </w:rPr>
        <w:t xml:space="preserve"> </w:t>
      </w:r>
      <w:r w:rsidR="001670F3">
        <w:rPr>
          <w:rFonts w:ascii="Palatino Linotype" w:hAnsi="Palatino Linotype"/>
          <w:sz w:val="18"/>
          <w:szCs w:val="18"/>
        </w:rPr>
        <w:t xml:space="preserve">BODIPY-verapamil; </w:t>
      </w:r>
      <w:r w:rsidR="001670F3">
        <w:rPr>
          <w:rFonts w:ascii="Palatino Linotype" w:hAnsi="Palatino Linotype"/>
          <w:b/>
          <w:sz w:val="18"/>
          <w:szCs w:val="18"/>
        </w:rPr>
        <w:t>(c</w:t>
      </w:r>
      <w:r w:rsidR="001670F3" w:rsidRPr="001670F3">
        <w:rPr>
          <w:rFonts w:ascii="Palatino Linotype" w:hAnsi="Palatino Linotype"/>
          <w:b/>
          <w:sz w:val="18"/>
          <w:szCs w:val="18"/>
        </w:rPr>
        <w:t>)</w:t>
      </w:r>
      <w:r w:rsidR="001670F3">
        <w:rPr>
          <w:rFonts w:ascii="Palatino Linotype" w:hAnsi="Palatino Linotype"/>
          <w:b/>
          <w:sz w:val="18"/>
          <w:szCs w:val="18"/>
        </w:rPr>
        <w:t xml:space="preserve"> </w:t>
      </w:r>
      <w:r w:rsidR="001670F3">
        <w:rPr>
          <w:rFonts w:ascii="Palatino Linotype" w:hAnsi="Palatino Linotype"/>
          <w:sz w:val="18"/>
          <w:szCs w:val="18"/>
        </w:rPr>
        <w:t xml:space="preserve">OREGON GREEN </w:t>
      </w:r>
      <w:r w:rsidR="004B797E">
        <w:rPr>
          <w:rFonts w:ascii="Palatino Linotype" w:hAnsi="Palatino Linotype"/>
          <w:sz w:val="18"/>
          <w:szCs w:val="18"/>
        </w:rPr>
        <w:t>t</w:t>
      </w:r>
      <w:r w:rsidR="001670F3">
        <w:rPr>
          <w:rFonts w:ascii="Palatino Linotype" w:hAnsi="Palatino Linotype"/>
          <w:sz w:val="18"/>
          <w:szCs w:val="18"/>
        </w:rPr>
        <w:t>axol bisacetate</w:t>
      </w:r>
      <w:r>
        <w:rPr>
          <w:rFonts w:ascii="Palatino Linotype" w:hAnsi="Palatino Linotype"/>
          <w:sz w:val="18"/>
          <w:szCs w:val="18"/>
        </w:rPr>
        <w:t xml:space="preserve">. The concentration of each drug to use for </w:t>
      </w:r>
      <w:r w:rsidR="001670F3">
        <w:rPr>
          <w:rFonts w:ascii="Palatino Linotype" w:hAnsi="Palatino Linotype"/>
          <w:sz w:val="18"/>
          <w:szCs w:val="18"/>
        </w:rPr>
        <w:t>subsequent experiments</w:t>
      </w:r>
      <w:r>
        <w:rPr>
          <w:rFonts w:ascii="Palatino Linotype" w:hAnsi="Palatino Linotype"/>
          <w:sz w:val="18"/>
          <w:szCs w:val="18"/>
        </w:rPr>
        <w:t xml:space="preserve"> was determined as the point at which the red curve begins to accumulate transport substrate indicating that transporter density at the plasma membrane is becoming saturated. This was deemed to be 500 nM for Calcein-AM, 800 nM for BODIPY-verapamil and 400 nM for OREGON GREEN-Taxol bisacetate. These concentrations </w:t>
      </w:r>
      <w:r w:rsidR="001670F3">
        <w:rPr>
          <w:rFonts w:ascii="Palatino Linotype" w:hAnsi="Palatino Linotype"/>
          <w:sz w:val="18"/>
          <w:szCs w:val="18"/>
        </w:rPr>
        <w:t xml:space="preserve">also </w:t>
      </w:r>
      <w:r>
        <w:rPr>
          <w:rFonts w:ascii="Palatino Linotype" w:hAnsi="Palatino Linotype"/>
          <w:sz w:val="18"/>
          <w:szCs w:val="18"/>
        </w:rPr>
        <w:t>provide good discrimination between the ABCB1-expressing and non-expressing cells in the population but are minimal thus limiting any possible cytotoxic effects of verapamil or taxol derivatives</w:t>
      </w:r>
      <w:r w:rsidR="001670F3">
        <w:rPr>
          <w:rFonts w:ascii="Palatino Linotype" w:hAnsi="Palatino Linotype"/>
          <w:sz w:val="18"/>
          <w:szCs w:val="18"/>
        </w:rPr>
        <w:t xml:space="preserve"> during the assay</w:t>
      </w:r>
      <w:r>
        <w:rPr>
          <w:rFonts w:ascii="Palatino Linotype" w:hAnsi="Palatino Linotype"/>
          <w:sz w:val="18"/>
          <w:szCs w:val="18"/>
        </w:rPr>
        <w:t xml:space="preserve">. </w:t>
      </w:r>
    </w:p>
    <w:p w14:paraId="6B3D4C99" w14:textId="77777777" w:rsidR="001670F3" w:rsidRDefault="001670F3">
      <w:pPr>
        <w:rPr>
          <w:rFonts w:ascii="Palatino Linotype" w:hAnsi="Palatino Linotype"/>
          <w:sz w:val="18"/>
          <w:szCs w:val="18"/>
        </w:rPr>
      </w:pPr>
    </w:p>
    <w:p w14:paraId="29B08298" w14:textId="34848F45" w:rsidR="00826C3F" w:rsidRDefault="00826C3F">
      <w:pPr>
        <w:rPr>
          <w:rFonts w:ascii="Palatino Linotype" w:hAnsi="Palatino Linotype"/>
          <w:sz w:val="18"/>
          <w:szCs w:val="18"/>
        </w:rPr>
      </w:pPr>
      <w:r>
        <w:rPr>
          <w:rFonts w:ascii="Palatino Linotype" w:hAnsi="Palatino Linotype"/>
          <w:sz w:val="18"/>
          <w:szCs w:val="18"/>
        </w:rPr>
        <w:br w:type="page"/>
      </w:r>
    </w:p>
    <w:p w14:paraId="3A8C4A0F" w14:textId="11BF8F92" w:rsidR="00826C3F" w:rsidRDefault="00153AB6">
      <w:pPr>
        <w:rPr>
          <w:rFonts w:ascii="Palatino Linotype" w:hAnsi="Palatino Linotype"/>
          <w:b/>
          <w:sz w:val="18"/>
          <w:szCs w:val="18"/>
        </w:rPr>
      </w:pPr>
      <w:r>
        <w:rPr>
          <w:rFonts w:ascii="Palatino Linotype" w:hAnsi="Palatino Linotype"/>
          <w:b/>
          <w:noProof/>
          <w:sz w:val="18"/>
          <w:szCs w:val="18"/>
        </w:rPr>
        <w:lastRenderedPageBreak/>
        <mc:AlternateContent>
          <mc:Choice Requires="wps">
            <w:drawing>
              <wp:anchor distT="0" distB="0" distL="114300" distR="114300" simplePos="0" relativeHeight="251665408" behindDoc="0" locked="0" layoutInCell="1" allowOverlap="1" wp14:anchorId="7CF389D6" wp14:editId="3433A5FF">
                <wp:simplePos x="0" y="0"/>
                <wp:positionH relativeFrom="column">
                  <wp:posOffset>3746272</wp:posOffset>
                </wp:positionH>
                <wp:positionV relativeFrom="paragraph">
                  <wp:posOffset>-3175</wp:posOffset>
                </wp:positionV>
                <wp:extent cx="1526192" cy="1888006"/>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1526192" cy="1888006"/>
                        </a:xfrm>
                        <a:prstGeom prst="rect">
                          <a:avLst/>
                        </a:prstGeom>
                        <a:solidFill>
                          <a:schemeClr val="lt1"/>
                        </a:solidFill>
                        <a:ln w="6350">
                          <a:noFill/>
                        </a:ln>
                      </wps:spPr>
                      <wps:txbx>
                        <w:txbxContent>
                          <w:p w14:paraId="6CEC8BCA" w14:textId="43394F8B" w:rsidR="00153AB6" w:rsidRPr="00153AB6" w:rsidRDefault="00153AB6">
                            <w:pPr>
                              <w:rPr>
                                <w:rFonts w:ascii="Arial" w:hAnsi="Arial" w:cs="Arial"/>
                                <w:sz w:val="28"/>
                                <w:szCs w:val="28"/>
                              </w:rPr>
                            </w:pPr>
                            <w:r w:rsidRPr="00153AB6">
                              <w:rPr>
                                <w:rFonts w:ascii="Arial" w:hAnsi="Arial" w:cs="Arial"/>
                                <w:sz w:val="28"/>
                                <w:szCs w:val="28"/>
                              </w:rPr>
                              <w:t>E556/1201Q</w:t>
                            </w:r>
                          </w:p>
                          <w:p w14:paraId="08AD5CB1" w14:textId="21A17D78" w:rsidR="00153AB6" w:rsidRPr="00153AB6" w:rsidRDefault="00153AB6">
                            <w:pPr>
                              <w:rPr>
                                <w:rFonts w:ascii="Arial" w:hAnsi="Arial" w:cs="Arial"/>
                                <w:sz w:val="28"/>
                                <w:szCs w:val="28"/>
                              </w:rPr>
                            </w:pPr>
                            <w:r w:rsidRPr="00153AB6">
                              <w:rPr>
                                <w:rFonts w:ascii="Arial" w:hAnsi="Arial" w:cs="Arial"/>
                                <w:sz w:val="28"/>
                                <w:szCs w:val="28"/>
                              </w:rPr>
                              <w:t>Q725/990A</w:t>
                            </w:r>
                          </w:p>
                          <w:p w14:paraId="4B571B37" w14:textId="0651DA7B" w:rsidR="00153AB6" w:rsidRPr="00153AB6" w:rsidRDefault="00153AB6">
                            <w:pPr>
                              <w:rPr>
                                <w:rFonts w:ascii="Arial" w:hAnsi="Arial" w:cs="Arial"/>
                                <w:sz w:val="28"/>
                                <w:szCs w:val="28"/>
                              </w:rPr>
                            </w:pPr>
                            <w:r w:rsidRPr="00153AB6">
                              <w:rPr>
                                <w:rFonts w:ascii="Arial" w:hAnsi="Arial" w:cs="Arial"/>
                                <w:sz w:val="28"/>
                                <w:szCs w:val="28"/>
                              </w:rPr>
                              <w:t>Q347/990A</w:t>
                            </w:r>
                          </w:p>
                          <w:p w14:paraId="0D375B48" w14:textId="0EE44322" w:rsidR="00153AB6" w:rsidRPr="00153AB6" w:rsidRDefault="00153AB6">
                            <w:pPr>
                              <w:rPr>
                                <w:rFonts w:ascii="Arial" w:hAnsi="Arial" w:cs="Arial"/>
                                <w:sz w:val="28"/>
                                <w:szCs w:val="28"/>
                              </w:rPr>
                            </w:pPr>
                            <w:r w:rsidRPr="00153AB6">
                              <w:rPr>
                                <w:rFonts w:ascii="Arial" w:hAnsi="Arial" w:cs="Arial"/>
                                <w:sz w:val="28"/>
                                <w:szCs w:val="28"/>
                              </w:rPr>
                              <w:t>Q347/725A</w:t>
                            </w:r>
                          </w:p>
                          <w:p w14:paraId="65F02DEA" w14:textId="7671FFDE" w:rsidR="00153AB6" w:rsidRPr="00153AB6" w:rsidRDefault="00153AB6">
                            <w:pPr>
                              <w:rPr>
                                <w:rFonts w:ascii="Arial" w:hAnsi="Arial" w:cs="Arial"/>
                                <w:sz w:val="28"/>
                                <w:szCs w:val="28"/>
                              </w:rPr>
                            </w:pPr>
                            <w:r w:rsidRPr="00153AB6">
                              <w:rPr>
                                <w:rFonts w:ascii="Arial" w:hAnsi="Arial" w:cs="Arial"/>
                                <w:sz w:val="28"/>
                                <w:szCs w:val="28"/>
                              </w:rPr>
                              <w:t>Qtriple</w:t>
                            </w:r>
                          </w:p>
                          <w:p w14:paraId="0E71DDE4" w14:textId="3CF91E4D" w:rsidR="00153AB6" w:rsidRPr="00153AB6" w:rsidRDefault="00153AB6">
                            <w:pPr>
                              <w:rPr>
                                <w:rFonts w:ascii="Arial" w:hAnsi="Arial" w:cs="Arial"/>
                                <w:sz w:val="28"/>
                                <w:szCs w:val="28"/>
                              </w:rPr>
                            </w:pPr>
                            <w:r w:rsidRPr="00153AB6">
                              <w:rPr>
                                <w:rFonts w:ascii="Arial" w:hAnsi="Arial" w:cs="Arial"/>
                                <w:sz w:val="28"/>
                                <w:szCs w:val="28"/>
                              </w:rPr>
                              <w:t>Q990A</w:t>
                            </w:r>
                          </w:p>
                          <w:p w14:paraId="76D6772C" w14:textId="3C0C5068" w:rsidR="00153AB6" w:rsidRPr="00153AB6" w:rsidRDefault="00153AB6">
                            <w:pPr>
                              <w:rPr>
                                <w:rFonts w:ascii="Arial" w:hAnsi="Arial" w:cs="Arial"/>
                                <w:sz w:val="28"/>
                                <w:szCs w:val="28"/>
                              </w:rPr>
                            </w:pPr>
                            <w:r w:rsidRPr="00153AB6">
                              <w:rPr>
                                <w:rFonts w:ascii="Arial" w:hAnsi="Arial" w:cs="Arial"/>
                                <w:sz w:val="28"/>
                                <w:szCs w:val="28"/>
                              </w:rPr>
                              <w:t>Q725A</w:t>
                            </w:r>
                          </w:p>
                          <w:p w14:paraId="3F7576DB" w14:textId="171CE82B" w:rsidR="00153AB6" w:rsidRPr="00153AB6" w:rsidRDefault="00153AB6">
                            <w:pPr>
                              <w:rPr>
                                <w:rFonts w:ascii="Arial" w:hAnsi="Arial" w:cs="Arial"/>
                                <w:sz w:val="28"/>
                                <w:szCs w:val="28"/>
                              </w:rPr>
                            </w:pPr>
                            <w:r w:rsidRPr="00153AB6">
                              <w:rPr>
                                <w:rFonts w:ascii="Arial" w:hAnsi="Arial" w:cs="Arial"/>
                                <w:sz w:val="28"/>
                                <w:szCs w:val="28"/>
                              </w:rPr>
                              <w:t>Q347A</w:t>
                            </w:r>
                          </w:p>
                          <w:p w14:paraId="4B037ABC" w14:textId="0BC6F29B" w:rsidR="00153AB6" w:rsidRPr="00153AB6" w:rsidRDefault="00153AB6">
                            <w:pPr>
                              <w:rPr>
                                <w:rFonts w:ascii="Arial" w:hAnsi="Arial" w:cs="Arial"/>
                                <w:sz w:val="28"/>
                                <w:szCs w:val="28"/>
                              </w:rPr>
                            </w:pPr>
                            <w:r w:rsidRPr="00153AB6">
                              <w:rPr>
                                <w:rFonts w:ascii="Arial" w:hAnsi="Arial" w:cs="Arial"/>
                                <w:sz w:val="28"/>
                                <w:szCs w:val="28"/>
                              </w:rPr>
                              <w:t>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7CF389D6" id="_x0000_t202" coordsize="21600,21600" o:spt="202" path="m,l,21600r21600,l21600,xe">
                <v:stroke joinstyle="miter"/>
                <v:path gradientshapeok="t" o:connecttype="rect"/>
              </v:shapetype>
              <v:shape id="Text Box 2" o:spid="_x0000_s1026" type="#_x0000_t202" style="position:absolute;margin-left:295pt;margin-top:-.25pt;width:120.15pt;height:148.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yodRQQIAAHoEAAAOAAAAZHJzL2Uyb0RvYy54bWysVMGO2jAQvVfqP1i+l5AUKBsRVpQVVSW0&#13;&#10;uxKs9mwcGyI5Htc2JPTrO3YCS7c9Vb04tmf8Zua9mczu21qRk7CuAl3QdDCkRGgOZaX3BX3Zrj5N&#13;&#10;KXGe6ZIp0KKgZ+Ho/fzjh1ljcpHBAVQpLEEQ7fLGFPTgvcmTxPGDqJkbgBEajRJszTwe7T4pLWsQ&#13;&#10;vVZJNhxOkgZsaSxw4RzePnRGOo/4Ugrun6R0whNVUMzNx9XGdRfWZD5j+d4yc6h4nwb7hyxqVmkM&#13;&#10;eoV6YJ6Ro63+gKorbsGB9AMOdQJSVlzEGrCadPiums2BGRFrQXKcudLk/h8sfzw9W1KVBc0o0axG&#13;&#10;ibai9eQrtCQL7DTG5ei0MejmW7xGlS/3Di9D0a20dfhiOQTtyPP5ym0A4+HROJukdxiEoy2dTqco&#13;&#10;XsBJ3p4b6/w3ATUJm4JaFC9yyk5r5zvXi0uI5kBV5apSKh5Cw4ilsuTEUGrlY5II/puX0qQp6OTz&#13;&#10;eBiBNYTnHbLSmEsotisq7Hy7a3sGdlCekQALXQM5w1cVJrlmzj8zix2DNeMU+CdcpAIMAv2OkgPY&#13;&#10;n3+7D/4oJFopabADC+p+HJkVlKjvGiW+S0ej0LLxMBp/yfBgby27W4s+1kvAylOcN8PjNvh7ddlK&#13;&#10;C/UrDssiREUT0xxjF9RftkvfzQUOGxeLRXTCJjXMr/XG8AAdmA4SbNtXZk2vk0eJH+HSqyx/J1fn&#13;&#10;G15qWBw9yCpqGQjuWO15xwaP3dAPY5ig23P0evtlzH8BAAD//wMAUEsDBBQABgAIAAAAIQBf1Y5j&#13;&#10;5QAAAA4BAAAPAAAAZHJzL2Rvd25yZXYueG1sTI9LT8MwEITvSPwHa5G4oNahUUqaZlMhnhI3Gh7i&#13;&#10;5sZLEhGvo9hNwr/HnOAy0mq0M/Plu9l0YqTBtZYRLpcRCOLK6pZrhJfyfpGCcF6xVp1lQvgmB7vi&#13;&#10;9CRXmbYTP9O497UIIewyhdB432dSuqoho9zS9sTB+7SDUT6cQy31oKYQbjq5iqK1NKrl0NConm4a&#13;&#10;qr72R4PwcVG/P7n54XWKk7i/exzLqzddIp6fzbfbINdbEJ5m//cBvwxhPxRh2MEeWTvRISSbKAB5&#13;&#10;hEUCIvhpHMUgDgirzToFWeTyP0bxAwAA//8DAFBLAQItABQABgAIAAAAIQC2gziS/gAAAOEBAAAT&#13;&#10;AAAAAAAAAAAAAAAAAAAAAABbQ29udGVudF9UeXBlc10ueG1sUEsBAi0AFAAGAAgAAAAhADj9If/W&#13;&#10;AAAAlAEAAAsAAAAAAAAAAAAAAAAALwEAAF9yZWxzLy5yZWxzUEsBAi0AFAAGAAgAAAAhACjKh1FB&#13;&#10;AgAAegQAAA4AAAAAAAAAAAAAAAAALgIAAGRycy9lMm9Eb2MueG1sUEsBAi0AFAAGAAgAAAAhAF/V&#13;&#10;jmPlAAAADgEAAA8AAAAAAAAAAAAAAAAAmwQAAGRycy9kb3ducmV2LnhtbFBLBQYAAAAABAAEAPMA&#13;&#10;AACtBQAAAAA=&#13;&#10;" fillcolor="white [3201]" stroked="f" strokeweight=".5pt">
                <v:textbox>
                  <w:txbxContent>
                    <w:p w14:paraId="6CEC8BCA" w14:textId="43394F8B" w:rsidR="00153AB6" w:rsidRPr="00153AB6" w:rsidRDefault="00153AB6">
                      <w:pPr>
                        <w:rPr>
                          <w:rFonts w:ascii="Arial" w:hAnsi="Arial" w:cs="Arial"/>
                          <w:sz w:val="28"/>
                          <w:szCs w:val="28"/>
                        </w:rPr>
                      </w:pPr>
                      <w:r w:rsidRPr="00153AB6">
                        <w:rPr>
                          <w:rFonts w:ascii="Arial" w:hAnsi="Arial" w:cs="Arial"/>
                          <w:sz w:val="28"/>
                          <w:szCs w:val="28"/>
                        </w:rPr>
                        <w:t>E556/1201Q</w:t>
                      </w:r>
                    </w:p>
                    <w:p w14:paraId="08AD5CB1" w14:textId="21A17D78" w:rsidR="00153AB6" w:rsidRPr="00153AB6" w:rsidRDefault="00153AB6">
                      <w:pPr>
                        <w:rPr>
                          <w:rFonts w:ascii="Arial" w:hAnsi="Arial" w:cs="Arial"/>
                          <w:sz w:val="28"/>
                          <w:szCs w:val="28"/>
                        </w:rPr>
                      </w:pPr>
                      <w:r w:rsidRPr="00153AB6">
                        <w:rPr>
                          <w:rFonts w:ascii="Arial" w:hAnsi="Arial" w:cs="Arial"/>
                          <w:sz w:val="28"/>
                          <w:szCs w:val="28"/>
                        </w:rPr>
                        <w:t>Q725/990A</w:t>
                      </w:r>
                    </w:p>
                    <w:p w14:paraId="4B571B37" w14:textId="0651DA7B" w:rsidR="00153AB6" w:rsidRPr="00153AB6" w:rsidRDefault="00153AB6">
                      <w:pPr>
                        <w:rPr>
                          <w:rFonts w:ascii="Arial" w:hAnsi="Arial" w:cs="Arial"/>
                          <w:sz w:val="28"/>
                          <w:szCs w:val="28"/>
                        </w:rPr>
                      </w:pPr>
                      <w:r w:rsidRPr="00153AB6">
                        <w:rPr>
                          <w:rFonts w:ascii="Arial" w:hAnsi="Arial" w:cs="Arial"/>
                          <w:sz w:val="28"/>
                          <w:szCs w:val="28"/>
                        </w:rPr>
                        <w:t>Q347/990A</w:t>
                      </w:r>
                    </w:p>
                    <w:p w14:paraId="0D375B48" w14:textId="0EE44322" w:rsidR="00153AB6" w:rsidRPr="00153AB6" w:rsidRDefault="00153AB6">
                      <w:pPr>
                        <w:rPr>
                          <w:rFonts w:ascii="Arial" w:hAnsi="Arial" w:cs="Arial"/>
                          <w:sz w:val="28"/>
                          <w:szCs w:val="28"/>
                        </w:rPr>
                      </w:pPr>
                      <w:r w:rsidRPr="00153AB6">
                        <w:rPr>
                          <w:rFonts w:ascii="Arial" w:hAnsi="Arial" w:cs="Arial"/>
                          <w:sz w:val="28"/>
                          <w:szCs w:val="28"/>
                        </w:rPr>
                        <w:t>Q347/725A</w:t>
                      </w:r>
                    </w:p>
                    <w:p w14:paraId="65F02DEA" w14:textId="7671FFDE" w:rsidR="00153AB6" w:rsidRPr="00153AB6" w:rsidRDefault="00153AB6">
                      <w:pPr>
                        <w:rPr>
                          <w:rFonts w:ascii="Arial" w:hAnsi="Arial" w:cs="Arial"/>
                          <w:sz w:val="28"/>
                          <w:szCs w:val="28"/>
                        </w:rPr>
                      </w:pPr>
                      <w:proofErr w:type="spellStart"/>
                      <w:r w:rsidRPr="00153AB6">
                        <w:rPr>
                          <w:rFonts w:ascii="Arial" w:hAnsi="Arial" w:cs="Arial"/>
                          <w:sz w:val="28"/>
                          <w:szCs w:val="28"/>
                        </w:rPr>
                        <w:t>Qtriple</w:t>
                      </w:r>
                      <w:proofErr w:type="spellEnd"/>
                    </w:p>
                    <w:p w14:paraId="0E71DDE4" w14:textId="3CF91E4D" w:rsidR="00153AB6" w:rsidRPr="00153AB6" w:rsidRDefault="00153AB6">
                      <w:pPr>
                        <w:rPr>
                          <w:rFonts w:ascii="Arial" w:hAnsi="Arial" w:cs="Arial"/>
                          <w:sz w:val="28"/>
                          <w:szCs w:val="28"/>
                        </w:rPr>
                      </w:pPr>
                      <w:r w:rsidRPr="00153AB6">
                        <w:rPr>
                          <w:rFonts w:ascii="Arial" w:hAnsi="Arial" w:cs="Arial"/>
                          <w:sz w:val="28"/>
                          <w:szCs w:val="28"/>
                        </w:rPr>
                        <w:t>Q990A</w:t>
                      </w:r>
                    </w:p>
                    <w:p w14:paraId="76D6772C" w14:textId="3C0C5068" w:rsidR="00153AB6" w:rsidRPr="00153AB6" w:rsidRDefault="00153AB6">
                      <w:pPr>
                        <w:rPr>
                          <w:rFonts w:ascii="Arial" w:hAnsi="Arial" w:cs="Arial"/>
                          <w:sz w:val="28"/>
                          <w:szCs w:val="28"/>
                        </w:rPr>
                      </w:pPr>
                      <w:r w:rsidRPr="00153AB6">
                        <w:rPr>
                          <w:rFonts w:ascii="Arial" w:hAnsi="Arial" w:cs="Arial"/>
                          <w:sz w:val="28"/>
                          <w:szCs w:val="28"/>
                        </w:rPr>
                        <w:t>Q725A</w:t>
                      </w:r>
                    </w:p>
                    <w:p w14:paraId="3F7576DB" w14:textId="171CE82B" w:rsidR="00153AB6" w:rsidRPr="00153AB6" w:rsidRDefault="00153AB6">
                      <w:pPr>
                        <w:rPr>
                          <w:rFonts w:ascii="Arial" w:hAnsi="Arial" w:cs="Arial"/>
                          <w:sz w:val="28"/>
                          <w:szCs w:val="28"/>
                        </w:rPr>
                      </w:pPr>
                      <w:r w:rsidRPr="00153AB6">
                        <w:rPr>
                          <w:rFonts w:ascii="Arial" w:hAnsi="Arial" w:cs="Arial"/>
                          <w:sz w:val="28"/>
                          <w:szCs w:val="28"/>
                        </w:rPr>
                        <w:t>Q347A</w:t>
                      </w:r>
                    </w:p>
                    <w:p w14:paraId="4B037ABC" w14:textId="0BC6F29B" w:rsidR="00153AB6" w:rsidRPr="00153AB6" w:rsidRDefault="00153AB6">
                      <w:pPr>
                        <w:rPr>
                          <w:rFonts w:ascii="Arial" w:hAnsi="Arial" w:cs="Arial"/>
                          <w:sz w:val="28"/>
                          <w:szCs w:val="28"/>
                        </w:rPr>
                      </w:pPr>
                      <w:r w:rsidRPr="00153AB6">
                        <w:rPr>
                          <w:rFonts w:ascii="Arial" w:hAnsi="Arial" w:cs="Arial"/>
                          <w:sz w:val="28"/>
                          <w:szCs w:val="28"/>
                        </w:rPr>
                        <w:t>WT</w:t>
                      </w:r>
                    </w:p>
                  </w:txbxContent>
                </v:textbox>
              </v:shape>
            </w:pict>
          </mc:Fallback>
        </mc:AlternateContent>
      </w:r>
      <w:r>
        <w:rPr>
          <w:rFonts w:ascii="Palatino Linotype" w:hAnsi="Palatino Linotype"/>
          <w:b/>
          <w:noProof/>
          <w:sz w:val="18"/>
          <w:szCs w:val="18"/>
        </w:rPr>
        <w:drawing>
          <wp:inline distT="0" distB="0" distL="0" distR="0" wp14:anchorId="72C2E269" wp14:editId="0DDE3992">
            <wp:extent cx="3735705" cy="32168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extLst>
                        <a:ext uri="{28A0092B-C50C-407E-A947-70E740481C1C}">
                          <a14:useLocalDpi xmlns:a14="http://schemas.microsoft.com/office/drawing/2010/main" val="0"/>
                        </a:ext>
                      </a:extLst>
                    </a:blip>
                    <a:srcRect l="20446" t="16071" r="14311" b="44226"/>
                    <a:stretch/>
                  </pic:blipFill>
                  <pic:spPr bwMode="auto">
                    <a:xfrm>
                      <a:off x="0" y="0"/>
                      <a:ext cx="3736977" cy="3217941"/>
                    </a:xfrm>
                    <a:prstGeom prst="rect">
                      <a:avLst/>
                    </a:prstGeom>
                    <a:ln>
                      <a:noFill/>
                    </a:ln>
                    <a:extLst>
                      <a:ext uri="{53640926-AAD7-44D8-BBD7-CCE9431645EC}">
                        <a14:shadowObscured xmlns:a14="http://schemas.microsoft.com/office/drawing/2010/main"/>
                      </a:ext>
                    </a:extLst>
                  </pic:spPr>
                </pic:pic>
              </a:graphicData>
            </a:graphic>
          </wp:inline>
        </w:drawing>
      </w:r>
    </w:p>
    <w:p w14:paraId="6AF5DB60" w14:textId="77777777" w:rsidR="00826C3F" w:rsidRDefault="00826C3F">
      <w:pPr>
        <w:rPr>
          <w:rFonts w:ascii="Palatino Linotype" w:hAnsi="Palatino Linotype"/>
          <w:b/>
          <w:sz w:val="18"/>
          <w:szCs w:val="18"/>
        </w:rPr>
      </w:pPr>
    </w:p>
    <w:p w14:paraId="2CD9F821" w14:textId="58E1029C" w:rsidR="00434A63" w:rsidRDefault="00826C3F" w:rsidP="00434A63">
      <w:pPr>
        <w:pStyle w:val="MDPI62BackMatter"/>
        <w:spacing w:before="240"/>
        <w:ind w:left="0"/>
      </w:pPr>
      <w:r w:rsidRPr="00E1629A">
        <w:rPr>
          <w:b/>
          <w:szCs w:val="18"/>
        </w:rPr>
        <w:t xml:space="preserve">Supplementary Figure </w:t>
      </w:r>
      <w:r>
        <w:rPr>
          <w:b/>
          <w:szCs w:val="18"/>
        </w:rPr>
        <w:t>S2</w:t>
      </w:r>
      <w:r w:rsidRPr="00E1629A">
        <w:rPr>
          <w:b/>
          <w:szCs w:val="18"/>
        </w:rPr>
        <w:t>.</w:t>
      </w:r>
      <w:r>
        <w:rPr>
          <w:b/>
          <w:szCs w:val="18"/>
        </w:rPr>
        <w:t xml:space="preserve"> </w:t>
      </w:r>
      <w:r w:rsidR="00434A63" w:rsidRPr="003362BB">
        <w:rPr>
          <w:bCs/>
          <w:lang w:val="en-GB"/>
        </w:rPr>
        <w:t>C</w:t>
      </w:r>
      <w:r w:rsidR="00434A63">
        <w:rPr>
          <w:bCs/>
          <w:lang w:val="en-GB"/>
        </w:rPr>
        <w:t>onfirmation of</w:t>
      </w:r>
      <w:r w:rsidR="00434A63" w:rsidRPr="003362BB">
        <w:rPr>
          <w:bCs/>
          <w:lang w:val="en-GB"/>
        </w:rPr>
        <w:t xml:space="preserve"> equivalent levels of </w:t>
      </w:r>
      <w:r w:rsidR="00434A63">
        <w:rPr>
          <w:bCs/>
          <w:lang w:val="en-GB"/>
        </w:rPr>
        <w:t xml:space="preserve">ABCB1 at the plasma membrane </w:t>
      </w:r>
      <w:r w:rsidR="00434A63" w:rsidRPr="003362BB">
        <w:rPr>
          <w:bCs/>
          <w:lang w:val="en-GB"/>
        </w:rPr>
        <w:t>ensure</w:t>
      </w:r>
      <w:r w:rsidR="00875638">
        <w:rPr>
          <w:bCs/>
          <w:lang w:val="en-GB"/>
        </w:rPr>
        <w:t>d</w:t>
      </w:r>
      <w:r w:rsidR="00434A63" w:rsidRPr="003362BB">
        <w:rPr>
          <w:bCs/>
          <w:lang w:val="en-GB"/>
        </w:rPr>
        <w:t xml:space="preserve"> </w:t>
      </w:r>
      <w:r w:rsidR="00875638">
        <w:rPr>
          <w:bCs/>
          <w:lang w:val="en-GB"/>
        </w:rPr>
        <w:t xml:space="preserve">that any </w:t>
      </w:r>
      <w:r w:rsidR="00434A63" w:rsidRPr="003362BB">
        <w:rPr>
          <w:bCs/>
          <w:lang w:val="en-GB"/>
        </w:rPr>
        <w:t xml:space="preserve">differences in transport activity </w:t>
      </w:r>
      <w:r w:rsidR="00875638">
        <w:rPr>
          <w:bCs/>
          <w:lang w:val="en-GB"/>
        </w:rPr>
        <w:t>we</w:t>
      </w:r>
      <w:r w:rsidR="00434A63" w:rsidRPr="003362BB">
        <w:rPr>
          <w:bCs/>
          <w:lang w:val="en-GB"/>
        </w:rPr>
        <w:t>re due to ABCB1 functionality rather than the transporter</w:t>
      </w:r>
      <w:r w:rsidR="00434A63">
        <w:rPr>
          <w:bCs/>
          <w:lang w:val="en-GB"/>
        </w:rPr>
        <w:t xml:space="preserve"> expression level</w:t>
      </w:r>
      <w:r w:rsidR="00434A63" w:rsidRPr="003362BB">
        <w:rPr>
          <w:bCs/>
          <w:lang w:val="en-GB"/>
        </w:rPr>
        <w:t>.</w:t>
      </w:r>
      <w:r w:rsidR="00875638">
        <w:rPr>
          <w:bCs/>
          <w:lang w:val="en-GB"/>
        </w:rPr>
        <w:t xml:space="preserve"> Histogram of the 4E3-positive populations showing significant overlap in red fluorescence of wild-type ABCB1 and each of the mutant transporters. </w:t>
      </w:r>
    </w:p>
    <w:p w14:paraId="5C791DAF" w14:textId="4110D3F1" w:rsidR="001670F3" w:rsidRPr="00826C3F" w:rsidRDefault="001670F3">
      <w:pPr>
        <w:rPr>
          <w:rFonts w:ascii="Palatino Linotype" w:hAnsi="Palatino Linotype"/>
          <w:bCs/>
          <w:sz w:val="18"/>
          <w:szCs w:val="18"/>
        </w:rPr>
      </w:pPr>
    </w:p>
    <w:sectPr w:rsidR="001670F3" w:rsidRPr="00826C3F" w:rsidSect="00FC57B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F5A5B"/>
    <w:multiLevelType w:val="hybridMultilevel"/>
    <w:tmpl w:val="73DC3B6C"/>
    <w:lvl w:ilvl="0" w:tplc="A188458C">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195078C"/>
    <w:multiLevelType w:val="hybridMultilevel"/>
    <w:tmpl w:val="A3D00168"/>
    <w:lvl w:ilvl="0" w:tplc="59F69F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54DA8"/>
    <w:multiLevelType w:val="hybridMultilevel"/>
    <w:tmpl w:val="1A8CAD32"/>
    <w:lvl w:ilvl="0" w:tplc="767A8A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91378B"/>
    <w:multiLevelType w:val="hybridMultilevel"/>
    <w:tmpl w:val="B59CB7C0"/>
    <w:lvl w:ilvl="0" w:tplc="08A0378E">
      <w:start w:val="1"/>
      <w:numFmt w:val="lowerLetter"/>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4" w15:restartNumberingAfterBreak="0">
    <w:nsid w:val="3B0A3252"/>
    <w:multiLevelType w:val="hybridMultilevel"/>
    <w:tmpl w:val="EC2E5850"/>
    <w:lvl w:ilvl="0" w:tplc="A120B6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BD2358"/>
    <w:multiLevelType w:val="hybridMultilevel"/>
    <w:tmpl w:val="BC6AD670"/>
    <w:lvl w:ilvl="0" w:tplc="1908C2C6">
      <w:start w:val="1"/>
      <w:numFmt w:val="lowerLetter"/>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29A"/>
    <w:rsid w:val="00014497"/>
    <w:rsid w:val="00074920"/>
    <w:rsid w:val="00153AB6"/>
    <w:rsid w:val="001670F3"/>
    <w:rsid w:val="003F1A65"/>
    <w:rsid w:val="0041348D"/>
    <w:rsid w:val="00434A63"/>
    <w:rsid w:val="004B797E"/>
    <w:rsid w:val="004E2F01"/>
    <w:rsid w:val="006A07EE"/>
    <w:rsid w:val="00826C3F"/>
    <w:rsid w:val="00875638"/>
    <w:rsid w:val="008D6FE1"/>
    <w:rsid w:val="00AA66E8"/>
    <w:rsid w:val="00B55533"/>
    <w:rsid w:val="00CE4489"/>
    <w:rsid w:val="00E1629A"/>
    <w:rsid w:val="00FC57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6A5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29A"/>
    <w:pPr>
      <w:ind w:left="720"/>
      <w:contextualSpacing/>
    </w:pPr>
  </w:style>
  <w:style w:type="paragraph" w:customStyle="1" w:styleId="MDPI62BackMatter">
    <w:name w:val="MDPI_6.2_BackMatter"/>
    <w:qFormat/>
    <w:rsid w:val="00434A63"/>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Linton</dc:creator>
  <cp:keywords/>
  <dc:description/>
  <cp:lastModifiedBy>Kenneth Linton</cp:lastModifiedBy>
  <cp:revision>2</cp:revision>
  <dcterms:created xsi:type="dcterms:W3CDTF">2021-05-28T17:04:00Z</dcterms:created>
  <dcterms:modified xsi:type="dcterms:W3CDTF">2021-05-28T17:04:00Z</dcterms:modified>
</cp:coreProperties>
</file>