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1B31D" w14:textId="1D7C8489" w:rsidR="007F2E27" w:rsidRDefault="00D71716" w:rsidP="00D71716">
      <w:pPr>
        <w:rPr>
          <w:rFonts w:ascii="Times New Roman" w:hAnsi="Times New Roman" w:cs="Times New Roman"/>
          <w:b/>
          <w:bCs/>
          <w:sz w:val="24"/>
          <w:szCs w:val="24"/>
          <w:lang w:val="en-GB"/>
        </w:rPr>
      </w:pPr>
      <w:r>
        <w:rPr>
          <w:rFonts w:ascii="Times New Roman" w:hAnsi="Times New Roman" w:cs="Times New Roman"/>
          <w:b/>
          <w:bCs/>
          <w:sz w:val="24"/>
          <w:szCs w:val="24"/>
          <w:lang w:val="en-GB"/>
        </w:rPr>
        <w:t>Additional</w:t>
      </w:r>
      <w:r w:rsidRPr="003443A8">
        <w:rPr>
          <w:rFonts w:ascii="Times New Roman" w:hAnsi="Times New Roman" w:cs="Times New Roman"/>
          <w:b/>
          <w:bCs/>
          <w:sz w:val="24"/>
          <w:szCs w:val="24"/>
          <w:lang w:val="en-GB"/>
        </w:rPr>
        <w:t xml:space="preserve"> Figures</w:t>
      </w:r>
      <w:r>
        <w:rPr>
          <w:rFonts w:ascii="Times New Roman" w:hAnsi="Times New Roman" w:cs="Times New Roman"/>
          <w:b/>
          <w:bCs/>
          <w:sz w:val="24"/>
          <w:szCs w:val="24"/>
          <w:lang w:val="en-GB"/>
        </w:rPr>
        <w:t xml:space="preserve">. </w:t>
      </w:r>
    </w:p>
    <w:p w14:paraId="3DB8451C" w14:textId="360BD573" w:rsidR="00AC2BC3" w:rsidRDefault="00AC2BC3" w:rsidP="00AC2BC3">
      <w:pPr>
        <w:tabs>
          <w:tab w:val="left" w:pos="3945"/>
        </w:tabs>
        <w:spacing w:line="360" w:lineRule="auto"/>
        <w:rPr>
          <w:rFonts w:ascii="Times New Roman" w:hAnsi="Times New Roman" w:cs="Times New Roman"/>
          <w:b/>
          <w:bCs/>
          <w:sz w:val="24"/>
          <w:szCs w:val="24"/>
          <w:lang w:val="en-GB"/>
        </w:rPr>
      </w:pPr>
      <w:r w:rsidRPr="008A083A">
        <w:rPr>
          <w:rFonts w:ascii="Times New Roman" w:hAnsi="Times New Roman" w:cs="Times New Roman"/>
          <w:b/>
          <w:bCs/>
          <w:sz w:val="24"/>
          <w:szCs w:val="24"/>
          <w:lang w:val="en-GB"/>
        </w:rPr>
        <w:t xml:space="preserve">Figure </w:t>
      </w:r>
      <w:r>
        <w:rPr>
          <w:rFonts w:ascii="Times New Roman" w:hAnsi="Times New Roman" w:cs="Times New Roman"/>
          <w:b/>
          <w:bCs/>
          <w:sz w:val="24"/>
          <w:szCs w:val="24"/>
          <w:lang w:val="en-GB"/>
        </w:rPr>
        <w:t>S</w:t>
      </w:r>
      <w:r w:rsidRPr="008A083A">
        <w:rPr>
          <w:rFonts w:ascii="Times New Roman" w:hAnsi="Times New Roman" w:cs="Times New Roman"/>
          <w:b/>
          <w:bCs/>
          <w:sz w:val="24"/>
          <w:szCs w:val="24"/>
          <w:lang w:val="en-GB"/>
        </w:rPr>
        <w:t>1</w:t>
      </w:r>
      <w:r w:rsidRPr="008A083A">
        <w:rPr>
          <w:rFonts w:ascii="Times New Roman" w:hAnsi="Times New Roman" w:cs="Times New Roman"/>
          <w:sz w:val="24"/>
          <w:szCs w:val="24"/>
          <w:lang w:val="en-GB"/>
        </w:rPr>
        <w:t xml:space="preserve">. Log-rank (mantel-Cox) test comparing the risk of experiencing at least one malaria attack (A) or at least one asymptomatic </w:t>
      </w:r>
      <w:r w:rsidRPr="00AE7BC5">
        <w:rPr>
          <w:rFonts w:ascii="Times New Roman" w:hAnsi="Times New Roman" w:cs="Times New Roman"/>
          <w:i/>
          <w:iCs/>
          <w:sz w:val="24"/>
          <w:szCs w:val="24"/>
          <w:lang w:val="en-GB"/>
        </w:rPr>
        <w:t>Plasmodium</w:t>
      </w:r>
      <w:r w:rsidRPr="008A083A">
        <w:rPr>
          <w:rFonts w:ascii="Times New Roman" w:hAnsi="Times New Roman" w:cs="Times New Roman"/>
          <w:sz w:val="24"/>
          <w:szCs w:val="24"/>
          <w:lang w:val="en-GB"/>
        </w:rPr>
        <w:t xml:space="preserve"> parasitemia episode (B) in children ≤ 4 years-old (n=7</w:t>
      </w:r>
      <w:r>
        <w:rPr>
          <w:rFonts w:ascii="Times New Roman" w:hAnsi="Times New Roman" w:cs="Times New Roman"/>
          <w:sz w:val="24"/>
          <w:szCs w:val="24"/>
          <w:lang w:val="en-GB"/>
        </w:rPr>
        <w:t>4</w:t>
      </w:r>
      <w:r w:rsidRPr="008A083A">
        <w:rPr>
          <w:rFonts w:ascii="Times New Roman" w:hAnsi="Times New Roman" w:cs="Times New Roman"/>
          <w:sz w:val="24"/>
          <w:szCs w:val="24"/>
          <w:lang w:val="en-GB"/>
        </w:rPr>
        <w:t>) or &gt; four years-old (n=184), within 16 months of follow-up. The 3</w:t>
      </w:r>
      <w:r>
        <w:rPr>
          <w:rFonts w:ascii="Times New Roman" w:hAnsi="Times New Roman" w:cs="Times New Roman"/>
          <w:sz w:val="24"/>
          <w:szCs w:val="24"/>
          <w:lang w:val="en-GB"/>
        </w:rPr>
        <w:t>5</w:t>
      </w:r>
      <w:r w:rsidRPr="008A083A">
        <w:rPr>
          <w:rFonts w:ascii="Times New Roman" w:hAnsi="Times New Roman" w:cs="Times New Roman"/>
          <w:sz w:val="24"/>
          <w:szCs w:val="24"/>
          <w:lang w:val="en-GB"/>
        </w:rPr>
        <w:t xml:space="preserve"> children who presented with asymptomatic </w:t>
      </w:r>
      <w:r w:rsidRPr="008A083A">
        <w:rPr>
          <w:rFonts w:ascii="Times New Roman" w:hAnsi="Times New Roman" w:cs="Times New Roman"/>
          <w:i/>
          <w:sz w:val="24"/>
          <w:szCs w:val="24"/>
          <w:lang w:val="en-GB"/>
        </w:rPr>
        <w:t>Plasmodium</w:t>
      </w:r>
      <w:r w:rsidRPr="008A083A">
        <w:rPr>
          <w:rFonts w:ascii="Times New Roman" w:hAnsi="Times New Roman" w:cs="Times New Roman"/>
          <w:sz w:val="24"/>
          <w:szCs w:val="24"/>
          <w:lang w:val="en-GB"/>
        </w:rPr>
        <w:t xml:space="preserve"> parasitaemia at baseline were excluded from this analysis.</w:t>
      </w:r>
    </w:p>
    <w:bookmarkStart w:id="0" w:name="_Hlk49871123"/>
    <w:p w14:paraId="4CF53E88" w14:textId="61402241" w:rsidR="00AC2BC3" w:rsidRDefault="00AC2BC3" w:rsidP="00AC2BC3">
      <w:pPr>
        <w:rPr>
          <w:rFonts w:ascii="Times New Roman" w:hAnsi="Times New Roman" w:cs="Times New Roman"/>
          <w:b/>
          <w:bCs/>
          <w:sz w:val="24"/>
          <w:szCs w:val="24"/>
          <w:lang w:val="en-GB"/>
        </w:rPr>
      </w:pPr>
      <w:r w:rsidRPr="008F57B3">
        <w:rPr>
          <w:lang w:val="en-GB"/>
        </w:rPr>
        <w:object w:dxaOrig="17095" w:dyaOrig="8518" w14:anchorId="699D49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75pt;height:225.75pt" o:ole="">
            <v:imagedata r:id="rId6" o:title=""/>
          </v:shape>
          <o:OLEObject Type="Embed" ProgID="Prism8.Document" ShapeID="_x0000_i1025" DrawAspect="Content" ObjectID="_1682937280" r:id="rId7"/>
        </w:object>
      </w:r>
      <w:bookmarkEnd w:id="0"/>
    </w:p>
    <w:p w14:paraId="0339D762" w14:textId="77777777" w:rsidR="00AC2BC3" w:rsidRDefault="00AC2BC3" w:rsidP="00AC2BC3">
      <w:pPr>
        <w:spacing w:line="360" w:lineRule="auto"/>
        <w:rPr>
          <w:rFonts w:ascii="Times New Roman" w:hAnsi="Times New Roman" w:cs="Times New Roman"/>
          <w:b/>
          <w:bCs/>
          <w:sz w:val="24"/>
          <w:szCs w:val="24"/>
          <w:lang w:val="en-GB"/>
        </w:rPr>
      </w:pPr>
    </w:p>
    <w:p w14:paraId="2B60855A" w14:textId="77777777" w:rsidR="00AC2BC3" w:rsidRDefault="00AC2BC3" w:rsidP="00AC2BC3">
      <w:pPr>
        <w:spacing w:line="360" w:lineRule="auto"/>
        <w:rPr>
          <w:rFonts w:ascii="Times New Roman" w:hAnsi="Times New Roman" w:cs="Times New Roman"/>
          <w:b/>
          <w:bCs/>
          <w:sz w:val="24"/>
          <w:szCs w:val="24"/>
          <w:lang w:val="en-GB"/>
        </w:rPr>
      </w:pPr>
    </w:p>
    <w:p w14:paraId="685065DD" w14:textId="77777777" w:rsidR="00AC2BC3" w:rsidRDefault="00AC2BC3" w:rsidP="00AC2BC3">
      <w:pPr>
        <w:spacing w:line="360" w:lineRule="auto"/>
        <w:rPr>
          <w:rFonts w:ascii="Times New Roman" w:hAnsi="Times New Roman" w:cs="Times New Roman"/>
          <w:b/>
          <w:bCs/>
          <w:sz w:val="24"/>
          <w:szCs w:val="24"/>
          <w:lang w:val="en-GB"/>
        </w:rPr>
      </w:pPr>
    </w:p>
    <w:p w14:paraId="6B3F170B" w14:textId="77777777" w:rsidR="00AC2BC3" w:rsidRDefault="00AC2BC3" w:rsidP="00AC2BC3">
      <w:pPr>
        <w:spacing w:line="360" w:lineRule="auto"/>
        <w:rPr>
          <w:rFonts w:ascii="Times New Roman" w:hAnsi="Times New Roman" w:cs="Times New Roman"/>
          <w:b/>
          <w:bCs/>
          <w:sz w:val="24"/>
          <w:szCs w:val="24"/>
          <w:lang w:val="en-GB"/>
        </w:rPr>
      </w:pPr>
    </w:p>
    <w:p w14:paraId="0B83AAD1" w14:textId="77777777" w:rsidR="00AC2BC3" w:rsidRDefault="00AC2BC3" w:rsidP="00AC2BC3">
      <w:pPr>
        <w:spacing w:line="360" w:lineRule="auto"/>
        <w:rPr>
          <w:rFonts w:ascii="Times New Roman" w:hAnsi="Times New Roman" w:cs="Times New Roman"/>
          <w:b/>
          <w:bCs/>
          <w:sz w:val="24"/>
          <w:szCs w:val="24"/>
          <w:lang w:val="en-GB"/>
        </w:rPr>
      </w:pPr>
    </w:p>
    <w:p w14:paraId="16225E75" w14:textId="77777777" w:rsidR="00AC2BC3" w:rsidRDefault="00AC2BC3" w:rsidP="00AC2BC3">
      <w:pPr>
        <w:spacing w:line="360" w:lineRule="auto"/>
        <w:rPr>
          <w:rFonts w:ascii="Times New Roman" w:hAnsi="Times New Roman" w:cs="Times New Roman"/>
          <w:b/>
          <w:bCs/>
          <w:sz w:val="24"/>
          <w:szCs w:val="24"/>
          <w:lang w:val="en-GB"/>
        </w:rPr>
      </w:pPr>
    </w:p>
    <w:p w14:paraId="55B61BD1" w14:textId="77777777" w:rsidR="00AC2BC3" w:rsidRDefault="00AC2BC3" w:rsidP="00AC2BC3">
      <w:pPr>
        <w:spacing w:line="360" w:lineRule="auto"/>
        <w:rPr>
          <w:rFonts w:ascii="Times New Roman" w:hAnsi="Times New Roman" w:cs="Times New Roman"/>
          <w:b/>
          <w:bCs/>
          <w:sz w:val="24"/>
          <w:szCs w:val="24"/>
          <w:lang w:val="en-GB"/>
        </w:rPr>
      </w:pPr>
    </w:p>
    <w:p w14:paraId="6F5916A5" w14:textId="77777777" w:rsidR="00AC2BC3" w:rsidRDefault="00AC2BC3" w:rsidP="00AC2BC3">
      <w:pPr>
        <w:spacing w:line="360" w:lineRule="auto"/>
        <w:rPr>
          <w:rFonts w:ascii="Times New Roman" w:hAnsi="Times New Roman" w:cs="Times New Roman"/>
          <w:b/>
          <w:bCs/>
          <w:sz w:val="24"/>
          <w:szCs w:val="24"/>
          <w:lang w:val="en-GB"/>
        </w:rPr>
      </w:pPr>
    </w:p>
    <w:p w14:paraId="294366DA" w14:textId="77777777" w:rsidR="00AC2BC3" w:rsidRDefault="00AC2BC3" w:rsidP="00AC2BC3">
      <w:pPr>
        <w:spacing w:line="360" w:lineRule="auto"/>
        <w:rPr>
          <w:rFonts w:ascii="Times New Roman" w:hAnsi="Times New Roman" w:cs="Times New Roman"/>
          <w:b/>
          <w:bCs/>
          <w:sz w:val="24"/>
          <w:szCs w:val="24"/>
          <w:lang w:val="en-GB"/>
        </w:rPr>
      </w:pPr>
    </w:p>
    <w:p w14:paraId="7B38D859" w14:textId="77777777" w:rsidR="00AC2BC3" w:rsidRDefault="00AC2BC3" w:rsidP="00AC2BC3">
      <w:pPr>
        <w:spacing w:line="360" w:lineRule="auto"/>
        <w:rPr>
          <w:rFonts w:ascii="Times New Roman" w:hAnsi="Times New Roman" w:cs="Times New Roman"/>
          <w:b/>
          <w:bCs/>
          <w:sz w:val="24"/>
          <w:szCs w:val="24"/>
          <w:lang w:val="en-GB"/>
        </w:rPr>
      </w:pPr>
    </w:p>
    <w:p w14:paraId="3AF2168E" w14:textId="77777777" w:rsidR="00AC2BC3" w:rsidRDefault="00AC2BC3" w:rsidP="00AC2BC3">
      <w:pPr>
        <w:spacing w:line="360" w:lineRule="auto"/>
        <w:rPr>
          <w:rFonts w:ascii="Times New Roman" w:hAnsi="Times New Roman" w:cs="Times New Roman"/>
          <w:b/>
          <w:bCs/>
          <w:sz w:val="24"/>
          <w:szCs w:val="24"/>
          <w:lang w:val="en-GB"/>
        </w:rPr>
      </w:pPr>
    </w:p>
    <w:p w14:paraId="17EFD4E6" w14:textId="7322111F" w:rsidR="00AC2BC3" w:rsidRPr="00AC2BC3" w:rsidRDefault="00AC2BC3" w:rsidP="00AC2BC3">
      <w:pPr>
        <w:spacing w:line="360" w:lineRule="auto"/>
        <w:rPr>
          <w:lang w:val="en-GB"/>
        </w:rPr>
      </w:pPr>
      <w:r w:rsidRPr="008A083A">
        <w:rPr>
          <w:rFonts w:ascii="Times New Roman" w:hAnsi="Times New Roman" w:cs="Times New Roman"/>
          <w:b/>
          <w:bCs/>
          <w:sz w:val="24"/>
          <w:szCs w:val="24"/>
          <w:lang w:val="en-GB"/>
        </w:rPr>
        <w:lastRenderedPageBreak/>
        <w:t xml:space="preserve">Figure </w:t>
      </w:r>
      <w:r>
        <w:rPr>
          <w:rFonts w:ascii="Times New Roman" w:hAnsi="Times New Roman" w:cs="Times New Roman"/>
          <w:b/>
          <w:bCs/>
          <w:sz w:val="24"/>
          <w:szCs w:val="24"/>
          <w:lang w:val="en-GB"/>
        </w:rPr>
        <w:t>S2</w:t>
      </w:r>
      <w:r w:rsidRPr="008A083A">
        <w:rPr>
          <w:rFonts w:ascii="Times New Roman" w:hAnsi="Times New Roman" w:cs="Times New Roman"/>
          <w:sz w:val="24"/>
          <w:szCs w:val="24"/>
          <w:lang w:val="en-GB"/>
        </w:rPr>
        <w:t xml:space="preserve">. Log-rank (mantel-Cox) test comparing the risk of experiencing at least one malaria attack (A) or at least one asymptomatic </w:t>
      </w:r>
      <w:r w:rsidRPr="008A083A">
        <w:rPr>
          <w:rFonts w:ascii="Times New Roman" w:hAnsi="Times New Roman" w:cs="Times New Roman"/>
          <w:i/>
          <w:sz w:val="24"/>
          <w:szCs w:val="24"/>
          <w:lang w:val="en-GB"/>
        </w:rPr>
        <w:t>Plasmodium</w:t>
      </w:r>
      <w:r w:rsidRPr="008A083A">
        <w:rPr>
          <w:rFonts w:ascii="Times New Roman" w:hAnsi="Times New Roman" w:cs="Times New Roman"/>
          <w:sz w:val="24"/>
          <w:szCs w:val="24"/>
          <w:lang w:val="en-GB"/>
        </w:rPr>
        <w:t xml:space="preserve"> parasitaemia episode (B) in children with either low (n=1</w:t>
      </w:r>
      <w:r>
        <w:rPr>
          <w:rFonts w:ascii="Times New Roman" w:hAnsi="Times New Roman" w:cs="Times New Roman"/>
          <w:sz w:val="24"/>
          <w:szCs w:val="24"/>
          <w:lang w:val="en-GB"/>
        </w:rPr>
        <w:t>30</w:t>
      </w:r>
      <w:r w:rsidRPr="008A083A">
        <w:rPr>
          <w:rFonts w:ascii="Times New Roman" w:hAnsi="Times New Roman" w:cs="Times New Roman"/>
          <w:sz w:val="24"/>
          <w:szCs w:val="24"/>
          <w:lang w:val="en-GB"/>
        </w:rPr>
        <w:t>) or high (n=1</w:t>
      </w:r>
      <w:r>
        <w:rPr>
          <w:rFonts w:ascii="Times New Roman" w:hAnsi="Times New Roman" w:cs="Times New Roman"/>
          <w:sz w:val="24"/>
          <w:szCs w:val="24"/>
          <w:lang w:val="en-GB"/>
        </w:rPr>
        <w:t>28</w:t>
      </w:r>
      <w:r w:rsidRPr="008A083A">
        <w:rPr>
          <w:rFonts w:ascii="Times New Roman" w:hAnsi="Times New Roman" w:cs="Times New Roman"/>
          <w:sz w:val="24"/>
          <w:szCs w:val="24"/>
          <w:lang w:val="en-GB"/>
        </w:rPr>
        <w:t xml:space="preserve">) gut bacteria OTU richness, within 16 months of follow-up. The 35 children who presented with asymptomatic </w:t>
      </w:r>
      <w:r w:rsidRPr="008A083A">
        <w:rPr>
          <w:rFonts w:ascii="Times New Roman" w:hAnsi="Times New Roman" w:cs="Times New Roman"/>
          <w:i/>
          <w:sz w:val="24"/>
          <w:szCs w:val="24"/>
          <w:lang w:val="en-GB"/>
        </w:rPr>
        <w:t>Plasmodium</w:t>
      </w:r>
      <w:r w:rsidRPr="008A083A">
        <w:rPr>
          <w:rFonts w:ascii="Times New Roman" w:hAnsi="Times New Roman" w:cs="Times New Roman"/>
          <w:sz w:val="24"/>
          <w:szCs w:val="24"/>
          <w:lang w:val="en-GB"/>
        </w:rPr>
        <w:t xml:space="preserve"> parasitaemia at baseline were excluded from this analysis.</w:t>
      </w:r>
      <w:r>
        <w:rPr>
          <w:rFonts w:ascii="Times New Roman" w:hAnsi="Times New Roman" w:cs="Times New Roman"/>
          <w:sz w:val="24"/>
          <w:szCs w:val="24"/>
          <w:lang w:val="en-GB"/>
        </w:rPr>
        <w:t xml:space="preserve"> </w:t>
      </w:r>
      <w:r w:rsidRPr="008A083A">
        <w:rPr>
          <w:rFonts w:ascii="Times New Roman" w:hAnsi="Times New Roman" w:cs="Times New Roman"/>
          <w:sz w:val="24"/>
          <w:szCs w:val="24"/>
          <w:lang w:val="en-GB"/>
        </w:rPr>
        <w:t xml:space="preserve">A) Fraction of malaria attack free; B) Fraction of no asymptomatic </w:t>
      </w:r>
      <w:r w:rsidRPr="008A083A">
        <w:rPr>
          <w:rFonts w:ascii="Times New Roman" w:hAnsi="Times New Roman" w:cs="Times New Roman"/>
          <w:i/>
          <w:sz w:val="24"/>
          <w:szCs w:val="24"/>
          <w:lang w:val="en-GB"/>
        </w:rPr>
        <w:t>Plasmodium</w:t>
      </w:r>
      <w:r w:rsidRPr="008A083A">
        <w:rPr>
          <w:rFonts w:ascii="Times New Roman" w:hAnsi="Times New Roman" w:cs="Times New Roman"/>
          <w:sz w:val="24"/>
          <w:szCs w:val="24"/>
          <w:lang w:val="en-GB"/>
        </w:rPr>
        <w:t xml:space="preserve"> parasitemia. Children with low </w:t>
      </w:r>
      <w:r>
        <w:rPr>
          <w:rFonts w:ascii="Times New Roman" w:hAnsi="Times New Roman" w:cs="Times New Roman"/>
          <w:sz w:val="24"/>
          <w:szCs w:val="24"/>
          <w:lang w:val="en-GB"/>
        </w:rPr>
        <w:t>(red);</w:t>
      </w:r>
      <w:r w:rsidRPr="008A083A">
        <w:rPr>
          <w:rFonts w:ascii="Times New Roman" w:hAnsi="Times New Roman" w:cs="Times New Roman"/>
          <w:sz w:val="24"/>
          <w:szCs w:val="24"/>
          <w:lang w:val="en-GB"/>
        </w:rPr>
        <w:t xml:space="preserve"> high gut bacteria OTU richness</w:t>
      </w:r>
      <w:r>
        <w:rPr>
          <w:rFonts w:ascii="Times New Roman" w:hAnsi="Times New Roman" w:cs="Times New Roman"/>
          <w:sz w:val="24"/>
          <w:szCs w:val="24"/>
          <w:lang w:val="en-GB"/>
        </w:rPr>
        <w:t xml:space="preserve"> (green).</w:t>
      </w:r>
    </w:p>
    <w:bookmarkStart w:id="1" w:name="_Hlk49871395"/>
    <w:p w14:paraId="1637D05B" w14:textId="6C4FE03F" w:rsidR="00AC2BC3" w:rsidRDefault="00AC2BC3" w:rsidP="00AC2BC3">
      <w:pPr>
        <w:rPr>
          <w:rFonts w:ascii="Times New Roman" w:hAnsi="Times New Roman" w:cs="Times New Roman"/>
          <w:b/>
          <w:bCs/>
          <w:sz w:val="24"/>
          <w:szCs w:val="24"/>
          <w:lang w:val="en-GB"/>
        </w:rPr>
      </w:pPr>
      <w:r w:rsidRPr="008F57B3">
        <w:rPr>
          <w:lang w:val="en-GB"/>
        </w:rPr>
        <w:object w:dxaOrig="18266" w:dyaOrig="7506" w14:anchorId="7640F1C5">
          <v:shape id="_x0000_i1026" type="#_x0000_t75" style="width:495.75pt;height:204pt" o:ole="">
            <v:imagedata r:id="rId8" o:title=""/>
          </v:shape>
          <o:OLEObject Type="Embed" ProgID="Prism8.Document" ShapeID="_x0000_i1026" DrawAspect="Content" ObjectID="_1682937281" r:id="rId9"/>
        </w:object>
      </w:r>
      <w:bookmarkEnd w:id="1"/>
    </w:p>
    <w:p w14:paraId="627E4512" w14:textId="2D528042" w:rsidR="00887FC0" w:rsidRPr="0076372C" w:rsidRDefault="00887FC0" w:rsidP="00887FC0">
      <w:pPr>
        <w:tabs>
          <w:tab w:val="left" w:pos="3945"/>
        </w:tabs>
        <w:rPr>
          <w:b/>
          <w:bCs/>
          <w:lang w:val="en-GB"/>
        </w:rPr>
      </w:pPr>
      <w:r w:rsidRPr="0001171E">
        <w:rPr>
          <w:rFonts w:ascii="Times New Roman" w:hAnsi="Times New Roman" w:cs="Times New Roman"/>
          <w:b/>
          <w:bCs/>
          <w:sz w:val="24"/>
          <w:szCs w:val="24"/>
          <w:lang w:val="en-GB"/>
        </w:rPr>
        <w:t>Figure</w:t>
      </w:r>
      <w:r>
        <w:rPr>
          <w:rFonts w:ascii="Times New Roman" w:hAnsi="Times New Roman" w:cs="Times New Roman"/>
          <w:b/>
          <w:bCs/>
          <w:sz w:val="24"/>
          <w:szCs w:val="24"/>
          <w:lang w:val="en-GB"/>
        </w:rPr>
        <w:t xml:space="preserve"> S3</w:t>
      </w:r>
      <w:r>
        <w:rPr>
          <w:b/>
          <w:bCs/>
          <w:lang w:val="en-GB"/>
        </w:rPr>
        <w:t xml:space="preserve">. </w:t>
      </w:r>
      <w:r>
        <w:rPr>
          <w:rFonts w:ascii="Times New Roman" w:hAnsi="Times New Roman" w:cs="Times New Roman"/>
          <w:sz w:val="24"/>
          <w:szCs w:val="24"/>
          <w:lang w:val="en-GB"/>
        </w:rPr>
        <w:t>R</w:t>
      </w:r>
      <w:r w:rsidRPr="00C45FB8">
        <w:rPr>
          <w:rFonts w:ascii="Times New Roman" w:hAnsi="Times New Roman" w:cs="Times New Roman"/>
          <w:sz w:val="24"/>
          <w:szCs w:val="24"/>
          <w:lang w:val="en-GB"/>
        </w:rPr>
        <w:t>isk of developing within 16 months of follow-up</w:t>
      </w:r>
      <w:r>
        <w:rPr>
          <w:rFonts w:ascii="Times New Roman" w:hAnsi="Times New Roman" w:cs="Times New Roman"/>
          <w:sz w:val="24"/>
          <w:szCs w:val="24"/>
          <w:lang w:val="en-GB"/>
        </w:rPr>
        <w:t>: a</w:t>
      </w:r>
      <w:r w:rsidRPr="00C45FB8">
        <w:rPr>
          <w:rFonts w:ascii="Times New Roman" w:hAnsi="Times New Roman" w:cs="Times New Roman"/>
          <w:sz w:val="24"/>
          <w:szCs w:val="24"/>
          <w:lang w:val="en-GB"/>
        </w:rPr>
        <w:t xml:space="preserve">) at least one malarial attack or </w:t>
      </w:r>
      <w:r>
        <w:rPr>
          <w:rFonts w:ascii="Times New Roman" w:hAnsi="Times New Roman" w:cs="Times New Roman"/>
          <w:sz w:val="24"/>
          <w:szCs w:val="24"/>
          <w:lang w:val="en-GB"/>
        </w:rPr>
        <w:t>b</w:t>
      </w:r>
      <w:r w:rsidRPr="00C45FB8">
        <w:rPr>
          <w:rFonts w:ascii="Times New Roman" w:hAnsi="Times New Roman" w:cs="Times New Roman"/>
          <w:sz w:val="24"/>
          <w:szCs w:val="24"/>
          <w:lang w:val="en-GB"/>
        </w:rPr>
        <w:t xml:space="preserve">) at least one episode of asymptomatic </w:t>
      </w:r>
      <w:r w:rsidRPr="00C45FB8">
        <w:rPr>
          <w:rFonts w:ascii="Times New Roman" w:hAnsi="Times New Roman" w:cs="Times New Roman"/>
          <w:i/>
          <w:iCs/>
          <w:sz w:val="24"/>
          <w:szCs w:val="24"/>
          <w:lang w:val="en-GB"/>
        </w:rPr>
        <w:t>Plasmodium</w:t>
      </w:r>
      <w:r w:rsidRPr="00C45FB8">
        <w:rPr>
          <w:rFonts w:ascii="Times New Roman" w:hAnsi="Times New Roman" w:cs="Times New Roman"/>
          <w:sz w:val="24"/>
          <w:szCs w:val="24"/>
          <w:lang w:val="en-GB"/>
        </w:rPr>
        <w:t xml:space="preserve"> parasitemia in </w:t>
      </w:r>
      <w:r>
        <w:rPr>
          <w:rFonts w:ascii="Times New Roman" w:hAnsi="Times New Roman" w:cs="Times New Roman"/>
          <w:sz w:val="24"/>
          <w:szCs w:val="24"/>
          <w:lang w:val="en-GB"/>
        </w:rPr>
        <w:t>0 to 4</w:t>
      </w:r>
      <w:r w:rsidRPr="00C45FB8">
        <w:rPr>
          <w:rFonts w:ascii="Times New Roman" w:hAnsi="Times New Roman" w:cs="Times New Roman"/>
          <w:sz w:val="24"/>
          <w:szCs w:val="24"/>
          <w:lang w:val="en-GB"/>
        </w:rPr>
        <w:t xml:space="preserve"> years old children with </w:t>
      </w:r>
      <w:r>
        <w:rPr>
          <w:rFonts w:ascii="Times New Roman" w:hAnsi="Times New Roman" w:cs="Times New Roman"/>
          <w:sz w:val="24"/>
          <w:szCs w:val="24"/>
          <w:lang w:val="en-GB"/>
        </w:rPr>
        <w:t>gut</w:t>
      </w:r>
      <w:r w:rsidRPr="00C45FB8">
        <w:rPr>
          <w:rFonts w:ascii="Times New Roman" w:hAnsi="Times New Roman" w:cs="Times New Roman"/>
          <w:sz w:val="24"/>
          <w:szCs w:val="24"/>
          <w:lang w:val="en-GB"/>
        </w:rPr>
        <w:t xml:space="preserve"> bacteria OTU richness </w:t>
      </w:r>
      <w:r>
        <w:rPr>
          <w:rFonts w:ascii="Times New Roman" w:hAnsi="Times New Roman" w:cs="Times New Roman"/>
          <w:sz w:val="24"/>
          <w:szCs w:val="24"/>
          <w:lang w:val="en-GB"/>
        </w:rPr>
        <w:t>be</w:t>
      </w:r>
      <w:r w:rsidRPr="00C45FB8">
        <w:rPr>
          <w:rFonts w:ascii="Times New Roman" w:hAnsi="Times New Roman" w:cs="Times New Roman"/>
          <w:sz w:val="24"/>
          <w:szCs w:val="24"/>
          <w:lang w:val="en-GB"/>
        </w:rPr>
        <w:t>low (n=</w:t>
      </w:r>
      <w:r>
        <w:rPr>
          <w:rFonts w:ascii="Times New Roman" w:hAnsi="Times New Roman" w:cs="Times New Roman"/>
          <w:sz w:val="24"/>
          <w:szCs w:val="24"/>
          <w:lang w:val="en-GB"/>
        </w:rPr>
        <w:t>38, red line</w:t>
      </w:r>
      <w:r w:rsidRPr="00C45FB8">
        <w:rPr>
          <w:rFonts w:ascii="Times New Roman" w:hAnsi="Times New Roman" w:cs="Times New Roman"/>
          <w:sz w:val="24"/>
          <w:szCs w:val="24"/>
          <w:lang w:val="en-GB"/>
        </w:rPr>
        <w:t xml:space="preserve">) or </w:t>
      </w:r>
      <w:r>
        <w:rPr>
          <w:rFonts w:ascii="Times New Roman" w:hAnsi="Times New Roman" w:cs="Times New Roman"/>
          <w:sz w:val="24"/>
          <w:szCs w:val="24"/>
          <w:lang w:val="en-GB"/>
        </w:rPr>
        <w:t>above</w:t>
      </w:r>
      <w:r w:rsidRPr="00C45FB8">
        <w:rPr>
          <w:rFonts w:ascii="Times New Roman" w:hAnsi="Times New Roman" w:cs="Times New Roman"/>
          <w:sz w:val="24"/>
          <w:szCs w:val="24"/>
          <w:lang w:val="en-GB"/>
        </w:rPr>
        <w:t xml:space="preserve"> (n=</w:t>
      </w:r>
      <w:r>
        <w:rPr>
          <w:rFonts w:ascii="Times New Roman" w:hAnsi="Times New Roman" w:cs="Times New Roman"/>
          <w:sz w:val="24"/>
          <w:szCs w:val="24"/>
          <w:lang w:val="en-GB"/>
        </w:rPr>
        <w:t>36, green line</w:t>
      </w:r>
      <w:r w:rsidRPr="00C45FB8">
        <w:rPr>
          <w:rFonts w:ascii="Times New Roman" w:hAnsi="Times New Roman" w:cs="Times New Roman"/>
          <w:sz w:val="24"/>
          <w:szCs w:val="24"/>
          <w:lang w:val="en-GB"/>
        </w:rPr>
        <w:t>)</w:t>
      </w:r>
      <w:r>
        <w:rPr>
          <w:rFonts w:ascii="Times New Roman" w:hAnsi="Times New Roman" w:cs="Times New Roman"/>
          <w:sz w:val="24"/>
          <w:szCs w:val="24"/>
          <w:lang w:val="en-GB"/>
        </w:rPr>
        <w:t xml:space="preserve"> the median value</w:t>
      </w:r>
      <w:r w:rsidRPr="00C45FB8">
        <w:rPr>
          <w:rFonts w:ascii="Times New Roman" w:hAnsi="Times New Roman" w:cs="Times New Roman"/>
          <w:sz w:val="24"/>
          <w:szCs w:val="24"/>
          <w:lang w:val="en-GB"/>
        </w:rPr>
        <w:t>.</w:t>
      </w:r>
    </w:p>
    <w:p w14:paraId="212CA4B9" w14:textId="77777777" w:rsidR="00887FC0" w:rsidRDefault="00887FC0" w:rsidP="00887FC0">
      <w:pPr>
        <w:jc w:val="both"/>
        <w:rPr>
          <w:lang w:val="en-GB"/>
        </w:rPr>
      </w:pPr>
      <w:r>
        <w:rPr>
          <w:lang w:val="en-GB"/>
        </w:rPr>
        <w:object w:dxaOrig="15562" w:dyaOrig="7277" w14:anchorId="07196806">
          <v:shape id="_x0000_i1027" type="#_x0000_t75" style="width:453.75pt;height:212.25pt" o:ole="" filled="t">
            <v:imagedata r:id="rId10" o:title=""/>
          </v:shape>
          <o:OLEObject Type="Embed" ProgID="Prism5.Document" ShapeID="_x0000_i1027" DrawAspect="Content" ObjectID="_1682937282" r:id="rId11"/>
        </w:object>
      </w:r>
    </w:p>
    <w:p w14:paraId="275080A3" w14:textId="77777777" w:rsidR="00887FC0" w:rsidRDefault="00887FC0" w:rsidP="00887FC0">
      <w:pPr>
        <w:tabs>
          <w:tab w:val="left" w:pos="3945"/>
        </w:tabs>
        <w:rPr>
          <w:rFonts w:ascii="Times New Roman" w:hAnsi="Times New Roman" w:cs="Times New Roman"/>
          <w:b/>
          <w:bCs/>
          <w:lang w:val="en-GB"/>
        </w:rPr>
      </w:pPr>
    </w:p>
    <w:p w14:paraId="48B8173C" w14:textId="4E6D677F" w:rsidR="00887FC0" w:rsidRDefault="00887FC0" w:rsidP="00887FC0">
      <w:pPr>
        <w:tabs>
          <w:tab w:val="left" w:pos="3945"/>
        </w:tabs>
        <w:rPr>
          <w:rFonts w:ascii="Times New Roman" w:hAnsi="Times New Roman" w:cs="Times New Roman"/>
          <w:sz w:val="24"/>
          <w:szCs w:val="24"/>
          <w:lang w:val="en-GB"/>
        </w:rPr>
      </w:pPr>
      <w:r w:rsidRPr="00B33B36">
        <w:rPr>
          <w:rFonts w:ascii="Times New Roman" w:hAnsi="Times New Roman" w:cs="Times New Roman"/>
          <w:b/>
          <w:bCs/>
          <w:lang w:val="en-GB"/>
        </w:rPr>
        <w:lastRenderedPageBreak/>
        <w:t>Figure</w:t>
      </w:r>
      <w:r>
        <w:rPr>
          <w:rFonts w:ascii="Times New Roman" w:hAnsi="Times New Roman" w:cs="Times New Roman"/>
          <w:b/>
          <w:bCs/>
          <w:lang w:val="en-GB"/>
        </w:rPr>
        <w:t xml:space="preserve"> S4. </w:t>
      </w:r>
      <w:r>
        <w:rPr>
          <w:rFonts w:ascii="Times New Roman" w:hAnsi="Times New Roman" w:cs="Times New Roman"/>
          <w:sz w:val="24"/>
          <w:szCs w:val="24"/>
          <w:lang w:val="en-GB"/>
        </w:rPr>
        <w:t>R</w:t>
      </w:r>
      <w:r w:rsidRPr="00C45FB8">
        <w:rPr>
          <w:rFonts w:ascii="Times New Roman" w:hAnsi="Times New Roman" w:cs="Times New Roman"/>
          <w:sz w:val="24"/>
          <w:szCs w:val="24"/>
          <w:lang w:val="en-GB"/>
        </w:rPr>
        <w:t>isk of developing within 16 months of follow-up</w:t>
      </w:r>
      <w:r>
        <w:rPr>
          <w:rFonts w:ascii="Times New Roman" w:hAnsi="Times New Roman" w:cs="Times New Roman"/>
          <w:sz w:val="24"/>
          <w:szCs w:val="24"/>
          <w:lang w:val="en-GB"/>
        </w:rPr>
        <w:t>: a</w:t>
      </w:r>
      <w:r w:rsidRPr="00C45FB8">
        <w:rPr>
          <w:rFonts w:ascii="Times New Roman" w:hAnsi="Times New Roman" w:cs="Times New Roman"/>
          <w:sz w:val="24"/>
          <w:szCs w:val="24"/>
          <w:lang w:val="en-GB"/>
        </w:rPr>
        <w:t xml:space="preserve">) at least one malarial attack or </w:t>
      </w:r>
      <w:r>
        <w:rPr>
          <w:rFonts w:ascii="Times New Roman" w:hAnsi="Times New Roman" w:cs="Times New Roman"/>
          <w:sz w:val="24"/>
          <w:szCs w:val="24"/>
          <w:lang w:val="en-GB"/>
        </w:rPr>
        <w:t>b</w:t>
      </w:r>
      <w:r w:rsidRPr="00C45FB8">
        <w:rPr>
          <w:rFonts w:ascii="Times New Roman" w:hAnsi="Times New Roman" w:cs="Times New Roman"/>
          <w:sz w:val="24"/>
          <w:szCs w:val="24"/>
          <w:lang w:val="en-GB"/>
        </w:rPr>
        <w:t xml:space="preserve">) at least one episode of asymptomatic </w:t>
      </w:r>
      <w:r w:rsidRPr="00C45FB8">
        <w:rPr>
          <w:rFonts w:ascii="Times New Roman" w:hAnsi="Times New Roman" w:cs="Times New Roman"/>
          <w:i/>
          <w:iCs/>
          <w:sz w:val="24"/>
          <w:szCs w:val="24"/>
          <w:lang w:val="en-GB"/>
        </w:rPr>
        <w:t>Plasmodium</w:t>
      </w:r>
      <w:r w:rsidRPr="00C45FB8">
        <w:rPr>
          <w:rFonts w:ascii="Times New Roman" w:hAnsi="Times New Roman" w:cs="Times New Roman"/>
          <w:sz w:val="24"/>
          <w:szCs w:val="24"/>
          <w:lang w:val="en-GB"/>
        </w:rPr>
        <w:t xml:space="preserve"> parasitemia in </w:t>
      </w:r>
      <w:r w:rsidRPr="00B33B36">
        <w:rPr>
          <w:rFonts w:ascii="Times New Roman" w:hAnsi="Times New Roman" w:cs="Times New Roman"/>
          <w:sz w:val="24"/>
          <w:szCs w:val="24"/>
          <w:lang w:val="en-GB"/>
        </w:rPr>
        <w:t>5</w:t>
      </w:r>
      <w:r>
        <w:rPr>
          <w:rFonts w:ascii="Times New Roman" w:hAnsi="Times New Roman" w:cs="Times New Roman"/>
          <w:sz w:val="24"/>
          <w:szCs w:val="24"/>
          <w:lang w:val="en-GB"/>
        </w:rPr>
        <w:t xml:space="preserve"> to </w:t>
      </w:r>
      <w:r w:rsidRPr="00B33B36">
        <w:rPr>
          <w:rFonts w:ascii="Times New Roman" w:hAnsi="Times New Roman" w:cs="Times New Roman"/>
          <w:sz w:val="24"/>
          <w:szCs w:val="24"/>
          <w:lang w:val="en-GB"/>
        </w:rPr>
        <w:t xml:space="preserve">15 years </w:t>
      </w:r>
      <w:r>
        <w:rPr>
          <w:rFonts w:ascii="Times New Roman" w:hAnsi="Times New Roman" w:cs="Times New Roman"/>
          <w:sz w:val="24"/>
          <w:szCs w:val="24"/>
          <w:lang w:val="en-GB"/>
        </w:rPr>
        <w:t xml:space="preserve">old </w:t>
      </w:r>
      <w:r w:rsidRPr="00C45FB8">
        <w:rPr>
          <w:rFonts w:ascii="Times New Roman" w:hAnsi="Times New Roman" w:cs="Times New Roman"/>
          <w:sz w:val="24"/>
          <w:szCs w:val="24"/>
          <w:lang w:val="en-GB"/>
        </w:rPr>
        <w:t xml:space="preserve">children with </w:t>
      </w:r>
      <w:r>
        <w:rPr>
          <w:rFonts w:ascii="Times New Roman" w:hAnsi="Times New Roman" w:cs="Times New Roman"/>
          <w:sz w:val="24"/>
          <w:szCs w:val="24"/>
          <w:lang w:val="en-GB"/>
        </w:rPr>
        <w:t>gut</w:t>
      </w:r>
      <w:r w:rsidRPr="00C45FB8">
        <w:rPr>
          <w:rFonts w:ascii="Times New Roman" w:hAnsi="Times New Roman" w:cs="Times New Roman"/>
          <w:sz w:val="24"/>
          <w:szCs w:val="24"/>
          <w:lang w:val="en-GB"/>
        </w:rPr>
        <w:t xml:space="preserve"> bacteria OTU richness </w:t>
      </w:r>
      <w:r>
        <w:rPr>
          <w:rFonts w:ascii="Times New Roman" w:hAnsi="Times New Roman" w:cs="Times New Roman"/>
          <w:sz w:val="24"/>
          <w:szCs w:val="24"/>
          <w:lang w:val="en-GB"/>
        </w:rPr>
        <w:t>be</w:t>
      </w:r>
      <w:r w:rsidRPr="00C45FB8">
        <w:rPr>
          <w:rFonts w:ascii="Times New Roman" w:hAnsi="Times New Roman" w:cs="Times New Roman"/>
          <w:sz w:val="24"/>
          <w:szCs w:val="24"/>
          <w:lang w:val="en-GB"/>
        </w:rPr>
        <w:t>low (n=</w:t>
      </w:r>
      <w:r>
        <w:rPr>
          <w:rFonts w:ascii="Times New Roman" w:hAnsi="Times New Roman" w:cs="Times New Roman"/>
          <w:sz w:val="24"/>
          <w:szCs w:val="24"/>
          <w:lang w:val="en-GB"/>
        </w:rPr>
        <w:t>93</w:t>
      </w:r>
      <w:r w:rsidRPr="00F63DEC">
        <w:rPr>
          <w:rFonts w:ascii="Times New Roman" w:hAnsi="Times New Roman" w:cs="Times New Roman"/>
          <w:sz w:val="24"/>
          <w:szCs w:val="24"/>
          <w:lang w:val="en-GB"/>
        </w:rPr>
        <w:t>, red line</w:t>
      </w:r>
      <w:r w:rsidRPr="00C45FB8">
        <w:rPr>
          <w:rFonts w:ascii="Times New Roman" w:hAnsi="Times New Roman" w:cs="Times New Roman"/>
          <w:sz w:val="24"/>
          <w:szCs w:val="24"/>
          <w:lang w:val="en-GB"/>
        </w:rPr>
        <w:t xml:space="preserve">) or </w:t>
      </w:r>
      <w:r>
        <w:rPr>
          <w:rFonts w:ascii="Times New Roman" w:hAnsi="Times New Roman" w:cs="Times New Roman"/>
          <w:sz w:val="24"/>
          <w:szCs w:val="24"/>
          <w:lang w:val="en-GB"/>
        </w:rPr>
        <w:t>above</w:t>
      </w:r>
      <w:r w:rsidRPr="00C45FB8">
        <w:rPr>
          <w:rFonts w:ascii="Times New Roman" w:hAnsi="Times New Roman" w:cs="Times New Roman"/>
          <w:sz w:val="24"/>
          <w:szCs w:val="24"/>
          <w:lang w:val="en-GB"/>
        </w:rPr>
        <w:t xml:space="preserve"> (n=</w:t>
      </w:r>
      <w:r>
        <w:rPr>
          <w:rFonts w:ascii="Times New Roman" w:hAnsi="Times New Roman" w:cs="Times New Roman"/>
          <w:sz w:val="24"/>
          <w:szCs w:val="24"/>
          <w:lang w:val="en-GB"/>
        </w:rPr>
        <w:t>91</w:t>
      </w:r>
      <w:r w:rsidRPr="00F63DEC">
        <w:rPr>
          <w:rFonts w:ascii="Times New Roman" w:hAnsi="Times New Roman" w:cs="Times New Roman"/>
          <w:sz w:val="24"/>
          <w:szCs w:val="24"/>
          <w:lang w:val="en-GB"/>
        </w:rPr>
        <w:t>, green line</w:t>
      </w:r>
      <w:r w:rsidRPr="00C45FB8">
        <w:rPr>
          <w:rFonts w:ascii="Times New Roman" w:hAnsi="Times New Roman" w:cs="Times New Roman"/>
          <w:sz w:val="24"/>
          <w:szCs w:val="24"/>
          <w:lang w:val="en-GB"/>
        </w:rPr>
        <w:t>)</w:t>
      </w:r>
      <w:r w:rsidRPr="00F63DEC">
        <w:t xml:space="preserve"> </w:t>
      </w:r>
      <w:r w:rsidRPr="00F63DEC">
        <w:rPr>
          <w:rFonts w:ascii="Times New Roman" w:hAnsi="Times New Roman" w:cs="Times New Roman"/>
          <w:sz w:val="24"/>
          <w:szCs w:val="24"/>
          <w:lang w:val="en-GB"/>
        </w:rPr>
        <w:t>the median value</w:t>
      </w:r>
      <w:r w:rsidRPr="00C45FB8">
        <w:rPr>
          <w:rFonts w:ascii="Times New Roman" w:hAnsi="Times New Roman" w:cs="Times New Roman"/>
          <w:sz w:val="24"/>
          <w:szCs w:val="24"/>
          <w:lang w:val="en-GB"/>
        </w:rPr>
        <w:t>.</w:t>
      </w:r>
    </w:p>
    <w:p w14:paraId="59604451" w14:textId="77777777" w:rsidR="00887FC0" w:rsidRDefault="00887FC0" w:rsidP="00887FC0">
      <w:pPr>
        <w:tabs>
          <w:tab w:val="left" w:pos="3945"/>
        </w:tabs>
        <w:rPr>
          <w:rFonts w:ascii="Times New Roman" w:hAnsi="Times New Roman" w:cs="Times New Roman"/>
          <w:sz w:val="24"/>
          <w:szCs w:val="24"/>
          <w:lang w:val="en-GB"/>
        </w:rPr>
      </w:pPr>
    </w:p>
    <w:p w14:paraId="5D29CA5D" w14:textId="77777777" w:rsidR="00887FC0" w:rsidRDefault="00887FC0" w:rsidP="00887FC0">
      <w:pPr>
        <w:tabs>
          <w:tab w:val="left" w:pos="3945"/>
        </w:tabs>
        <w:rPr>
          <w:b/>
          <w:bCs/>
          <w:lang w:val="en-GB"/>
        </w:rPr>
      </w:pPr>
      <w:r>
        <w:rPr>
          <w:b/>
          <w:bCs/>
          <w:lang w:val="en-GB"/>
        </w:rPr>
        <w:object w:dxaOrig="15420" w:dyaOrig="7377" w14:anchorId="74B86EC4">
          <v:shape id="_x0000_i1028" type="#_x0000_t75" style="width:453pt;height:216.75pt" o:ole="" filled="t">
            <v:imagedata r:id="rId12" o:title=""/>
          </v:shape>
          <o:OLEObject Type="Embed" ProgID="Prism5.Document" ShapeID="_x0000_i1028" DrawAspect="Content" ObjectID="_1682937283" r:id="rId13"/>
        </w:object>
      </w:r>
    </w:p>
    <w:p w14:paraId="488045EE" w14:textId="77777777" w:rsidR="00AC2BC3" w:rsidRDefault="00AC2BC3" w:rsidP="00D71716">
      <w:pPr>
        <w:rPr>
          <w:rFonts w:ascii="Times New Roman" w:hAnsi="Times New Roman" w:cs="Times New Roman"/>
          <w:b/>
          <w:bCs/>
          <w:sz w:val="24"/>
          <w:szCs w:val="24"/>
          <w:lang w:val="en-GB"/>
        </w:rPr>
      </w:pPr>
    </w:p>
    <w:p w14:paraId="4784D8D6" w14:textId="77777777" w:rsidR="00AC2BC3" w:rsidRDefault="00AC2BC3" w:rsidP="00D71716">
      <w:pPr>
        <w:rPr>
          <w:rFonts w:ascii="Times New Roman" w:hAnsi="Times New Roman" w:cs="Times New Roman"/>
          <w:b/>
          <w:bCs/>
          <w:sz w:val="24"/>
          <w:szCs w:val="24"/>
          <w:lang w:val="en-GB"/>
        </w:rPr>
      </w:pPr>
    </w:p>
    <w:p w14:paraId="0A7201E8" w14:textId="77777777" w:rsidR="00AC2BC3" w:rsidRDefault="00AC2BC3" w:rsidP="00D71716">
      <w:pPr>
        <w:rPr>
          <w:rFonts w:ascii="Times New Roman" w:hAnsi="Times New Roman" w:cs="Times New Roman"/>
          <w:b/>
          <w:bCs/>
          <w:sz w:val="24"/>
          <w:szCs w:val="24"/>
          <w:lang w:val="en-GB"/>
        </w:rPr>
      </w:pPr>
    </w:p>
    <w:p w14:paraId="2246BFB0" w14:textId="77777777" w:rsidR="00AC2BC3" w:rsidRDefault="00AC2BC3" w:rsidP="00D71716">
      <w:pPr>
        <w:rPr>
          <w:rFonts w:ascii="Times New Roman" w:hAnsi="Times New Roman" w:cs="Times New Roman"/>
          <w:b/>
          <w:bCs/>
          <w:sz w:val="24"/>
          <w:szCs w:val="24"/>
          <w:lang w:val="en-GB"/>
        </w:rPr>
      </w:pPr>
    </w:p>
    <w:p w14:paraId="6DC8EE7C" w14:textId="77777777" w:rsidR="00AC2BC3" w:rsidRDefault="00AC2BC3" w:rsidP="00D71716">
      <w:pPr>
        <w:rPr>
          <w:rFonts w:ascii="Times New Roman" w:hAnsi="Times New Roman" w:cs="Times New Roman"/>
          <w:b/>
          <w:bCs/>
          <w:sz w:val="24"/>
          <w:szCs w:val="24"/>
          <w:lang w:val="en-GB"/>
        </w:rPr>
      </w:pPr>
    </w:p>
    <w:p w14:paraId="4CAA37D4" w14:textId="77777777" w:rsidR="00887FC0" w:rsidRDefault="00887FC0" w:rsidP="00D71716">
      <w:pPr>
        <w:rPr>
          <w:rFonts w:ascii="Times New Roman" w:hAnsi="Times New Roman" w:cs="Times New Roman"/>
          <w:b/>
          <w:bCs/>
          <w:sz w:val="24"/>
          <w:szCs w:val="24"/>
          <w:lang w:val="en-GB"/>
        </w:rPr>
      </w:pPr>
    </w:p>
    <w:p w14:paraId="7D680BA0" w14:textId="77777777" w:rsidR="00887FC0" w:rsidRDefault="00887FC0" w:rsidP="00D71716">
      <w:pPr>
        <w:rPr>
          <w:rFonts w:ascii="Times New Roman" w:hAnsi="Times New Roman" w:cs="Times New Roman"/>
          <w:b/>
          <w:bCs/>
          <w:sz w:val="24"/>
          <w:szCs w:val="24"/>
          <w:lang w:val="en-GB"/>
        </w:rPr>
      </w:pPr>
    </w:p>
    <w:p w14:paraId="71095689" w14:textId="77777777" w:rsidR="00887FC0" w:rsidRDefault="00887FC0" w:rsidP="00D71716">
      <w:pPr>
        <w:rPr>
          <w:rFonts w:ascii="Times New Roman" w:hAnsi="Times New Roman" w:cs="Times New Roman"/>
          <w:b/>
          <w:bCs/>
          <w:sz w:val="24"/>
          <w:szCs w:val="24"/>
          <w:lang w:val="en-GB"/>
        </w:rPr>
      </w:pPr>
    </w:p>
    <w:p w14:paraId="3CD86ED3" w14:textId="77777777" w:rsidR="00887FC0" w:rsidRDefault="00887FC0" w:rsidP="00D71716">
      <w:pPr>
        <w:rPr>
          <w:rFonts w:ascii="Times New Roman" w:hAnsi="Times New Roman" w:cs="Times New Roman"/>
          <w:b/>
          <w:bCs/>
          <w:sz w:val="24"/>
          <w:szCs w:val="24"/>
          <w:lang w:val="en-GB"/>
        </w:rPr>
      </w:pPr>
    </w:p>
    <w:p w14:paraId="3691BA0E" w14:textId="77777777" w:rsidR="00887FC0" w:rsidRDefault="00887FC0" w:rsidP="00D71716">
      <w:pPr>
        <w:rPr>
          <w:rFonts w:ascii="Times New Roman" w:hAnsi="Times New Roman" w:cs="Times New Roman"/>
          <w:b/>
          <w:bCs/>
          <w:sz w:val="24"/>
          <w:szCs w:val="24"/>
          <w:lang w:val="en-GB"/>
        </w:rPr>
      </w:pPr>
    </w:p>
    <w:p w14:paraId="5D751C30" w14:textId="77777777" w:rsidR="00887FC0" w:rsidRDefault="00887FC0" w:rsidP="00D71716">
      <w:pPr>
        <w:rPr>
          <w:rFonts w:ascii="Times New Roman" w:hAnsi="Times New Roman" w:cs="Times New Roman"/>
          <w:b/>
          <w:bCs/>
          <w:sz w:val="24"/>
          <w:szCs w:val="24"/>
          <w:lang w:val="en-GB"/>
        </w:rPr>
      </w:pPr>
    </w:p>
    <w:p w14:paraId="29B3E185" w14:textId="77777777" w:rsidR="00887FC0" w:rsidRDefault="00887FC0" w:rsidP="00D71716">
      <w:pPr>
        <w:rPr>
          <w:rFonts w:ascii="Times New Roman" w:hAnsi="Times New Roman" w:cs="Times New Roman"/>
          <w:b/>
          <w:bCs/>
          <w:sz w:val="24"/>
          <w:szCs w:val="24"/>
          <w:lang w:val="en-GB"/>
        </w:rPr>
      </w:pPr>
    </w:p>
    <w:p w14:paraId="3DFE6176" w14:textId="77777777" w:rsidR="00887FC0" w:rsidRDefault="00887FC0" w:rsidP="00D71716">
      <w:pPr>
        <w:rPr>
          <w:rFonts w:ascii="Times New Roman" w:hAnsi="Times New Roman" w:cs="Times New Roman"/>
          <w:b/>
          <w:bCs/>
          <w:sz w:val="24"/>
          <w:szCs w:val="24"/>
          <w:lang w:val="en-GB"/>
        </w:rPr>
      </w:pPr>
    </w:p>
    <w:p w14:paraId="57F174FA" w14:textId="77777777" w:rsidR="00887FC0" w:rsidRDefault="00887FC0" w:rsidP="00D71716">
      <w:pPr>
        <w:rPr>
          <w:rFonts w:ascii="Times New Roman" w:hAnsi="Times New Roman" w:cs="Times New Roman"/>
          <w:b/>
          <w:bCs/>
          <w:sz w:val="24"/>
          <w:szCs w:val="24"/>
          <w:lang w:val="en-GB"/>
        </w:rPr>
      </w:pPr>
    </w:p>
    <w:p w14:paraId="4E771539" w14:textId="77777777" w:rsidR="00887FC0" w:rsidRDefault="00887FC0" w:rsidP="00D71716">
      <w:pPr>
        <w:rPr>
          <w:rFonts w:ascii="Times New Roman" w:hAnsi="Times New Roman" w:cs="Times New Roman"/>
          <w:b/>
          <w:bCs/>
          <w:sz w:val="24"/>
          <w:szCs w:val="24"/>
          <w:lang w:val="en-GB"/>
        </w:rPr>
      </w:pPr>
    </w:p>
    <w:p w14:paraId="503E17D7" w14:textId="77777777" w:rsidR="00887FC0" w:rsidRDefault="00887FC0" w:rsidP="00D71716">
      <w:pPr>
        <w:rPr>
          <w:rFonts w:ascii="Times New Roman" w:hAnsi="Times New Roman" w:cs="Times New Roman"/>
          <w:b/>
          <w:bCs/>
          <w:sz w:val="24"/>
          <w:szCs w:val="24"/>
          <w:lang w:val="en-GB"/>
        </w:rPr>
      </w:pPr>
    </w:p>
    <w:p w14:paraId="03A5B395" w14:textId="49E386EF" w:rsidR="00B028AC" w:rsidRDefault="00B028AC" w:rsidP="00D71716">
      <w:pPr>
        <w:rPr>
          <w:rFonts w:ascii="Times New Roman" w:hAnsi="Times New Roman" w:cs="Times New Roman"/>
          <w:sz w:val="24"/>
          <w:szCs w:val="24"/>
          <w:lang w:val="en-GB"/>
        </w:rPr>
      </w:pPr>
      <w:r w:rsidRPr="009A418D">
        <w:rPr>
          <w:rFonts w:ascii="Times New Roman" w:hAnsi="Times New Roman" w:cs="Times New Roman"/>
          <w:b/>
          <w:bCs/>
          <w:sz w:val="24"/>
          <w:szCs w:val="24"/>
          <w:lang w:val="en-GB"/>
        </w:rPr>
        <w:lastRenderedPageBreak/>
        <w:t xml:space="preserve">Figure </w:t>
      </w:r>
      <w:r w:rsidR="00DA2B77">
        <w:rPr>
          <w:rFonts w:ascii="Times New Roman" w:hAnsi="Times New Roman" w:cs="Times New Roman"/>
          <w:b/>
          <w:bCs/>
          <w:sz w:val="24"/>
          <w:szCs w:val="24"/>
          <w:lang w:val="en-GB"/>
        </w:rPr>
        <w:t>S</w:t>
      </w:r>
      <w:r w:rsidR="000A46B3">
        <w:rPr>
          <w:rFonts w:ascii="Times New Roman" w:hAnsi="Times New Roman" w:cs="Times New Roman"/>
          <w:b/>
          <w:bCs/>
          <w:sz w:val="24"/>
          <w:szCs w:val="24"/>
          <w:lang w:val="en-GB"/>
        </w:rPr>
        <w:t>5</w:t>
      </w:r>
      <w:r w:rsidRPr="009A418D">
        <w:rPr>
          <w:rFonts w:ascii="Times New Roman" w:hAnsi="Times New Roman" w:cs="Times New Roman"/>
          <w:sz w:val="24"/>
          <w:szCs w:val="24"/>
          <w:lang w:val="en-GB"/>
        </w:rPr>
        <w:t>. Gut bacterial community structure. Relative abundance of phyla in children who experienced (yellow bars) or who did not experience (blue bars) at least one malaria attack within 16 months of follow-up. (Figures inside the bars are the mean abundance of the phylum for each group).</w:t>
      </w:r>
    </w:p>
    <w:p w14:paraId="13EB21AD" w14:textId="773D91AA" w:rsidR="00B028AC" w:rsidRDefault="0012076E" w:rsidP="00D71716">
      <w:pPr>
        <w:rPr>
          <w:rFonts w:ascii="Times New Roman" w:hAnsi="Times New Roman" w:cs="Times New Roman"/>
          <w:b/>
          <w:bCs/>
          <w:sz w:val="24"/>
          <w:szCs w:val="24"/>
          <w:lang w:val="en-GB"/>
        </w:rPr>
      </w:pPr>
      <w:r>
        <w:rPr>
          <w:noProof/>
        </w:rPr>
        <w:drawing>
          <wp:inline distT="0" distB="0" distL="0" distR="0" wp14:anchorId="100A120F" wp14:editId="236610F0">
            <wp:extent cx="6300000" cy="3521710"/>
            <wp:effectExtent l="0" t="0" r="5715" b="2540"/>
            <wp:docPr id="1" name="Graphique 1">
              <a:extLst xmlns:a="http://schemas.openxmlformats.org/drawingml/2006/main">
                <a:ext uri="{FF2B5EF4-FFF2-40B4-BE49-F238E27FC236}">
                  <a16:creationId xmlns:a16="http://schemas.microsoft.com/office/drawing/2014/main" id="{D40FA8A0-C5D6-4E39-957F-DE10A863F0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90347B7" w14:textId="69F29FF0" w:rsidR="00B028AC" w:rsidRDefault="00B028AC" w:rsidP="00D71716">
      <w:pPr>
        <w:rPr>
          <w:rFonts w:ascii="Times New Roman" w:hAnsi="Times New Roman" w:cs="Times New Roman"/>
          <w:b/>
          <w:bCs/>
          <w:sz w:val="24"/>
          <w:szCs w:val="24"/>
          <w:lang w:val="en-GB"/>
        </w:rPr>
      </w:pPr>
    </w:p>
    <w:p w14:paraId="07E304FA" w14:textId="77777777" w:rsidR="00B13B97" w:rsidRDefault="00B13B97" w:rsidP="00B13B97">
      <w:pPr>
        <w:rPr>
          <w:rFonts w:ascii="Times New Roman" w:hAnsi="Times New Roman" w:cs="Times New Roman"/>
          <w:b/>
          <w:bCs/>
          <w:sz w:val="24"/>
          <w:szCs w:val="24"/>
          <w:lang w:val="en-GB"/>
        </w:rPr>
      </w:pPr>
    </w:p>
    <w:p w14:paraId="353B613B" w14:textId="77777777" w:rsidR="00B13B97" w:rsidRDefault="00B13B97" w:rsidP="00B13B97">
      <w:pPr>
        <w:rPr>
          <w:rFonts w:ascii="Times New Roman" w:hAnsi="Times New Roman" w:cs="Times New Roman"/>
          <w:b/>
          <w:bCs/>
          <w:sz w:val="24"/>
          <w:szCs w:val="24"/>
          <w:lang w:val="en-GB"/>
        </w:rPr>
      </w:pPr>
    </w:p>
    <w:p w14:paraId="2B1349C2" w14:textId="77777777" w:rsidR="00B13B97" w:rsidRDefault="00B13B97" w:rsidP="00B13B97">
      <w:pPr>
        <w:rPr>
          <w:rFonts w:ascii="Times New Roman" w:hAnsi="Times New Roman" w:cs="Times New Roman"/>
          <w:b/>
          <w:bCs/>
          <w:sz w:val="24"/>
          <w:szCs w:val="24"/>
          <w:lang w:val="en-GB"/>
        </w:rPr>
      </w:pPr>
    </w:p>
    <w:p w14:paraId="37904BAB" w14:textId="77777777" w:rsidR="00B13B97" w:rsidRDefault="00B13B97" w:rsidP="00B13B97">
      <w:pPr>
        <w:rPr>
          <w:rFonts w:ascii="Times New Roman" w:hAnsi="Times New Roman" w:cs="Times New Roman"/>
          <w:b/>
          <w:bCs/>
          <w:sz w:val="24"/>
          <w:szCs w:val="24"/>
          <w:lang w:val="en-GB"/>
        </w:rPr>
      </w:pPr>
    </w:p>
    <w:p w14:paraId="4A6F8B2D" w14:textId="77777777" w:rsidR="00B13B97" w:rsidRDefault="00B13B97" w:rsidP="00B13B97">
      <w:pPr>
        <w:rPr>
          <w:rFonts w:ascii="Times New Roman" w:hAnsi="Times New Roman" w:cs="Times New Roman"/>
          <w:b/>
          <w:bCs/>
          <w:sz w:val="24"/>
          <w:szCs w:val="24"/>
          <w:lang w:val="en-GB"/>
        </w:rPr>
      </w:pPr>
    </w:p>
    <w:p w14:paraId="5C6801EA" w14:textId="77777777" w:rsidR="00B13B97" w:rsidRDefault="00B13B97" w:rsidP="00B13B97">
      <w:pPr>
        <w:rPr>
          <w:rFonts w:ascii="Times New Roman" w:hAnsi="Times New Roman" w:cs="Times New Roman"/>
          <w:b/>
          <w:bCs/>
          <w:sz w:val="24"/>
          <w:szCs w:val="24"/>
          <w:lang w:val="en-GB"/>
        </w:rPr>
      </w:pPr>
    </w:p>
    <w:p w14:paraId="30FE7BBE" w14:textId="77777777" w:rsidR="00B13B97" w:rsidRDefault="00B13B97" w:rsidP="00B13B97">
      <w:pPr>
        <w:rPr>
          <w:rFonts w:ascii="Times New Roman" w:hAnsi="Times New Roman" w:cs="Times New Roman"/>
          <w:b/>
          <w:bCs/>
          <w:sz w:val="24"/>
          <w:szCs w:val="24"/>
          <w:lang w:val="en-GB"/>
        </w:rPr>
      </w:pPr>
    </w:p>
    <w:p w14:paraId="36CCA60C" w14:textId="77777777" w:rsidR="00B13B97" w:rsidRDefault="00B13B97" w:rsidP="00B13B97">
      <w:pPr>
        <w:rPr>
          <w:rFonts w:ascii="Times New Roman" w:hAnsi="Times New Roman" w:cs="Times New Roman"/>
          <w:b/>
          <w:bCs/>
          <w:sz w:val="24"/>
          <w:szCs w:val="24"/>
          <w:lang w:val="en-GB"/>
        </w:rPr>
      </w:pPr>
    </w:p>
    <w:p w14:paraId="124A2595" w14:textId="77777777" w:rsidR="00B13B97" w:rsidRDefault="00B13B97" w:rsidP="00B13B97">
      <w:pPr>
        <w:rPr>
          <w:rFonts w:ascii="Times New Roman" w:hAnsi="Times New Roman" w:cs="Times New Roman"/>
          <w:b/>
          <w:bCs/>
          <w:sz w:val="24"/>
          <w:szCs w:val="24"/>
          <w:lang w:val="en-GB"/>
        </w:rPr>
      </w:pPr>
    </w:p>
    <w:p w14:paraId="60F946C0" w14:textId="77777777" w:rsidR="00B13B97" w:rsidRDefault="00B13B97" w:rsidP="00B13B97">
      <w:pPr>
        <w:rPr>
          <w:rFonts w:ascii="Times New Roman" w:hAnsi="Times New Roman" w:cs="Times New Roman"/>
          <w:b/>
          <w:bCs/>
          <w:sz w:val="24"/>
          <w:szCs w:val="24"/>
          <w:lang w:val="en-GB"/>
        </w:rPr>
      </w:pPr>
    </w:p>
    <w:p w14:paraId="11587C75" w14:textId="77777777" w:rsidR="00B13B97" w:rsidRDefault="00B13B97" w:rsidP="00B13B97">
      <w:pPr>
        <w:rPr>
          <w:rFonts w:ascii="Times New Roman" w:hAnsi="Times New Roman" w:cs="Times New Roman"/>
          <w:b/>
          <w:bCs/>
          <w:sz w:val="24"/>
          <w:szCs w:val="24"/>
          <w:lang w:val="en-GB"/>
        </w:rPr>
      </w:pPr>
    </w:p>
    <w:p w14:paraId="674E815B" w14:textId="77777777" w:rsidR="00B13B97" w:rsidRDefault="00B13B97" w:rsidP="00B13B97">
      <w:pPr>
        <w:rPr>
          <w:rFonts w:ascii="Times New Roman" w:hAnsi="Times New Roman" w:cs="Times New Roman"/>
          <w:b/>
          <w:bCs/>
          <w:sz w:val="24"/>
          <w:szCs w:val="24"/>
          <w:lang w:val="en-GB"/>
        </w:rPr>
      </w:pPr>
    </w:p>
    <w:p w14:paraId="34588FBE" w14:textId="77777777" w:rsidR="00B13B97" w:rsidRDefault="00B13B97" w:rsidP="00B13B97">
      <w:pPr>
        <w:rPr>
          <w:rFonts w:ascii="Times New Roman" w:hAnsi="Times New Roman" w:cs="Times New Roman"/>
          <w:b/>
          <w:bCs/>
          <w:sz w:val="24"/>
          <w:szCs w:val="24"/>
          <w:lang w:val="en-GB"/>
        </w:rPr>
      </w:pPr>
    </w:p>
    <w:p w14:paraId="30885EF7" w14:textId="49C5624A" w:rsidR="00B13B97" w:rsidRDefault="00B13B97" w:rsidP="00B13B97">
      <w:pPr>
        <w:rPr>
          <w:rFonts w:ascii="Times New Roman" w:hAnsi="Times New Roman" w:cs="Times New Roman"/>
          <w:sz w:val="24"/>
          <w:szCs w:val="24"/>
          <w:lang w:val="en-GB"/>
        </w:rPr>
      </w:pPr>
      <w:r w:rsidRPr="009A418D">
        <w:rPr>
          <w:rFonts w:ascii="Times New Roman" w:hAnsi="Times New Roman" w:cs="Times New Roman"/>
          <w:b/>
          <w:bCs/>
          <w:sz w:val="24"/>
          <w:szCs w:val="24"/>
          <w:lang w:val="en-GB"/>
        </w:rPr>
        <w:lastRenderedPageBreak/>
        <w:t xml:space="preserve">Figure </w:t>
      </w:r>
      <w:r>
        <w:rPr>
          <w:rFonts w:ascii="Times New Roman" w:hAnsi="Times New Roman" w:cs="Times New Roman"/>
          <w:b/>
          <w:bCs/>
          <w:sz w:val="24"/>
          <w:szCs w:val="24"/>
          <w:lang w:val="en-GB"/>
        </w:rPr>
        <w:t>S</w:t>
      </w:r>
      <w:r w:rsidRPr="009A418D">
        <w:rPr>
          <w:rFonts w:ascii="Times New Roman" w:hAnsi="Times New Roman" w:cs="Times New Roman"/>
          <w:b/>
          <w:bCs/>
          <w:sz w:val="24"/>
          <w:szCs w:val="24"/>
          <w:lang w:val="en-GB"/>
        </w:rPr>
        <w:t>6</w:t>
      </w:r>
      <w:r w:rsidRPr="009A418D">
        <w:rPr>
          <w:rFonts w:ascii="Times New Roman" w:hAnsi="Times New Roman" w:cs="Times New Roman"/>
          <w:sz w:val="24"/>
          <w:szCs w:val="24"/>
          <w:lang w:val="en-GB"/>
        </w:rPr>
        <w:t xml:space="preserve">. Gut bacterial community structure. Relative abundance of phyla in children who developed (yellow bars) or did not develop (blue bars) at least one asymptomatic </w:t>
      </w:r>
      <w:r w:rsidRPr="009A418D">
        <w:rPr>
          <w:rFonts w:ascii="Times New Roman" w:hAnsi="Times New Roman" w:cs="Times New Roman"/>
          <w:i/>
          <w:sz w:val="24"/>
          <w:szCs w:val="24"/>
          <w:lang w:val="en-GB"/>
        </w:rPr>
        <w:t>Plasmodium</w:t>
      </w:r>
      <w:r w:rsidRPr="009A418D">
        <w:rPr>
          <w:rFonts w:ascii="Times New Roman" w:hAnsi="Times New Roman" w:cs="Times New Roman"/>
          <w:sz w:val="24"/>
          <w:szCs w:val="24"/>
          <w:lang w:val="en-GB"/>
        </w:rPr>
        <w:t xml:space="preserve"> parasitaemia episode within 16 months of follow-up. (Figures inside the bars are the mean abundance of the phylum for each group).</w:t>
      </w:r>
    </w:p>
    <w:p w14:paraId="40851B4F" w14:textId="4D7571E7" w:rsidR="00B13B97" w:rsidRDefault="00B13B97" w:rsidP="00B13B97">
      <w:pPr>
        <w:rPr>
          <w:rFonts w:ascii="Times New Roman" w:hAnsi="Times New Roman" w:cs="Times New Roman"/>
          <w:sz w:val="24"/>
          <w:szCs w:val="24"/>
          <w:lang w:val="en-GB"/>
        </w:rPr>
      </w:pPr>
      <w:r>
        <w:rPr>
          <w:noProof/>
        </w:rPr>
        <w:drawing>
          <wp:inline distT="0" distB="0" distL="0" distR="0" wp14:anchorId="2D9F7A58" wp14:editId="5818DB89">
            <wp:extent cx="6010275" cy="3562350"/>
            <wp:effectExtent l="0" t="0" r="9525" b="0"/>
            <wp:docPr id="3" name="Graphique 3">
              <a:extLst xmlns:a="http://schemas.openxmlformats.org/drawingml/2006/main">
                <a:ext uri="{FF2B5EF4-FFF2-40B4-BE49-F238E27FC236}">
                  <a16:creationId xmlns:a16="http://schemas.microsoft.com/office/drawing/2014/main" id="{D8EBC38A-E512-4D59-90C1-D0C52F6841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BEEBAFE" w14:textId="77777777" w:rsidR="00B13B97" w:rsidRDefault="00B13B97" w:rsidP="00D71716">
      <w:pPr>
        <w:rPr>
          <w:rFonts w:ascii="Times New Roman" w:hAnsi="Times New Roman" w:cs="Times New Roman"/>
          <w:b/>
          <w:bCs/>
          <w:sz w:val="24"/>
          <w:szCs w:val="24"/>
          <w:lang w:val="en-GB"/>
        </w:rPr>
      </w:pPr>
    </w:p>
    <w:p w14:paraId="1F84F987" w14:textId="097C7254" w:rsidR="0012076E" w:rsidRDefault="0012076E" w:rsidP="00D71716">
      <w:pPr>
        <w:rPr>
          <w:rFonts w:ascii="Times New Roman" w:hAnsi="Times New Roman" w:cs="Times New Roman"/>
          <w:b/>
          <w:bCs/>
          <w:sz w:val="24"/>
          <w:szCs w:val="24"/>
          <w:lang w:val="en-GB"/>
        </w:rPr>
      </w:pPr>
    </w:p>
    <w:p w14:paraId="18A90F74" w14:textId="616A0AD5" w:rsidR="0012076E" w:rsidRDefault="0012076E" w:rsidP="00D71716">
      <w:pPr>
        <w:rPr>
          <w:rFonts w:ascii="Times New Roman" w:hAnsi="Times New Roman" w:cs="Times New Roman"/>
          <w:b/>
          <w:bCs/>
          <w:sz w:val="24"/>
          <w:szCs w:val="24"/>
          <w:lang w:val="en-GB"/>
        </w:rPr>
      </w:pPr>
    </w:p>
    <w:p w14:paraId="51F26A9F" w14:textId="3885A7DA" w:rsidR="004F27FC" w:rsidRDefault="004F27FC" w:rsidP="00D71716">
      <w:pPr>
        <w:rPr>
          <w:rFonts w:ascii="Times New Roman" w:hAnsi="Times New Roman" w:cs="Times New Roman"/>
          <w:b/>
          <w:bCs/>
          <w:sz w:val="24"/>
          <w:szCs w:val="24"/>
          <w:lang w:val="en-GB"/>
        </w:rPr>
      </w:pPr>
    </w:p>
    <w:p w14:paraId="5706E97A" w14:textId="2549EB32" w:rsidR="007F2E27" w:rsidRDefault="007F2E27">
      <w:pPr>
        <w:rPr>
          <w:rFonts w:ascii="Times New Roman" w:hAnsi="Times New Roman" w:cs="Times New Roman"/>
          <w:b/>
          <w:bCs/>
          <w:sz w:val="24"/>
          <w:szCs w:val="24"/>
          <w:lang w:val="en-GB"/>
        </w:rPr>
      </w:pPr>
      <w:r>
        <w:rPr>
          <w:rFonts w:ascii="Times New Roman" w:hAnsi="Times New Roman" w:cs="Times New Roman"/>
          <w:b/>
          <w:bCs/>
          <w:sz w:val="24"/>
          <w:szCs w:val="24"/>
          <w:lang w:val="en-GB"/>
        </w:rPr>
        <w:br w:type="page"/>
      </w:r>
    </w:p>
    <w:p w14:paraId="644D80C9" w14:textId="77777777" w:rsidR="00D71716" w:rsidRDefault="00D71716" w:rsidP="000C4D6D">
      <w:pPr>
        <w:jc w:val="both"/>
        <w:rPr>
          <w:rFonts w:ascii="Times New Roman" w:hAnsi="Times New Roman" w:cs="Times New Roman"/>
          <w:b/>
          <w:bCs/>
          <w:sz w:val="24"/>
          <w:szCs w:val="24"/>
          <w:lang w:val="en-GB"/>
        </w:rPr>
        <w:sectPr w:rsidR="00D71716" w:rsidSect="0076372C">
          <w:pgSz w:w="11906" w:h="16838"/>
          <w:pgMar w:top="1417" w:right="1417" w:bottom="1417" w:left="1417" w:header="708" w:footer="708" w:gutter="0"/>
          <w:cols w:space="708"/>
          <w:docGrid w:linePitch="360"/>
        </w:sectPr>
      </w:pPr>
    </w:p>
    <w:p w14:paraId="3FDD2CB7" w14:textId="6495C9F5" w:rsidR="00D71716" w:rsidRDefault="00D71716" w:rsidP="00D71716">
      <w:pPr>
        <w:rPr>
          <w:rFonts w:ascii="Times New Roman" w:hAnsi="Times New Roman" w:cs="Times New Roman"/>
          <w:sz w:val="24"/>
          <w:szCs w:val="24"/>
          <w:lang w:val="en-GB"/>
        </w:rPr>
      </w:pPr>
      <w:r>
        <w:rPr>
          <w:rFonts w:ascii="Times New Roman" w:hAnsi="Times New Roman" w:cs="Times New Roman"/>
          <w:b/>
          <w:bCs/>
          <w:sz w:val="24"/>
          <w:szCs w:val="24"/>
          <w:lang w:val="en-GB"/>
        </w:rPr>
        <w:lastRenderedPageBreak/>
        <w:t>Figures S</w:t>
      </w:r>
      <w:r w:rsidR="00F656B7">
        <w:rPr>
          <w:rFonts w:ascii="Times New Roman" w:hAnsi="Times New Roman" w:cs="Times New Roman"/>
          <w:b/>
          <w:bCs/>
          <w:sz w:val="24"/>
          <w:szCs w:val="24"/>
          <w:lang w:val="en-GB"/>
        </w:rPr>
        <w:t>7</w:t>
      </w:r>
      <w:r>
        <w:rPr>
          <w:rFonts w:ascii="Times New Roman" w:hAnsi="Times New Roman" w:cs="Times New Roman"/>
          <w:b/>
          <w:bCs/>
          <w:sz w:val="24"/>
          <w:szCs w:val="24"/>
          <w:lang w:val="en-GB"/>
        </w:rPr>
        <w:t xml:space="preserve">. </w:t>
      </w:r>
      <w:r w:rsidRPr="009A418D">
        <w:rPr>
          <w:rFonts w:ascii="Times New Roman" w:hAnsi="Times New Roman" w:cs="Times New Roman"/>
          <w:sz w:val="24"/>
          <w:szCs w:val="24"/>
          <w:lang w:val="en-GB"/>
        </w:rPr>
        <w:t xml:space="preserve">Linear size effect discriminant analysis (LDA </w:t>
      </w:r>
      <w:proofErr w:type="spellStart"/>
      <w:r w:rsidRPr="009A418D">
        <w:rPr>
          <w:rFonts w:ascii="Times New Roman" w:hAnsi="Times New Roman" w:cs="Times New Roman"/>
          <w:sz w:val="24"/>
          <w:szCs w:val="24"/>
          <w:lang w:val="en-GB"/>
        </w:rPr>
        <w:t>LEfSe</w:t>
      </w:r>
      <w:proofErr w:type="spellEnd"/>
      <w:r w:rsidRPr="009A418D">
        <w:rPr>
          <w:rFonts w:ascii="Times New Roman" w:hAnsi="Times New Roman" w:cs="Times New Roman"/>
          <w:sz w:val="24"/>
          <w:szCs w:val="24"/>
          <w:lang w:val="en-GB"/>
        </w:rPr>
        <w:t>) of the gut bacterial community structure at species levels</w:t>
      </w:r>
      <w:r>
        <w:rPr>
          <w:rFonts w:ascii="Times New Roman" w:hAnsi="Times New Roman" w:cs="Times New Roman"/>
          <w:sz w:val="24"/>
          <w:szCs w:val="24"/>
          <w:lang w:val="en-GB"/>
        </w:rPr>
        <w:t xml:space="preserve"> in</w:t>
      </w:r>
      <w:r w:rsidRPr="009A418D">
        <w:rPr>
          <w:rFonts w:ascii="Times New Roman" w:hAnsi="Times New Roman" w:cs="Times New Roman"/>
          <w:sz w:val="24"/>
          <w:szCs w:val="24"/>
          <w:lang w:val="en-GB"/>
        </w:rPr>
        <w:t xml:space="preserve"> </w:t>
      </w:r>
      <w:r>
        <w:rPr>
          <w:rFonts w:ascii="Times New Roman" w:hAnsi="Times New Roman" w:cs="Times New Roman"/>
          <w:sz w:val="24"/>
          <w:szCs w:val="24"/>
          <w:lang w:val="en-GB"/>
        </w:rPr>
        <w:t xml:space="preserve">0 to 4 years old </w:t>
      </w:r>
      <w:r w:rsidRPr="009A418D">
        <w:rPr>
          <w:rFonts w:ascii="Times New Roman" w:hAnsi="Times New Roman" w:cs="Times New Roman"/>
          <w:sz w:val="24"/>
          <w:szCs w:val="24"/>
          <w:lang w:val="en-GB"/>
        </w:rPr>
        <w:t xml:space="preserve">children who experienced (green), or did not experience (red), at least one malaria attack within 16 months of follow-up. </w:t>
      </w:r>
      <w:r>
        <w:rPr>
          <w:rFonts w:ascii="Times New Roman" w:hAnsi="Times New Roman" w:cs="Times New Roman"/>
          <w:sz w:val="24"/>
          <w:szCs w:val="24"/>
          <w:lang w:val="en-GB"/>
        </w:rPr>
        <w:t>Vertical</w:t>
      </w:r>
      <w:r w:rsidRPr="009A418D">
        <w:rPr>
          <w:rFonts w:ascii="Times New Roman" w:hAnsi="Times New Roman" w:cs="Times New Roman"/>
          <w:sz w:val="24"/>
          <w:szCs w:val="24"/>
          <w:lang w:val="en-GB"/>
        </w:rPr>
        <w:t xml:space="preserve"> bars represent the effect size for each taxon. The length of the bar represents the log10 transformed LDA score, indicated by vertical dotted lines.</w:t>
      </w:r>
    </w:p>
    <w:p w14:paraId="23094C96" w14:textId="77777777" w:rsidR="00D71716" w:rsidRDefault="00D71716" w:rsidP="00D71716">
      <w:pPr>
        <w:rPr>
          <w:rFonts w:ascii="Times New Roman" w:hAnsi="Times New Roman" w:cs="Times New Roman"/>
          <w:sz w:val="24"/>
          <w:szCs w:val="24"/>
          <w:lang w:val="en-GB"/>
        </w:rPr>
      </w:pPr>
    </w:p>
    <w:p w14:paraId="36CBE3BF" w14:textId="77777777" w:rsidR="00D71716" w:rsidRDefault="00D71716" w:rsidP="00D71716">
      <w:pPr>
        <w:rPr>
          <w:noProof/>
        </w:rPr>
      </w:pPr>
      <w:r>
        <w:rPr>
          <w:noProof/>
          <w:lang w:eastAsia="fr-FR"/>
        </w:rPr>
        <w:drawing>
          <wp:inline distT="0" distB="0" distL="0" distR="0" wp14:anchorId="7F98919F" wp14:editId="1B17792D">
            <wp:extent cx="3635924" cy="9478478"/>
            <wp:effectExtent l="0" t="6667"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16200000">
                      <a:off x="0" y="0"/>
                      <a:ext cx="3637507" cy="9482605"/>
                    </a:xfrm>
                    <a:prstGeom prst="rect">
                      <a:avLst/>
                    </a:prstGeom>
                    <a:noFill/>
                    <a:ln>
                      <a:noFill/>
                    </a:ln>
                  </pic:spPr>
                </pic:pic>
              </a:graphicData>
            </a:graphic>
          </wp:inline>
        </w:drawing>
      </w:r>
    </w:p>
    <w:p w14:paraId="46ECD447" w14:textId="77777777" w:rsidR="00D71716" w:rsidRDefault="00D71716" w:rsidP="00D71716">
      <w:pPr>
        <w:rPr>
          <w:noProof/>
        </w:rPr>
      </w:pPr>
    </w:p>
    <w:p w14:paraId="069882FC" w14:textId="77777777" w:rsidR="00D71716" w:rsidRDefault="00D71716" w:rsidP="00D71716">
      <w:pPr>
        <w:tabs>
          <w:tab w:val="left" w:pos="1350"/>
        </w:tabs>
        <w:rPr>
          <w:rFonts w:ascii="Times New Roman" w:hAnsi="Times New Roman" w:cs="Times New Roman"/>
          <w:sz w:val="24"/>
          <w:szCs w:val="24"/>
          <w:lang w:val="en-GB"/>
        </w:rPr>
      </w:pPr>
      <w:r>
        <w:rPr>
          <w:rFonts w:ascii="Times New Roman" w:hAnsi="Times New Roman" w:cs="Times New Roman"/>
          <w:sz w:val="24"/>
          <w:szCs w:val="24"/>
          <w:lang w:val="en-GB"/>
        </w:rPr>
        <w:tab/>
      </w:r>
    </w:p>
    <w:p w14:paraId="23E5B333" w14:textId="77777777" w:rsidR="00D71716" w:rsidRDefault="00D71716" w:rsidP="00D71716">
      <w:pPr>
        <w:tabs>
          <w:tab w:val="left" w:pos="1350"/>
        </w:tabs>
        <w:rPr>
          <w:rFonts w:ascii="Times New Roman" w:hAnsi="Times New Roman" w:cs="Times New Roman"/>
          <w:sz w:val="24"/>
          <w:szCs w:val="24"/>
          <w:lang w:val="en-GB"/>
        </w:rPr>
      </w:pPr>
    </w:p>
    <w:p w14:paraId="3E18611A" w14:textId="77777777" w:rsidR="00D71716" w:rsidRDefault="00D71716" w:rsidP="00D71716">
      <w:pPr>
        <w:rPr>
          <w:rFonts w:ascii="Times New Roman" w:hAnsi="Times New Roman" w:cs="Times New Roman"/>
          <w:b/>
          <w:bCs/>
          <w:sz w:val="24"/>
          <w:szCs w:val="24"/>
          <w:lang w:val="en-GB"/>
        </w:rPr>
      </w:pPr>
    </w:p>
    <w:p w14:paraId="4851F76A" w14:textId="7D2E7B5B" w:rsidR="00D71716" w:rsidRDefault="00D71716" w:rsidP="00D71716">
      <w:pPr>
        <w:rPr>
          <w:rFonts w:ascii="Times New Roman" w:hAnsi="Times New Roman" w:cs="Times New Roman"/>
          <w:sz w:val="24"/>
          <w:szCs w:val="24"/>
          <w:lang w:val="en-GB"/>
        </w:rPr>
      </w:pPr>
      <w:r w:rsidRPr="009D1CF1">
        <w:rPr>
          <w:rFonts w:ascii="Times New Roman" w:hAnsi="Times New Roman" w:cs="Times New Roman"/>
          <w:b/>
          <w:bCs/>
          <w:sz w:val="24"/>
          <w:szCs w:val="24"/>
          <w:lang w:val="en-GB"/>
        </w:rPr>
        <w:lastRenderedPageBreak/>
        <w:t>Figure S</w:t>
      </w:r>
      <w:r w:rsidR="00D10236">
        <w:rPr>
          <w:rFonts w:ascii="Times New Roman" w:hAnsi="Times New Roman" w:cs="Times New Roman"/>
          <w:b/>
          <w:bCs/>
          <w:sz w:val="24"/>
          <w:szCs w:val="24"/>
          <w:lang w:val="en-GB"/>
        </w:rPr>
        <w:t>8</w:t>
      </w:r>
      <w:r w:rsidRPr="009D1CF1">
        <w:rPr>
          <w:rFonts w:ascii="Times New Roman" w:hAnsi="Times New Roman" w:cs="Times New Roman"/>
          <w:b/>
          <w:bCs/>
          <w:sz w:val="24"/>
          <w:szCs w:val="24"/>
          <w:lang w:val="en-GB"/>
        </w:rPr>
        <w:t>.</w:t>
      </w:r>
      <w:r>
        <w:rPr>
          <w:rFonts w:ascii="Times New Roman" w:hAnsi="Times New Roman" w:cs="Times New Roman"/>
          <w:b/>
          <w:bCs/>
          <w:sz w:val="24"/>
          <w:szCs w:val="24"/>
          <w:lang w:val="en-GB"/>
        </w:rPr>
        <w:t xml:space="preserve"> </w:t>
      </w:r>
      <w:r w:rsidRPr="009A418D">
        <w:rPr>
          <w:rFonts w:ascii="Times New Roman" w:hAnsi="Times New Roman" w:cs="Times New Roman"/>
          <w:sz w:val="24"/>
          <w:szCs w:val="24"/>
          <w:lang w:val="en-GB"/>
        </w:rPr>
        <w:t xml:space="preserve">Linear size effect discriminant analysis (LDA </w:t>
      </w:r>
      <w:proofErr w:type="spellStart"/>
      <w:r w:rsidRPr="009A418D">
        <w:rPr>
          <w:rFonts w:ascii="Times New Roman" w:hAnsi="Times New Roman" w:cs="Times New Roman"/>
          <w:sz w:val="24"/>
          <w:szCs w:val="24"/>
          <w:lang w:val="en-GB"/>
        </w:rPr>
        <w:t>LEfSe</w:t>
      </w:r>
      <w:proofErr w:type="spellEnd"/>
      <w:r w:rsidRPr="009A418D">
        <w:rPr>
          <w:rFonts w:ascii="Times New Roman" w:hAnsi="Times New Roman" w:cs="Times New Roman"/>
          <w:sz w:val="24"/>
          <w:szCs w:val="24"/>
          <w:lang w:val="en-GB"/>
        </w:rPr>
        <w:t xml:space="preserve">) of the gut bacterial community structure at species levels, </w:t>
      </w:r>
      <w:r>
        <w:rPr>
          <w:rFonts w:ascii="Times New Roman" w:hAnsi="Times New Roman" w:cs="Times New Roman"/>
          <w:sz w:val="24"/>
          <w:szCs w:val="24"/>
          <w:lang w:val="en-GB"/>
        </w:rPr>
        <w:t xml:space="preserve">in 5 to 15 years old </w:t>
      </w:r>
      <w:r w:rsidRPr="009A418D">
        <w:rPr>
          <w:rFonts w:ascii="Times New Roman" w:hAnsi="Times New Roman" w:cs="Times New Roman"/>
          <w:sz w:val="24"/>
          <w:szCs w:val="24"/>
          <w:lang w:val="en-GB"/>
        </w:rPr>
        <w:t>children who experienced (green), or did not experience (red), at least one malaria attack within 16 months of follow-up. Horizontal bars represent the effect size for each taxon. The length of the bar represents the log10 transformed LDA score, indicated by vertical dotted lines.</w:t>
      </w:r>
    </w:p>
    <w:p w14:paraId="0B8D769A" w14:textId="77777777" w:rsidR="00D71716" w:rsidRDefault="00D71716" w:rsidP="00D71716">
      <w:pPr>
        <w:rPr>
          <w:rFonts w:ascii="Times New Roman" w:hAnsi="Times New Roman" w:cs="Times New Roman"/>
          <w:sz w:val="24"/>
          <w:szCs w:val="24"/>
          <w:lang w:val="en-GB"/>
        </w:rPr>
      </w:pPr>
      <w:r>
        <w:rPr>
          <w:noProof/>
          <w:lang w:eastAsia="fr-FR"/>
        </w:rPr>
        <w:drawing>
          <wp:anchor distT="0" distB="0" distL="114300" distR="114300" simplePos="0" relativeHeight="251660288" behindDoc="0" locked="0" layoutInCell="1" allowOverlap="1" wp14:anchorId="6E9062ED" wp14:editId="3430050D">
            <wp:simplePos x="0" y="0"/>
            <wp:positionH relativeFrom="column">
              <wp:posOffset>1414780</wp:posOffset>
            </wp:positionH>
            <wp:positionV relativeFrom="paragraph">
              <wp:posOffset>13970</wp:posOffset>
            </wp:positionV>
            <wp:extent cx="5172075" cy="4876800"/>
            <wp:effectExtent l="0" t="0" r="9525" b="0"/>
            <wp:wrapNone/>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7">
                      <a:extLst>
                        <a:ext uri="{28A0092B-C50C-407E-A947-70E740481C1C}">
                          <a14:useLocalDpi xmlns:a14="http://schemas.microsoft.com/office/drawing/2010/main" val="0"/>
                        </a:ext>
                      </a:extLst>
                    </a:blip>
                    <a:srcRect l="14732" t="8734" r="4464"/>
                    <a:stretch/>
                  </pic:blipFill>
                  <pic:spPr bwMode="auto">
                    <a:xfrm>
                      <a:off x="0" y="0"/>
                      <a:ext cx="5172075" cy="4876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D0BA44C" w14:textId="77777777" w:rsidR="00D71716" w:rsidRDefault="00D71716" w:rsidP="00D71716">
      <w:pPr>
        <w:tabs>
          <w:tab w:val="left" w:pos="1350"/>
        </w:tabs>
        <w:rPr>
          <w:rFonts w:ascii="Times New Roman" w:hAnsi="Times New Roman" w:cs="Times New Roman"/>
          <w:sz w:val="24"/>
          <w:szCs w:val="24"/>
          <w:lang w:val="en-GB"/>
        </w:rPr>
      </w:pPr>
    </w:p>
    <w:p w14:paraId="52AAD3D8" w14:textId="77777777" w:rsidR="00D71716" w:rsidRDefault="00D71716" w:rsidP="00D71716">
      <w:pPr>
        <w:tabs>
          <w:tab w:val="left" w:pos="1350"/>
        </w:tabs>
        <w:rPr>
          <w:rFonts w:ascii="Times New Roman" w:hAnsi="Times New Roman" w:cs="Times New Roman"/>
          <w:sz w:val="24"/>
          <w:szCs w:val="24"/>
          <w:lang w:val="en-GB"/>
        </w:rPr>
      </w:pPr>
    </w:p>
    <w:p w14:paraId="7E8DF64F" w14:textId="77777777" w:rsidR="00D71716" w:rsidRDefault="00D71716" w:rsidP="00D71716">
      <w:pPr>
        <w:tabs>
          <w:tab w:val="left" w:pos="1350"/>
        </w:tabs>
        <w:rPr>
          <w:rFonts w:ascii="Times New Roman" w:hAnsi="Times New Roman" w:cs="Times New Roman"/>
          <w:sz w:val="24"/>
          <w:szCs w:val="24"/>
          <w:lang w:val="en-GB"/>
        </w:rPr>
      </w:pPr>
    </w:p>
    <w:p w14:paraId="272F23AB" w14:textId="77777777" w:rsidR="00D71716" w:rsidRDefault="00D71716" w:rsidP="00D71716">
      <w:pPr>
        <w:tabs>
          <w:tab w:val="left" w:pos="1350"/>
        </w:tabs>
        <w:rPr>
          <w:rFonts w:ascii="Times New Roman" w:hAnsi="Times New Roman" w:cs="Times New Roman"/>
          <w:sz w:val="24"/>
          <w:szCs w:val="24"/>
          <w:lang w:val="en-GB"/>
        </w:rPr>
      </w:pPr>
    </w:p>
    <w:p w14:paraId="56783169" w14:textId="77777777" w:rsidR="00D71716" w:rsidRDefault="00D71716" w:rsidP="00D71716">
      <w:pPr>
        <w:tabs>
          <w:tab w:val="left" w:pos="1350"/>
        </w:tabs>
        <w:rPr>
          <w:rFonts w:ascii="Times New Roman" w:hAnsi="Times New Roman" w:cs="Times New Roman"/>
          <w:sz w:val="24"/>
          <w:szCs w:val="24"/>
          <w:lang w:val="en-GB"/>
        </w:rPr>
      </w:pPr>
    </w:p>
    <w:p w14:paraId="5C0C5E43" w14:textId="77777777" w:rsidR="00D71716" w:rsidRDefault="00D71716" w:rsidP="00D71716">
      <w:pPr>
        <w:tabs>
          <w:tab w:val="left" w:pos="1350"/>
        </w:tabs>
        <w:rPr>
          <w:rFonts w:ascii="Times New Roman" w:hAnsi="Times New Roman" w:cs="Times New Roman"/>
          <w:sz w:val="24"/>
          <w:szCs w:val="24"/>
          <w:lang w:val="en-GB"/>
        </w:rPr>
      </w:pPr>
    </w:p>
    <w:p w14:paraId="6189175D" w14:textId="77777777" w:rsidR="00D71716" w:rsidRDefault="00D71716" w:rsidP="00D71716">
      <w:pPr>
        <w:tabs>
          <w:tab w:val="left" w:pos="1350"/>
        </w:tabs>
        <w:rPr>
          <w:rFonts w:ascii="Times New Roman" w:hAnsi="Times New Roman" w:cs="Times New Roman"/>
          <w:sz w:val="24"/>
          <w:szCs w:val="24"/>
          <w:lang w:val="en-GB"/>
        </w:rPr>
      </w:pPr>
    </w:p>
    <w:p w14:paraId="6352419F" w14:textId="77777777" w:rsidR="00D71716" w:rsidRDefault="00D71716" w:rsidP="00D71716">
      <w:pPr>
        <w:tabs>
          <w:tab w:val="left" w:pos="1350"/>
        </w:tabs>
        <w:rPr>
          <w:rFonts w:ascii="Times New Roman" w:hAnsi="Times New Roman" w:cs="Times New Roman"/>
          <w:sz w:val="24"/>
          <w:szCs w:val="24"/>
          <w:lang w:val="en-GB"/>
        </w:rPr>
      </w:pPr>
    </w:p>
    <w:p w14:paraId="65AC4DBF" w14:textId="77777777" w:rsidR="00D71716" w:rsidRDefault="00D71716" w:rsidP="00D71716">
      <w:pPr>
        <w:tabs>
          <w:tab w:val="left" w:pos="1350"/>
        </w:tabs>
        <w:rPr>
          <w:rFonts w:ascii="Times New Roman" w:hAnsi="Times New Roman" w:cs="Times New Roman"/>
          <w:sz w:val="24"/>
          <w:szCs w:val="24"/>
          <w:lang w:val="en-GB"/>
        </w:rPr>
      </w:pPr>
    </w:p>
    <w:p w14:paraId="1E2F8230" w14:textId="77777777" w:rsidR="00D71716" w:rsidRDefault="00D71716" w:rsidP="00D71716">
      <w:pPr>
        <w:tabs>
          <w:tab w:val="left" w:pos="1350"/>
        </w:tabs>
        <w:rPr>
          <w:rFonts w:ascii="Times New Roman" w:hAnsi="Times New Roman" w:cs="Times New Roman"/>
          <w:sz w:val="24"/>
          <w:szCs w:val="24"/>
          <w:lang w:val="en-GB"/>
        </w:rPr>
      </w:pPr>
    </w:p>
    <w:p w14:paraId="1FA23133" w14:textId="77777777" w:rsidR="00D71716" w:rsidRDefault="00D71716" w:rsidP="00D71716">
      <w:pPr>
        <w:tabs>
          <w:tab w:val="left" w:pos="1350"/>
        </w:tabs>
        <w:rPr>
          <w:rFonts w:ascii="Times New Roman" w:hAnsi="Times New Roman" w:cs="Times New Roman"/>
          <w:sz w:val="24"/>
          <w:szCs w:val="24"/>
          <w:lang w:val="en-GB"/>
        </w:rPr>
      </w:pPr>
    </w:p>
    <w:p w14:paraId="2C462920" w14:textId="77777777" w:rsidR="00D71716" w:rsidRDefault="00D71716" w:rsidP="00D71716">
      <w:pPr>
        <w:tabs>
          <w:tab w:val="left" w:pos="1350"/>
        </w:tabs>
        <w:rPr>
          <w:rFonts w:ascii="Times New Roman" w:hAnsi="Times New Roman" w:cs="Times New Roman"/>
          <w:sz w:val="24"/>
          <w:szCs w:val="24"/>
          <w:lang w:val="en-GB"/>
        </w:rPr>
      </w:pPr>
    </w:p>
    <w:p w14:paraId="1AA481ED" w14:textId="77777777" w:rsidR="00D71716" w:rsidRDefault="00D71716" w:rsidP="00D71716">
      <w:pPr>
        <w:tabs>
          <w:tab w:val="left" w:pos="1350"/>
        </w:tabs>
        <w:rPr>
          <w:rFonts w:ascii="Times New Roman" w:hAnsi="Times New Roman" w:cs="Times New Roman"/>
          <w:sz w:val="24"/>
          <w:szCs w:val="24"/>
          <w:lang w:val="en-GB"/>
        </w:rPr>
      </w:pPr>
    </w:p>
    <w:p w14:paraId="341917A6" w14:textId="77777777" w:rsidR="00D71716" w:rsidRDefault="00D71716" w:rsidP="00D71716">
      <w:pPr>
        <w:tabs>
          <w:tab w:val="left" w:pos="1350"/>
        </w:tabs>
        <w:rPr>
          <w:rFonts w:ascii="Times New Roman" w:hAnsi="Times New Roman" w:cs="Times New Roman"/>
          <w:sz w:val="24"/>
          <w:szCs w:val="24"/>
          <w:lang w:val="en-GB"/>
        </w:rPr>
      </w:pPr>
    </w:p>
    <w:p w14:paraId="41ACF7C6" w14:textId="77777777" w:rsidR="00D71716" w:rsidRDefault="00D71716" w:rsidP="00D71716">
      <w:pPr>
        <w:tabs>
          <w:tab w:val="left" w:pos="1350"/>
        </w:tabs>
        <w:rPr>
          <w:rFonts w:ascii="Times New Roman" w:hAnsi="Times New Roman" w:cs="Times New Roman"/>
          <w:sz w:val="24"/>
          <w:szCs w:val="24"/>
          <w:lang w:val="en-GB"/>
        </w:rPr>
      </w:pPr>
    </w:p>
    <w:p w14:paraId="23AA30D0" w14:textId="77777777" w:rsidR="00D71716" w:rsidRDefault="00D71716" w:rsidP="00D71716">
      <w:pPr>
        <w:tabs>
          <w:tab w:val="left" w:pos="1350"/>
        </w:tabs>
        <w:rPr>
          <w:rFonts w:ascii="Times New Roman" w:hAnsi="Times New Roman" w:cs="Times New Roman"/>
          <w:sz w:val="24"/>
          <w:szCs w:val="24"/>
          <w:lang w:val="en-GB"/>
        </w:rPr>
      </w:pPr>
    </w:p>
    <w:p w14:paraId="531F52C9" w14:textId="047A25FC" w:rsidR="00D71716" w:rsidRDefault="00D71716" w:rsidP="00D71716">
      <w:pPr>
        <w:tabs>
          <w:tab w:val="left" w:pos="1350"/>
        </w:tabs>
        <w:rPr>
          <w:rFonts w:ascii="Times New Roman" w:hAnsi="Times New Roman" w:cs="Times New Roman"/>
          <w:sz w:val="24"/>
          <w:szCs w:val="24"/>
          <w:lang w:val="en-GB"/>
        </w:rPr>
      </w:pPr>
      <w:r w:rsidRPr="009D1CF1">
        <w:rPr>
          <w:rFonts w:ascii="Times New Roman" w:hAnsi="Times New Roman" w:cs="Times New Roman"/>
          <w:b/>
          <w:bCs/>
          <w:sz w:val="24"/>
          <w:szCs w:val="24"/>
          <w:lang w:val="en-GB"/>
        </w:rPr>
        <w:lastRenderedPageBreak/>
        <w:t>Figure S</w:t>
      </w:r>
      <w:r w:rsidR="00D10236">
        <w:rPr>
          <w:rFonts w:ascii="Times New Roman" w:hAnsi="Times New Roman" w:cs="Times New Roman"/>
          <w:b/>
          <w:bCs/>
          <w:sz w:val="24"/>
          <w:szCs w:val="24"/>
          <w:lang w:val="en-GB"/>
        </w:rPr>
        <w:t>9</w:t>
      </w:r>
      <w:r>
        <w:rPr>
          <w:rFonts w:ascii="Times New Roman" w:hAnsi="Times New Roman" w:cs="Times New Roman"/>
          <w:sz w:val="24"/>
          <w:szCs w:val="24"/>
          <w:lang w:val="en-GB"/>
        </w:rPr>
        <w:t xml:space="preserve">. </w:t>
      </w:r>
      <w:r w:rsidRPr="00A807CE">
        <w:rPr>
          <w:rFonts w:ascii="Times New Roman" w:hAnsi="Times New Roman" w:cs="Times New Roman"/>
          <w:sz w:val="24"/>
          <w:szCs w:val="24"/>
          <w:lang w:val="en-GB"/>
        </w:rPr>
        <w:t xml:space="preserve">Linear size effect discriminant analysis (LDA </w:t>
      </w:r>
      <w:proofErr w:type="spellStart"/>
      <w:r w:rsidRPr="00A807CE">
        <w:rPr>
          <w:rFonts w:ascii="Times New Roman" w:hAnsi="Times New Roman" w:cs="Times New Roman"/>
          <w:sz w:val="24"/>
          <w:szCs w:val="24"/>
          <w:lang w:val="en-GB"/>
        </w:rPr>
        <w:t>LEfSe</w:t>
      </w:r>
      <w:proofErr w:type="spellEnd"/>
      <w:r w:rsidRPr="00A807CE">
        <w:rPr>
          <w:rFonts w:ascii="Times New Roman" w:hAnsi="Times New Roman" w:cs="Times New Roman"/>
          <w:sz w:val="24"/>
          <w:szCs w:val="24"/>
          <w:lang w:val="en-GB"/>
        </w:rPr>
        <w:t xml:space="preserve">) of the </w:t>
      </w:r>
      <w:r w:rsidRPr="009A418D">
        <w:rPr>
          <w:rFonts w:ascii="Times New Roman" w:hAnsi="Times New Roman" w:cs="Times New Roman"/>
          <w:sz w:val="24"/>
          <w:szCs w:val="24"/>
          <w:lang w:val="en-GB"/>
        </w:rPr>
        <w:t>gut bacterial</w:t>
      </w:r>
      <w:r w:rsidRPr="00A807CE">
        <w:rPr>
          <w:rFonts w:ascii="Times New Roman" w:hAnsi="Times New Roman" w:cs="Times New Roman"/>
          <w:sz w:val="24"/>
          <w:szCs w:val="24"/>
          <w:lang w:val="en-GB"/>
        </w:rPr>
        <w:t xml:space="preserve"> community structure at</w:t>
      </w:r>
      <w:r>
        <w:rPr>
          <w:rFonts w:ascii="Times New Roman" w:hAnsi="Times New Roman" w:cs="Times New Roman"/>
          <w:sz w:val="24"/>
          <w:szCs w:val="24"/>
          <w:lang w:val="en-GB"/>
        </w:rPr>
        <w:t xml:space="preserve"> </w:t>
      </w:r>
      <w:r w:rsidRPr="00A807CE">
        <w:rPr>
          <w:rFonts w:ascii="Times New Roman" w:hAnsi="Times New Roman" w:cs="Times New Roman"/>
          <w:sz w:val="24"/>
          <w:szCs w:val="24"/>
          <w:lang w:val="en-GB"/>
        </w:rPr>
        <w:t xml:space="preserve">species levels, </w:t>
      </w:r>
      <w:r>
        <w:rPr>
          <w:rFonts w:ascii="Times New Roman" w:hAnsi="Times New Roman" w:cs="Times New Roman"/>
          <w:sz w:val="24"/>
          <w:szCs w:val="24"/>
          <w:lang w:val="en-GB"/>
        </w:rPr>
        <w:t>in</w:t>
      </w:r>
      <w:r w:rsidRPr="00A807CE">
        <w:rPr>
          <w:rFonts w:ascii="Times New Roman" w:hAnsi="Times New Roman" w:cs="Times New Roman"/>
          <w:sz w:val="24"/>
          <w:szCs w:val="24"/>
          <w:lang w:val="en-GB"/>
        </w:rPr>
        <w:t xml:space="preserve"> </w:t>
      </w:r>
      <w:r>
        <w:rPr>
          <w:rFonts w:ascii="Times New Roman" w:hAnsi="Times New Roman" w:cs="Times New Roman"/>
          <w:sz w:val="24"/>
          <w:szCs w:val="24"/>
          <w:lang w:val="en-GB"/>
        </w:rPr>
        <w:t xml:space="preserve">0 to 4 years old </w:t>
      </w:r>
      <w:r w:rsidRPr="00A807CE">
        <w:rPr>
          <w:rFonts w:ascii="Times New Roman" w:hAnsi="Times New Roman" w:cs="Times New Roman"/>
          <w:sz w:val="24"/>
          <w:szCs w:val="24"/>
          <w:lang w:val="en-GB"/>
        </w:rPr>
        <w:t xml:space="preserve">children who developed (green), or did not develop (red), at least one asymptomatic </w:t>
      </w:r>
      <w:r w:rsidRPr="003443A8">
        <w:rPr>
          <w:rFonts w:ascii="Times New Roman" w:hAnsi="Times New Roman" w:cs="Times New Roman"/>
          <w:i/>
          <w:iCs/>
          <w:sz w:val="24"/>
          <w:szCs w:val="24"/>
          <w:lang w:val="en-GB"/>
        </w:rPr>
        <w:t>Plasmodium</w:t>
      </w:r>
      <w:r w:rsidRPr="00A807CE">
        <w:rPr>
          <w:rFonts w:ascii="Times New Roman" w:hAnsi="Times New Roman" w:cs="Times New Roman"/>
          <w:sz w:val="24"/>
          <w:szCs w:val="24"/>
          <w:lang w:val="en-GB"/>
        </w:rPr>
        <w:t xml:space="preserve"> parasitaemia episode within 16 months of follow-up. </w:t>
      </w:r>
      <w:r>
        <w:rPr>
          <w:rFonts w:ascii="Times New Roman" w:hAnsi="Times New Roman" w:cs="Times New Roman"/>
          <w:sz w:val="24"/>
          <w:szCs w:val="24"/>
          <w:lang w:val="en-GB"/>
        </w:rPr>
        <w:t>Vertical</w:t>
      </w:r>
      <w:r w:rsidRPr="00A807CE">
        <w:rPr>
          <w:rFonts w:ascii="Times New Roman" w:hAnsi="Times New Roman" w:cs="Times New Roman"/>
          <w:sz w:val="24"/>
          <w:szCs w:val="24"/>
          <w:lang w:val="en-GB"/>
        </w:rPr>
        <w:t xml:space="preserve"> bars represent the effect size for each taxon. The length of the bar represents the log10 transformed LDA score, indicated by vertical dotted lines</w:t>
      </w:r>
      <w:r>
        <w:rPr>
          <w:rFonts w:ascii="Times New Roman" w:hAnsi="Times New Roman" w:cs="Times New Roman"/>
          <w:sz w:val="24"/>
          <w:szCs w:val="24"/>
          <w:lang w:val="en-GB"/>
        </w:rPr>
        <w:t>.</w:t>
      </w:r>
    </w:p>
    <w:p w14:paraId="73B7BDD6" w14:textId="77777777" w:rsidR="00D71716" w:rsidRDefault="00D71716" w:rsidP="00D71716">
      <w:pPr>
        <w:tabs>
          <w:tab w:val="left" w:pos="1350"/>
        </w:tabs>
        <w:rPr>
          <w:rFonts w:ascii="Times New Roman" w:hAnsi="Times New Roman" w:cs="Times New Roman"/>
          <w:sz w:val="24"/>
          <w:szCs w:val="24"/>
          <w:lang w:val="en-GB"/>
        </w:rPr>
      </w:pPr>
      <w:r>
        <w:rPr>
          <w:noProof/>
          <w:lang w:eastAsia="fr-FR"/>
        </w:rPr>
        <w:drawing>
          <wp:inline distT="0" distB="0" distL="0" distR="0" wp14:anchorId="313E8D61" wp14:editId="47C28AEB">
            <wp:extent cx="2745844" cy="9432147"/>
            <wp:effectExtent l="0" t="9208" r="7303" b="7302"/>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16200000">
                      <a:off x="0" y="0"/>
                      <a:ext cx="2745844" cy="9432147"/>
                    </a:xfrm>
                    <a:prstGeom prst="rect">
                      <a:avLst/>
                    </a:prstGeom>
                    <a:noFill/>
                    <a:ln>
                      <a:noFill/>
                    </a:ln>
                  </pic:spPr>
                </pic:pic>
              </a:graphicData>
            </a:graphic>
          </wp:inline>
        </w:drawing>
      </w:r>
    </w:p>
    <w:p w14:paraId="6AFAAC42" w14:textId="77777777" w:rsidR="00D71716" w:rsidRDefault="00D71716" w:rsidP="00D71716">
      <w:pPr>
        <w:tabs>
          <w:tab w:val="left" w:pos="1350"/>
        </w:tabs>
        <w:rPr>
          <w:rFonts w:ascii="Times New Roman" w:hAnsi="Times New Roman" w:cs="Times New Roman"/>
          <w:sz w:val="24"/>
          <w:szCs w:val="24"/>
          <w:lang w:val="en-GB"/>
        </w:rPr>
      </w:pPr>
    </w:p>
    <w:p w14:paraId="2DAF4103" w14:textId="77777777" w:rsidR="00D71716" w:rsidRDefault="00D71716" w:rsidP="00D71716">
      <w:pPr>
        <w:tabs>
          <w:tab w:val="left" w:pos="1350"/>
        </w:tabs>
        <w:rPr>
          <w:rFonts w:ascii="Times New Roman" w:hAnsi="Times New Roman" w:cs="Times New Roman"/>
          <w:sz w:val="24"/>
          <w:szCs w:val="24"/>
          <w:lang w:val="en-GB"/>
        </w:rPr>
      </w:pPr>
    </w:p>
    <w:p w14:paraId="375DCC42" w14:textId="77777777" w:rsidR="00D71716" w:rsidRDefault="00D71716" w:rsidP="00D71716">
      <w:pPr>
        <w:tabs>
          <w:tab w:val="left" w:pos="1350"/>
        </w:tabs>
        <w:rPr>
          <w:rFonts w:ascii="Times New Roman" w:hAnsi="Times New Roman" w:cs="Times New Roman"/>
          <w:sz w:val="24"/>
          <w:szCs w:val="24"/>
          <w:lang w:val="en-GB"/>
        </w:rPr>
      </w:pPr>
    </w:p>
    <w:p w14:paraId="2471D459" w14:textId="77777777" w:rsidR="00D71716" w:rsidRDefault="00D71716" w:rsidP="00D71716">
      <w:pPr>
        <w:tabs>
          <w:tab w:val="left" w:pos="1350"/>
        </w:tabs>
        <w:rPr>
          <w:rFonts w:ascii="Times New Roman" w:hAnsi="Times New Roman" w:cs="Times New Roman"/>
          <w:sz w:val="24"/>
          <w:szCs w:val="24"/>
          <w:lang w:val="en-GB"/>
        </w:rPr>
      </w:pPr>
    </w:p>
    <w:p w14:paraId="3DEC220A" w14:textId="77777777" w:rsidR="00D71716" w:rsidRDefault="00D71716" w:rsidP="00D71716">
      <w:pPr>
        <w:tabs>
          <w:tab w:val="left" w:pos="1350"/>
        </w:tabs>
        <w:rPr>
          <w:rFonts w:ascii="Times New Roman" w:hAnsi="Times New Roman" w:cs="Times New Roman"/>
          <w:sz w:val="24"/>
          <w:szCs w:val="24"/>
          <w:lang w:val="en-GB"/>
        </w:rPr>
      </w:pPr>
    </w:p>
    <w:p w14:paraId="26E2ACF4" w14:textId="77777777" w:rsidR="00D71716" w:rsidRDefault="00D71716" w:rsidP="00D71716">
      <w:pPr>
        <w:tabs>
          <w:tab w:val="left" w:pos="1350"/>
        </w:tabs>
        <w:rPr>
          <w:rFonts w:ascii="Times New Roman" w:hAnsi="Times New Roman" w:cs="Times New Roman"/>
          <w:sz w:val="24"/>
          <w:szCs w:val="24"/>
          <w:lang w:val="en-GB"/>
        </w:rPr>
      </w:pPr>
    </w:p>
    <w:p w14:paraId="6111E5E1" w14:textId="77777777" w:rsidR="00D71716" w:rsidRDefault="00D71716" w:rsidP="00D71716">
      <w:pPr>
        <w:tabs>
          <w:tab w:val="left" w:pos="1350"/>
        </w:tabs>
        <w:rPr>
          <w:rFonts w:ascii="Times New Roman" w:hAnsi="Times New Roman" w:cs="Times New Roman"/>
          <w:sz w:val="24"/>
          <w:szCs w:val="24"/>
          <w:lang w:val="en-GB"/>
        </w:rPr>
      </w:pPr>
    </w:p>
    <w:p w14:paraId="06ACCF65" w14:textId="7315C805" w:rsidR="00D71716" w:rsidRDefault="00D71716" w:rsidP="00D71716">
      <w:pPr>
        <w:tabs>
          <w:tab w:val="left" w:pos="1350"/>
        </w:tabs>
        <w:rPr>
          <w:rFonts w:ascii="Times New Roman" w:hAnsi="Times New Roman" w:cs="Times New Roman"/>
          <w:sz w:val="24"/>
          <w:szCs w:val="24"/>
          <w:lang w:val="en-GB"/>
        </w:rPr>
      </w:pPr>
      <w:r w:rsidRPr="009D1CF1">
        <w:rPr>
          <w:rFonts w:ascii="Times New Roman" w:hAnsi="Times New Roman" w:cs="Times New Roman"/>
          <w:b/>
          <w:bCs/>
          <w:sz w:val="24"/>
          <w:szCs w:val="24"/>
          <w:lang w:val="en-GB"/>
        </w:rPr>
        <w:lastRenderedPageBreak/>
        <w:t>Figure S</w:t>
      </w:r>
      <w:r w:rsidR="00D10236">
        <w:rPr>
          <w:rFonts w:ascii="Times New Roman" w:hAnsi="Times New Roman" w:cs="Times New Roman"/>
          <w:b/>
          <w:bCs/>
          <w:sz w:val="24"/>
          <w:szCs w:val="24"/>
          <w:lang w:val="en-GB"/>
        </w:rPr>
        <w:t>10</w:t>
      </w:r>
      <w:r>
        <w:rPr>
          <w:rFonts w:ascii="Times New Roman" w:hAnsi="Times New Roman" w:cs="Times New Roman"/>
          <w:sz w:val="24"/>
          <w:szCs w:val="24"/>
          <w:lang w:val="en-GB"/>
        </w:rPr>
        <w:t xml:space="preserve">. </w:t>
      </w:r>
      <w:r w:rsidRPr="00A807CE">
        <w:rPr>
          <w:rFonts w:ascii="Times New Roman" w:hAnsi="Times New Roman" w:cs="Times New Roman"/>
          <w:sz w:val="24"/>
          <w:szCs w:val="24"/>
          <w:lang w:val="en-GB"/>
        </w:rPr>
        <w:t xml:space="preserve">Linear size effect discriminant analysis (LDA </w:t>
      </w:r>
      <w:proofErr w:type="spellStart"/>
      <w:r w:rsidRPr="00A807CE">
        <w:rPr>
          <w:rFonts w:ascii="Times New Roman" w:hAnsi="Times New Roman" w:cs="Times New Roman"/>
          <w:sz w:val="24"/>
          <w:szCs w:val="24"/>
          <w:lang w:val="en-GB"/>
        </w:rPr>
        <w:t>LEfSe</w:t>
      </w:r>
      <w:proofErr w:type="spellEnd"/>
      <w:r w:rsidRPr="00A807CE">
        <w:rPr>
          <w:rFonts w:ascii="Times New Roman" w:hAnsi="Times New Roman" w:cs="Times New Roman"/>
          <w:sz w:val="24"/>
          <w:szCs w:val="24"/>
          <w:lang w:val="en-GB"/>
        </w:rPr>
        <w:t xml:space="preserve">) of the </w:t>
      </w:r>
      <w:r w:rsidRPr="009A418D">
        <w:rPr>
          <w:rFonts w:ascii="Times New Roman" w:hAnsi="Times New Roman" w:cs="Times New Roman"/>
          <w:sz w:val="24"/>
          <w:szCs w:val="24"/>
          <w:lang w:val="en-GB"/>
        </w:rPr>
        <w:t xml:space="preserve">gut bacterial </w:t>
      </w:r>
      <w:r w:rsidRPr="00A807CE">
        <w:rPr>
          <w:rFonts w:ascii="Times New Roman" w:hAnsi="Times New Roman" w:cs="Times New Roman"/>
          <w:sz w:val="24"/>
          <w:szCs w:val="24"/>
          <w:lang w:val="en-GB"/>
        </w:rPr>
        <w:t>community structure at</w:t>
      </w:r>
      <w:r>
        <w:rPr>
          <w:rFonts w:ascii="Times New Roman" w:hAnsi="Times New Roman" w:cs="Times New Roman"/>
          <w:sz w:val="24"/>
          <w:szCs w:val="24"/>
          <w:lang w:val="en-GB"/>
        </w:rPr>
        <w:t xml:space="preserve"> </w:t>
      </w:r>
      <w:r w:rsidRPr="00A807CE">
        <w:rPr>
          <w:rFonts w:ascii="Times New Roman" w:hAnsi="Times New Roman" w:cs="Times New Roman"/>
          <w:sz w:val="24"/>
          <w:szCs w:val="24"/>
          <w:lang w:val="en-GB"/>
        </w:rPr>
        <w:t xml:space="preserve">species levels, </w:t>
      </w:r>
      <w:r>
        <w:rPr>
          <w:rFonts w:ascii="Times New Roman" w:hAnsi="Times New Roman" w:cs="Times New Roman"/>
          <w:sz w:val="24"/>
          <w:szCs w:val="24"/>
          <w:lang w:val="en-GB"/>
        </w:rPr>
        <w:t xml:space="preserve">in 5 to 15 years old </w:t>
      </w:r>
      <w:r w:rsidRPr="00A807CE">
        <w:rPr>
          <w:rFonts w:ascii="Times New Roman" w:hAnsi="Times New Roman" w:cs="Times New Roman"/>
          <w:sz w:val="24"/>
          <w:szCs w:val="24"/>
          <w:lang w:val="en-GB"/>
        </w:rPr>
        <w:t xml:space="preserve">children who developed (green), or did not develop (red), at least one asymptomatic </w:t>
      </w:r>
      <w:r w:rsidRPr="003443A8">
        <w:rPr>
          <w:rFonts w:ascii="Times New Roman" w:hAnsi="Times New Roman" w:cs="Times New Roman"/>
          <w:i/>
          <w:iCs/>
          <w:sz w:val="24"/>
          <w:szCs w:val="24"/>
          <w:lang w:val="en-GB"/>
        </w:rPr>
        <w:t>Plasmodium</w:t>
      </w:r>
      <w:r w:rsidRPr="00A807CE">
        <w:rPr>
          <w:rFonts w:ascii="Times New Roman" w:hAnsi="Times New Roman" w:cs="Times New Roman"/>
          <w:sz w:val="24"/>
          <w:szCs w:val="24"/>
          <w:lang w:val="en-GB"/>
        </w:rPr>
        <w:t xml:space="preserve"> parasitaemia episode within 16 months of follow-up. Horizontal bars represent the effect size for each taxon. The length of the bar represents the log10 transformed LDA score, indicated by vertical dotted lines</w:t>
      </w:r>
      <w:r>
        <w:rPr>
          <w:rFonts w:ascii="Times New Roman" w:hAnsi="Times New Roman" w:cs="Times New Roman"/>
          <w:sz w:val="24"/>
          <w:szCs w:val="24"/>
          <w:lang w:val="en-GB"/>
        </w:rPr>
        <w:t>.</w:t>
      </w:r>
    </w:p>
    <w:p w14:paraId="2E9D0353" w14:textId="77777777" w:rsidR="00D71716" w:rsidRDefault="00D71716" w:rsidP="00D71716">
      <w:pPr>
        <w:tabs>
          <w:tab w:val="left" w:pos="1350"/>
        </w:tabs>
        <w:rPr>
          <w:rFonts w:ascii="Times New Roman" w:hAnsi="Times New Roman" w:cs="Times New Roman"/>
          <w:sz w:val="24"/>
          <w:szCs w:val="24"/>
          <w:lang w:val="en-GB"/>
        </w:rPr>
      </w:pPr>
      <w:r>
        <w:rPr>
          <w:noProof/>
          <w:lang w:eastAsia="fr-FR"/>
        </w:rPr>
        <w:drawing>
          <wp:anchor distT="0" distB="0" distL="114300" distR="114300" simplePos="0" relativeHeight="251659264" behindDoc="0" locked="0" layoutInCell="1" allowOverlap="1" wp14:anchorId="0D583A8E" wp14:editId="0CCB239E">
            <wp:simplePos x="0" y="0"/>
            <wp:positionH relativeFrom="column">
              <wp:posOffset>-4445</wp:posOffset>
            </wp:positionH>
            <wp:positionV relativeFrom="paragraph">
              <wp:posOffset>4445</wp:posOffset>
            </wp:positionV>
            <wp:extent cx="6819900" cy="4309149"/>
            <wp:effectExtent l="0" t="0" r="0" b="0"/>
            <wp:wrapNone/>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9">
                      <a:extLst>
                        <a:ext uri="{28A0092B-C50C-407E-A947-70E740481C1C}">
                          <a14:useLocalDpi xmlns:a14="http://schemas.microsoft.com/office/drawing/2010/main" val="0"/>
                        </a:ext>
                      </a:extLst>
                    </a:blip>
                    <a:srcRect l="8184" t="11475" r="4910" b="2107"/>
                    <a:stretch/>
                  </pic:blipFill>
                  <pic:spPr bwMode="auto">
                    <a:xfrm>
                      <a:off x="0" y="0"/>
                      <a:ext cx="6819900" cy="4309149"/>
                    </a:xfrm>
                    <a:prstGeom prst="rect">
                      <a:avLst/>
                    </a:prstGeom>
                    <a:noFill/>
                    <a:ln>
                      <a:noFill/>
                    </a:ln>
                    <a:extLst>
                      <a:ext uri="{53640926-AAD7-44D8-BBD7-CCE9431645EC}">
                        <a14:shadowObscured xmlns:a14="http://schemas.microsoft.com/office/drawing/2010/main"/>
                      </a:ext>
                    </a:extLst>
                  </pic:spPr>
                </pic:pic>
              </a:graphicData>
            </a:graphic>
          </wp:anchor>
        </w:drawing>
      </w:r>
    </w:p>
    <w:p w14:paraId="58955261" w14:textId="77777777" w:rsidR="00D71716" w:rsidRDefault="00D71716" w:rsidP="00D71716">
      <w:pPr>
        <w:tabs>
          <w:tab w:val="left" w:pos="1350"/>
        </w:tabs>
        <w:rPr>
          <w:rFonts w:ascii="Times New Roman" w:hAnsi="Times New Roman" w:cs="Times New Roman"/>
          <w:sz w:val="24"/>
          <w:szCs w:val="24"/>
          <w:lang w:val="en-GB"/>
        </w:rPr>
      </w:pPr>
    </w:p>
    <w:p w14:paraId="73863B29" w14:textId="77777777" w:rsidR="00D71716" w:rsidRPr="009D1CF1" w:rsidRDefault="00D71716" w:rsidP="00D71716">
      <w:pPr>
        <w:tabs>
          <w:tab w:val="left" w:pos="1350"/>
        </w:tabs>
        <w:rPr>
          <w:rFonts w:ascii="Times New Roman" w:hAnsi="Times New Roman" w:cs="Times New Roman"/>
          <w:sz w:val="24"/>
          <w:szCs w:val="24"/>
          <w:lang w:val="en-GB"/>
        </w:rPr>
      </w:pPr>
    </w:p>
    <w:p w14:paraId="14AF8723" w14:textId="206CCD85" w:rsidR="00852F41" w:rsidRDefault="00852F41"/>
    <w:p w14:paraId="09153C5D" w14:textId="0EB9757C" w:rsidR="001F0936" w:rsidRDefault="001F0936"/>
    <w:p w14:paraId="7BDCC446" w14:textId="5F62B467" w:rsidR="001F0936" w:rsidRDefault="001F0936"/>
    <w:p w14:paraId="68AFC0BC" w14:textId="3981ED06" w:rsidR="001F0936" w:rsidRDefault="001F0936"/>
    <w:p w14:paraId="486EDB44" w14:textId="5FDEA29B" w:rsidR="001F0936" w:rsidRDefault="001F0936"/>
    <w:p w14:paraId="7B110B84" w14:textId="57F3C6C8" w:rsidR="001F0936" w:rsidRDefault="001F0936"/>
    <w:p w14:paraId="3E1DBC00" w14:textId="15C22192" w:rsidR="001F0936" w:rsidRDefault="001F0936"/>
    <w:p w14:paraId="538EA226" w14:textId="21EF69EB" w:rsidR="001F0936" w:rsidRDefault="001F0936"/>
    <w:p w14:paraId="78BF153D" w14:textId="559EC031" w:rsidR="001F0936" w:rsidRDefault="001F0936"/>
    <w:p w14:paraId="463FFB88" w14:textId="1FA1612E" w:rsidR="001F0936" w:rsidRDefault="001F0936"/>
    <w:p w14:paraId="0D19F436" w14:textId="37BA6E92" w:rsidR="001F0936" w:rsidRDefault="001F0936"/>
    <w:p w14:paraId="06309E4D" w14:textId="1235997C" w:rsidR="001F0936" w:rsidRDefault="001F0936"/>
    <w:p w14:paraId="2D4DF5A7" w14:textId="22D5C5B6" w:rsidR="001F0936" w:rsidRDefault="001F0936"/>
    <w:p w14:paraId="7E0E99E0" w14:textId="11322083" w:rsidR="001F0936" w:rsidRDefault="001F0936"/>
    <w:p w14:paraId="4E98F343" w14:textId="77777777" w:rsidR="001F0936" w:rsidRDefault="001F0936" w:rsidP="001F0936">
      <w:pPr>
        <w:spacing w:line="360" w:lineRule="auto"/>
        <w:rPr>
          <w:rFonts w:ascii="Times New Roman" w:hAnsi="Times New Roman" w:cs="Times New Roman"/>
          <w:b/>
          <w:bCs/>
          <w:sz w:val="24"/>
          <w:szCs w:val="24"/>
          <w:lang w:val="en-GB"/>
        </w:rPr>
        <w:sectPr w:rsidR="001F0936" w:rsidSect="00EE23A6">
          <w:pgSz w:w="16838" w:h="11906" w:orient="landscape"/>
          <w:pgMar w:top="1417" w:right="1417" w:bottom="1417" w:left="1417" w:header="708" w:footer="708" w:gutter="0"/>
          <w:cols w:space="708"/>
          <w:docGrid w:linePitch="360"/>
        </w:sectPr>
      </w:pPr>
    </w:p>
    <w:p w14:paraId="24DA59AD" w14:textId="59FCB42C" w:rsidR="001F0936" w:rsidRDefault="001F0936" w:rsidP="001F0936">
      <w:pPr>
        <w:spacing w:line="360" w:lineRule="auto"/>
        <w:rPr>
          <w:rFonts w:ascii="Times New Roman" w:hAnsi="Times New Roman" w:cs="Times New Roman"/>
          <w:sz w:val="24"/>
          <w:szCs w:val="24"/>
          <w:lang w:val="en-GB"/>
        </w:rPr>
      </w:pPr>
      <w:r w:rsidRPr="00A807CE">
        <w:rPr>
          <w:rFonts w:ascii="Times New Roman" w:hAnsi="Times New Roman" w:cs="Times New Roman"/>
          <w:b/>
          <w:bCs/>
          <w:sz w:val="24"/>
          <w:szCs w:val="24"/>
          <w:lang w:val="en-GB"/>
        </w:rPr>
        <w:lastRenderedPageBreak/>
        <w:t xml:space="preserve">Figure </w:t>
      </w:r>
      <w:r>
        <w:rPr>
          <w:rFonts w:ascii="Times New Roman" w:hAnsi="Times New Roman" w:cs="Times New Roman"/>
          <w:b/>
          <w:bCs/>
          <w:sz w:val="24"/>
          <w:szCs w:val="24"/>
          <w:lang w:val="en-GB"/>
        </w:rPr>
        <w:t>S11</w:t>
      </w:r>
      <w:r w:rsidRPr="00A807CE">
        <w:rPr>
          <w:rFonts w:ascii="Times New Roman" w:hAnsi="Times New Roman" w:cs="Times New Roman"/>
          <w:sz w:val="24"/>
          <w:szCs w:val="24"/>
          <w:lang w:val="en-GB"/>
        </w:rPr>
        <w:t xml:space="preserve">. </w:t>
      </w:r>
      <w:bookmarkStart w:id="2" w:name="_Hlk66108450"/>
      <w:r w:rsidRPr="00A807CE">
        <w:rPr>
          <w:rFonts w:ascii="Times New Roman" w:hAnsi="Times New Roman" w:cs="Times New Roman"/>
          <w:sz w:val="24"/>
          <w:szCs w:val="24"/>
          <w:lang w:val="en-GB"/>
        </w:rPr>
        <w:t xml:space="preserve">Gut fungal community structure analysis. Scatter dot plot, median and range, of the Shannon H diversity index (Man Whitney test, p=0.66) (a) and Box and Whiskers graph of the Chao-1 richness index (p=0.9) (b) in children who experienced at least one malaria attack (crimson) or who did not (blue) within 16 months of follow-up. Scatter dot plot, median and range, of the Shannon H diversity index (Man Whitney test, p=0.31) (c) and Box and Whiskers graph of the Chao-1 richness index'(p=0.87) (d) in children who developed at least one asymptomatic </w:t>
      </w:r>
      <w:r w:rsidRPr="00A807CE">
        <w:rPr>
          <w:rFonts w:ascii="Times New Roman" w:hAnsi="Times New Roman" w:cs="Times New Roman"/>
          <w:i/>
          <w:sz w:val="24"/>
          <w:szCs w:val="24"/>
          <w:lang w:val="en-GB"/>
        </w:rPr>
        <w:t>Plasmodium</w:t>
      </w:r>
      <w:r w:rsidRPr="00A807CE">
        <w:rPr>
          <w:rFonts w:ascii="Times New Roman" w:hAnsi="Times New Roman" w:cs="Times New Roman"/>
          <w:sz w:val="24"/>
          <w:szCs w:val="24"/>
          <w:lang w:val="en-GB"/>
        </w:rPr>
        <w:t xml:space="preserve"> parasitaemia episode (red) or not (green) within 16 months of follow-up</w:t>
      </w:r>
      <w:bookmarkEnd w:id="2"/>
      <w:r w:rsidRPr="00A807CE">
        <w:rPr>
          <w:rFonts w:ascii="Times New Roman" w:hAnsi="Times New Roman" w:cs="Times New Roman"/>
          <w:sz w:val="24"/>
          <w:szCs w:val="24"/>
          <w:lang w:val="en-GB"/>
        </w:rPr>
        <w:t>.</w:t>
      </w:r>
    </w:p>
    <w:p w14:paraId="298CC70E" w14:textId="2D73B07D" w:rsidR="001F0936" w:rsidRDefault="001F0936" w:rsidP="001F0936">
      <w:pPr>
        <w:spacing w:line="360" w:lineRule="auto"/>
        <w:rPr>
          <w:rFonts w:ascii="Times New Roman" w:hAnsi="Times New Roman" w:cs="Times New Roman"/>
          <w:sz w:val="24"/>
          <w:szCs w:val="24"/>
          <w:lang w:val="en-GB"/>
        </w:rPr>
      </w:pPr>
      <w:r w:rsidRPr="008F57B3">
        <w:rPr>
          <w:lang w:val="en-GB"/>
        </w:rPr>
        <w:object w:dxaOrig="13308" w:dyaOrig="10536" w14:anchorId="18BD33AA">
          <v:shape id="_x0000_i1029" type="#_x0000_t75" style="width:452.25pt;height:358.5pt" o:ole="" filled="t">
            <v:imagedata r:id="rId20" o:title=""/>
          </v:shape>
          <o:OLEObject Type="Embed" ProgID="Prism5.Document" ShapeID="_x0000_i1029" DrawAspect="Content" ObjectID="_1682937284" r:id="rId21"/>
        </w:object>
      </w:r>
    </w:p>
    <w:p w14:paraId="4B15F810" w14:textId="60869AC5" w:rsidR="001F0936" w:rsidRDefault="001F0936"/>
    <w:p w14:paraId="26EC6DF4" w14:textId="5743032E" w:rsidR="009B39A9" w:rsidRDefault="009B39A9"/>
    <w:p w14:paraId="40DDD7DF" w14:textId="19AF6FE3" w:rsidR="009B39A9" w:rsidRDefault="009B39A9"/>
    <w:p w14:paraId="7A642430" w14:textId="6ECD45A3" w:rsidR="009B39A9" w:rsidRDefault="009B39A9"/>
    <w:p w14:paraId="53F57653" w14:textId="0AC92E97" w:rsidR="009B39A9" w:rsidRDefault="009B39A9"/>
    <w:p w14:paraId="630D0190" w14:textId="0501DFB0" w:rsidR="009B39A9" w:rsidRDefault="009B39A9"/>
    <w:p w14:paraId="33EF0568" w14:textId="73AF2F89" w:rsidR="009B39A9" w:rsidRDefault="009B39A9"/>
    <w:p w14:paraId="56150D28" w14:textId="0AE41CEC" w:rsidR="009B39A9" w:rsidRDefault="009B39A9" w:rsidP="009B39A9">
      <w:pPr>
        <w:spacing w:after="0" w:line="360" w:lineRule="auto"/>
        <w:jc w:val="both"/>
        <w:rPr>
          <w:rFonts w:ascii="Times New Roman" w:hAnsi="Times New Roman" w:cs="Times New Roman"/>
          <w:sz w:val="24"/>
          <w:szCs w:val="24"/>
          <w:lang w:val="en-GB"/>
        </w:rPr>
      </w:pPr>
      <w:r w:rsidRPr="009A418D">
        <w:rPr>
          <w:rFonts w:ascii="Times New Roman" w:hAnsi="Times New Roman" w:cs="Times New Roman"/>
          <w:b/>
          <w:bCs/>
          <w:sz w:val="24"/>
          <w:szCs w:val="24"/>
          <w:lang w:val="en-GB"/>
        </w:rPr>
        <w:lastRenderedPageBreak/>
        <w:t xml:space="preserve">Figure </w:t>
      </w:r>
      <w:r>
        <w:rPr>
          <w:rFonts w:ascii="Times New Roman" w:hAnsi="Times New Roman" w:cs="Times New Roman"/>
          <w:b/>
          <w:bCs/>
          <w:sz w:val="24"/>
          <w:szCs w:val="24"/>
          <w:lang w:val="en-GB"/>
        </w:rPr>
        <w:t>S</w:t>
      </w:r>
      <w:r w:rsidR="00C2555D">
        <w:rPr>
          <w:rFonts w:ascii="Times New Roman" w:hAnsi="Times New Roman" w:cs="Times New Roman"/>
          <w:b/>
          <w:bCs/>
          <w:sz w:val="24"/>
          <w:szCs w:val="24"/>
          <w:lang w:val="en-GB"/>
        </w:rPr>
        <w:t>1</w:t>
      </w:r>
      <w:r>
        <w:rPr>
          <w:rFonts w:ascii="Times New Roman" w:hAnsi="Times New Roman" w:cs="Times New Roman"/>
          <w:b/>
          <w:bCs/>
          <w:sz w:val="24"/>
          <w:szCs w:val="24"/>
          <w:lang w:val="en-GB"/>
        </w:rPr>
        <w:t>2</w:t>
      </w:r>
      <w:r w:rsidRPr="009A418D">
        <w:rPr>
          <w:rFonts w:ascii="Times New Roman" w:hAnsi="Times New Roman" w:cs="Times New Roman"/>
          <w:sz w:val="24"/>
          <w:szCs w:val="24"/>
          <w:lang w:val="en-GB"/>
        </w:rPr>
        <w:t>. Gut fungal community structure. Relative abundance of phyla in children who experienced (yellow bars) or did not experience (blue bars) at least one malaria attack within 16 months of follow-up. (Figures inside the bars are the mean abundance of the phylum for each group).</w:t>
      </w:r>
    </w:p>
    <w:p w14:paraId="4A310837" w14:textId="189334ED" w:rsidR="009B39A9" w:rsidRDefault="009B39A9">
      <w:r>
        <w:rPr>
          <w:noProof/>
        </w:rPr>
        <w:drawing>
          <wp:inline distT="0" distB="0" distL="0" distR="0" wp14:anchorId="52C9EAC0" wp14:editId="273FA4AA">
            <wp:extent cx="4572000" cy="2743200"/>
            <wp:effectExtent l="0" t="0" r="0" b="0"/>
            <wp:docPr id="2" name="Graphique 2">
              <a:extLst xmlns:a="http://schemas.openxmlformats.org/drawingml/2006/main">
                <a:ext uri="{FF2B5EF4-FFF2-40B4-BE49-F238E27FC236}">
                  <a16:creationId xmlns:a16="http://schemas.microsoft.com/office/drawing/2014/main" id="{89691CA1-921D-4D93-AC4A-D43AE5E2AE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626235CC" w14:textId="6CB6BACF" w:rsidR="00C2555D" w:rsidRDefault="00C2555D"/>
    <w:p w14:paraId="08214485" w14:textId="3D7600DD" w:rsidR="00C2555D" w:rsidRDefault="00C2555D" w:rsidP="00C2555D">
      <w:pPr>
        <w:spacing w:after="0" w:line="360" w:lineRule="auto"/>
        <w:jc w:val="both"/>
        <w:rPr>
          <w:rFonts w:ascii="Times New Roman" w:hAnsi="Times New Roman" w:cs="Times New Roman"/>
          <w:sz w:val="24"/>
          <w:szCs w:val="24"/>
          <w:lang w:val="en-GB"/>
        </w:rPr>
      </w:pPr>
      <w:r w:rsidRPr="009A418D">
        <w:rPr>
          <w:rFonts w:ascii="Times New Roman" w:hAnsi="Times New Roman" w:cs="Times New Roman"/>
          <w:b/>
          <w:bCs/>
          <w:sz w:val="24"/>
          <w:szCs w:val="24"/>
          <w:lang w:val="en-GB"/>
        </w:rPr>
        <w:t xml:space="preserve">Figure </w:t>
      </w:r>
      <w:r w:rsidR="00A64E93">
        <w:rPr>
          <w:rFonts w:ascii="Times New Roman" w:hAnsi="Times New Roman" w:cs="Times New Roman"/>
          <w:b/>
          <w:bCs/>
          <w:sz w:val="24"/>
          <w:szCs w:val="24"/>
          <w:lang w:val="en-GB"/>
        </w:rPr>
        <w:t>S</w:t>
      </w:r>
      <w:r>
        <w:rPr>
          <w:rFonts w:ascii="Times New Roman" w:hAnsi="Times New Roman" w:cs="Times New Roman"/>
          <w:b/>
          <w:bCs/>
          <w:sz w:val="24"/>
          <w:szCs w:val="24"/>
          <w:lang w:val="en-GB"/>
        </w:rPr>
        <w:t>13</w:t>
      </w:r>
      <w:r w:rsidRPr="009A418D">
        <w:rPr>
          <w:rFonts w:ascii="Times New Roman" w:hAnsi="Times New Roman" w:cs="Times New Roman"/>
          <w:sz w:val="24"/>
          <w:szCs w:val="24"/>
          <w:lang w:val="en-GB"/>
        </w:rPr>
        <w:t xml:space="preserve">. Gut fungal community structure. Relative abundance of phyla in children who developed (blue bars) or did not develop (yellow bars) at least one asymptomatic </w:t>
      </w:r>
      <w:r w:rsidRPr="009A418D">
        <w:rPr>
          <w:rFonts w:ascii="Times New Roman" w:hAnsi="Times New Roman" w:cs="Times New Roman"/>
          <w:i/>
          <w:sz w:val="24"/>
          <w:szCs w:val="24"/>
          <w:lang w:val="en-GB"/>
        </w:rPr>
        <w:t>Plasmodium</w:t>
      </w:r>
      <w:r w:rsidRPr="009A418D">
        <w:rPr>
          <w:rFonts w:ascii="Times New Roman" w:hAnsi="Times New Roman" w:cs="Times New Roman"/>
          <w:sz w:val="24"/>
          <w:szCs w:val="24"/>
          <w:lang w:val="en-GB"/>
        </w:rPr>
        <w:t xml:space="preserve"> parasitaemia episode within 16 months of follow-up. (Figures inside the bars are the mean abundance of the phylum for each group).</w:t>
      </w:r>
    </w:p>
    <w:p w14:paraId="3F817C12" w14:textId="658195AE" w:rsidR="00C2555D" w:rsidRPr="009A418D" w:rsidRDefault="00C2555D" w:rsidP="00C2555D">
      <w:pPr>
        <w:spacing w:after="0" w:line="360" w:lineRule="auto"/>
        <w:jc w:val="both"/>
        <w:rPr>
          <w:rFonts w:ascii="Times New Roman" w:hAnsi="Times New Roman" w:cs="Times New Roman"/>
          <w:sz w:val="24"/>
          <w:szCs w:val="24"/>
          <w:lang w:val="en-GB"/>
        </w:rPr>
      </w:pPr>
      <w:r>
        <w:rPr>
          <w:noProof/>
        </w:rPr>
        <w:drawing>
          <wp:inline distT="0" distB="0" distL="0" distR="0" wp14:anchorId="37581791" wp14:editId="498CE9F8">
            <wp:extent cx="4629151" cy="3005138"/>
            <wp:effectExtent l="0" t="0" r="0" b="5080"/>
            <wp:docPr id="4" name="Graphique 4">
              <a:extLst xmlns:a="http://schemas.openxmlformats.org/drawingml/2006/main">
                <a:ext uri="{FF2B5EF4-FFF2-40B4-BE49-F238E27FC236}">
                  <a16:creationId xmlns:a16="http://schemas.microsoft.com/office/drawing/2014/main" id="{EAF94833-55B7-419E-9629-751235B5A4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9298006" w14:textId="77777777" w:rsidR="00C2555D" w:rsidRDefault="00C2555D"/>
    <w:sectPr w:rsidR="00C2555D" w:rsidSect="001F093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6FF3E8" w14:textId="77777777" w:rsidR="00D3390F" w:rsidRDefault="00D3390F" w:rsidP="007F2E27">
      <w:pPr>
        <w:spacing w:after="0" w:line="240" w:lineRule="auto"/>
      </w:pPr>
      <w:r>
        <w:separator/>
      </w:r>
    </w:p>
  </w:endnote>
  <w:endnote w:type="continuationSeparator" w:id="0">
    <w:p w14:paraId="749D4DC0" w14:textId="77777777" w:rsidR="00D3390F" w:rsidRDefault="00D3390F" w:rsidP="007F2E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882B76" w14:textId="77777777" w:rsidR="00D3390F" w:rsidRDefault="00D3390F" w:rsidP="007F2E27">
      <w:pPr>
        <w:spacing w:after="0" w:line="240" w:lineRule="auto"/>
      </w:pPr>
      <w:r>
        <w:separator/>
      </w:r>
    </w:p>
  </w:footnote>
  <w:footnote w:type="continuationSeparator" w:id="0">
    <w:p w14:paraId="79DBEAA6" w14:textId="77777777" w:rsidR="00D3390F" w:rsidRDefault="00D3390F" w:rsidP="007F2E27">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1716"/>
    <w:rsid w:val="00050996"/>
    <w:rsid w:val="000A46B3"/>
    <w:rsid w:val="000B75D3"/>
    <w:rsid w:val="000C4D6D"/>
    <w:rsid w:val="000F5E2E"/>
    <w:rsid w:val="0012076E"/>
    <w:rsid w:val="001F0936"/>
    <w:rsid w:val="00251DE4"/>
    <w:rsid w:val="002921B5"/>
    <w:rsid w:val="003B26FA"/>
    <w:rsid w:val="004F27FC"/>
    <w:rsid w:val="005656EA"/>
    <w:rsid w:val="007F2E27"/>
    <w:rsid w:val="00852F41"/>
    <w:rsid w:val="00887FC0"/>
    <w:rsid w:val="009B39A9"/>
    <w:rsid w:val="009E1180"/>
    <w:rsid w:val="00A271CD"/>
    <w:rsid w:val="00A64E93"/>
    <w:rsid w:val="00AC2BC3"/>
    <w:rsid w:val="00B028AC"/>
    <w:rsid w:val="00B13B97"/>
    <w:rsid w:val="00C2555D"/>
    <w:rsid w:val="00C311E0"/>
    <w:rsid w:val="00CF6AD9"/>
    <w:rsid w:val="00D10236"/>
    <w:rsid w:val="00D3390F"/>
    <w:rsid w:val="00D71716"/>
    <w:rsid w:val="00DA2B77"/>
    <w:rsid w:val="00F65642"/>
    <w:rsid w:val="00F656B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4E2C74"/>
  <w15:chartTrackingRefBased/>
  <w15:docId w15:val="{2BE71424-D067-45CC-9FA2-DCDF70E9A3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71716"/>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7F2E27"/>
    <w:pPr>
      <w:tabs>
        <w:tab w:val="center" w:pos="4536"/>
        <w:tab w:val="right" w:pos="9072"/>
      </w:tabs>
      <w:spacing w:after="0" w:line="240" w:lineRule="auto"/>
    </w:pPr>
  </w:style>
  <w:style w:type="character" w:customStyle="1" w:styleId="En-tteCar">
    <w:name w:val="En-tête Car"/>
    <w:basedOn w:val="Policepardfaut"/>
    <w:link w:val="En-tte"/>
    <w:uiPriority w:val="99"/>
    <w:rsid w:val="007F2E27"/>
  </w:style>
  <w:style w:type="paragraph" w:styleId="Pieddepage">
    <w:name w:val="footer"/>
    <w:basedOn w:val="Normal"/>
    <w:link w:val="PieddepageCar"/>
    <w:uiPriority w:val="99"/>
    <w:unhideWhenUsed/>
    <w:rsid w:val="007F2E2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7F2E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oleObject" Target="embeddings/oleObject4.bin"/><Relationship Id="rId18" Type="http://schemas.openxmlformats.org/officeDocument/2006/relationships/image" Target="media/image7.png"/><Relationship Id="rId3" Type="http://schemas.openxmlformats.org/officeDocument/2006/relationships/webSettings" Target="webSettings.xml"/><Relationship Id="rId21" Type="http://schemas.openxmlformats.org/officeDocument/2006/relationships/oleObject" Target="embeddings/oleObject5.bin"/><Relationship Id="rId7" Type="http://schemas.openxmlformats.org/officeDocument/2006/relationships/oleObject" Target="embeddings/oleObject1.bin"/><Relationship Id="rId12" Type="http://schemas.openxmlformats.org/officeDocument/2006/relationships/image" Target="media/image4.emf"/><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5.png"/><Relationship Id="rId20" Type="http://schemas.openxmlformats.org/officeDocument/2006/relationships/image" Target="media/image9.emf"/><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oleObject" Target="embeddings/oleObject3.bin"/><Relationship Id="rId24"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chart" Target="charts/chart2.xml"/><Relationship Id="rId23" Type="http://schemas.openxmlformats.org/officeDocument/2006/relationships/chart" Target="charts/chart4.xml"/><Relationship Id="rId10" Type="http://schemas.openxmlformats.org/officeDocument/2006/relationships/image" Target="media/image3.emf"/><Relationship Id="rId19" Type="http://schemas.openxmlformats.org/officeDocument/2006/relationships/image" Target="media/image8.png"/><Relationship Id="rId4" Type="http://schemas.openxmlformats.org/officeDocument/2006/relationships/footnotes" Target="footnotes.xml"/><Relationship Id="rId9" Type="http://schemas.openxmlformats.org/officeDocument/2006/relationships/oleObject" Target="embeddings/oleObject2.bin"/><Relationship Id="rId14" Type="http://schemas.openxmlformats.org/officeDocument/2006/relationships/chart" Target="charts/chart1.xml"/><Relationship Id="rId22" Type="http://schemas.openxmlformats.org/officeDocument/2006/relationships/chart" Target="charts/chart3.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Utilisateur\Documents\Th&#232;se%20AK\Protocole%20Malariagut\INPUT\Malaria%20paper\Analyses\Diversit&#233;%20Phylum%20OTU%20(version%201).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Utilisateur\Documents\Th&#232;se%20AK\Protocole%20Malariagut\INPUT\Malaria%20paper\Analyses\Malaria_Fungi%20ITS1-ITS2\Fusion%20ITS1-ITS2\Data%20fungi%20group&#233;.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Utilisateur\Documents\Th&#232;se%20AK\Protocole%20Malariagut\INPUT\Malaria%20paper\Analyses\Malaria_Fungi%20ITS1-ITS2\Fusion%20ITS1-ITS2\Data%20fungi%20group&#233;.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3"/>
          <c:order val="3"/>
          <c:tx>
            <c:strRef>
              <c:f>'SIMPER-clinic'!$E$1</c:f>
              <c:strCache>
                <c:ptCount val="1"/>
                <c:pt idx="0">
                  <c:v>Malaria +</c:v>
                </c:pt>
              </c:strCache>
            </c:strRef>
          </c:tx>
          <c:spPr>
            <a:solidFill>
              <a:schemeClr val="accent4"/>
            </a:solidFill>
            <a:ln>
              <a:noFill/>
            </a:ln>
            <a:effectLst/>
          </c:spPr>
          <c:invertIfNegative val="0"/>
          <c:dLbls>
            <c:spPr>
              <a:noFill/>
              <a:ln>
                <a:noFill/>
              </a:ln>
              <a:effectLst/>
            </c:spPr>
            <c:txPr>
              <a:bodyPr rot="-5400000" spcFirstLastPara="1" vertOverflow="ellipsis" wrap="square" anchor="ctr" anchorCtr="1"/>
              <a:lstStyle/>
              <a:p>
                <a:pPr>
                  <a:defRPr sz="1200" b="0" i="0" u="none" strike="noStrike" kern="1200" baseline="0">
                    <a:solidFill>
                      <a:sysClr val="windowText" lastClr="000000"/>
                    </a:solidFill>
                    <a:latin typeface="+mn-lt"/>
                    <a:ea typeface="+mn-ea"/>
                    <a:cs typeface="+mn-cs"/>
                  </a:defRPr>
                </a:pPr>
                <a:endParaRPr lang="fr-FR"/>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'SIMPER-clinic'!$A$2:$A$21</c:f>
              <c:strCache>
                <c:ptCount val="20"/>
                <c:pt idx="0">
                  <c:v>Firmicutes</c:v>
                </c:pt>
                <c:pt idx="1">
                  <c:v>unassigned</c:v>
                </c:pt>
                <c:pt idx="2">
                  <c:v>Bacteroidetes</c:v>
                </c:pt>
                <c:pt idx="3">
                  <c:v>Actinobacteria</c:v>
                </c:pt>
                <c:pt idx="4">
                  <c:v>IHU_PP_Bacteria</c:v>
                </c:pt>
                <c:pt idx="5">
                  <c:v>Proteobacteria</c:v>
                </c:pt>
                <c:pt idx="6">
                  <c:v>Euryarchaeota</c:v>
                </c:pt>
                <c:pt idx="7">
                  <c:v>Verrucomicrobia</c:v>
                </c:pt>
                <c:pt idx="8">
                  <c:v>Fusobacteria</c:v>
                </c:pt>
                <c:pt idx="9">
                  <c:v>Spirochaetes</c:v>
                </c:pt>
                <c:pt idx="10">
                  <c:v>Elusimicrobia</c:v>
                </c:pt>
                <c:pt idx="11">
                  <c:v>Deinococcus-Thermus</c:v>
                </c:pt>
                <c:pt idx="12">
                  <c:v>Tenericutes</c:v>
                </c:pt>
                <c:pt idx="13">
                  <c:v>Planctomycetes</c:v>
                </c:pt>
                <c:pt idx="14">
                  <c:v>Lentisphaerae</c:v>
                </c:pt>
                <c:pt idx="15">
                  <c:v>Synergistetes</c:v>
                </c:pt>
                <c:pt idx="16">
                  <c:v>Chlamydiae</c:v>
                </c:pt>
                <c:pt idx="17">
                  <c:v>Acidobacteria</c:v>
                </c:pt>
                <c:pt idx="18">
                  <c:v>Chloroflexi</c:v>
                </c:pt>
                <c:pt idx="19">
                  <c:v>Gemmatimonadetes</c:v>
                </c:pt>
              </c:strCache>
            </c:strRef>
          </c:cat>
          <c:val>
            <c:numRef>
              <c:f>'SIMPER-clinic'!$E$2:$E$21</c:f>
              <c:numCache>
                <c:formatCode>0.00</c:formatCode>
                <c:ptCount val="20"/>
                <c:pt idx="0">
                  <c:v>581</c:v>
                </c:pt>
                <c:pt idx="1">
                  <c:v>293</c:v>
                </c:pt>
                <c:pt idx="2">
                  <c:v>91.4</c:v>
                </c:pt>
                <c:pt idx="3">
                  <c:v>97.7</c:v>
                </c:pt>
                <c:pt idx="4">
                  <c:v>89.5</c:v>
                </c:pt>
                <c:pt idx="5">
                  <c:v>75.8</c:v>
                </c:pt>
                <c:pt idx="6">
                  <c:v>1.23</c:v>
                </c:pt>
                <c:pt idx="7">
                  <c:v>1.06</c:v>
                </c:pt>
                <c:pt idx="8">
                  <c:v>0.86499999999999999</c:v>
                </c:pt>
                <c:pt idx="9">
                  <c:v>0.45200000000000001</c:v>
                </c:pt>
                <c:pt idx="10">
                  <c:v>0.28799999999999998</c:v>
                </c:pt>
                <c:pt idx="11">
                  <c:v>0.17299999999999999</c:v>
                </c:pt>
                <c:pt idx="12">
                  <c:v>0.192</c:v>
                </c:pt>
                <c:pt idx="13">
                  <c:v>8.6499999999999994E-2</c:v>
                </c:pt>
                <c:pt idx="14">
                  <c:v>0.115</c:v>
                </c:pt>
                <c:pt idx="15">
                  <c:v>6.7299999999999999E-2</c:v>
                </c:pt>
                <c:pt idx="16">
                  <c:v>2.8799999999999999E-2</c:v>
                </c:pt>
                <c:pt idx="17">
                  <c:v>1.9199999999999998E-2</c:v>
                </c:pt>
                <c:pt idx="18">
                  <c:v>9.6200000000000001E-3</c:v>
                </c:pt>
                <c:pt idx="19">
                  <c:v>9.6200000000000001E-3</c:v>
                </c:pt>
              </c:numCache>
            </c:numRef>
          </c:val>
          <c:extLst>
            <c:ext xmlns:c16="http://schemas.microsoft.com/office/drawing/2014/chart" uri="{C3380CC4-5D6E-409C-BE32-E72D297353CC}">
              <c16:uniqueId val="{00000000-5E45-4AE0-A72C-F568D4A877B0}"/>
            </c:ext>
          </c:extLst>
        </c:ser>
        <c:ser>
          <c:idx val="4"/>
          <c:order val="4"/>
          <c:tx>
            <c:strRef>
              <c:f>'SIMPER-clinic'!$F$1</c:f>
              <c:strCache>
                <c:ptCount val="1"/>
                <c:pt idx="0">
                  <c:v>Malaria -</c:v>
                </c:pt>
              </c:strCache>
            </c:strRef>
          </c:tx>
          <c:spPr>
            <a:solidFill>
              <a:schemeClr val="accent5"/>
            </a:solidFill>
            <a:ln>
              <a:noFill/>
            </a:ln>
            <a:effectLst/>
          </c:spPr>
          <c:invertIfNegative val="0"/>
          <c:dLbls>
            <c:spPr>
              <a:noFill/>
              <a:ln>
                <a:noFill/>
              </a:ln>
              <a:effectLst/>
            </c:spPr>
            <c:txPr>
              <a:bodyPr rot="-5400000" spcFirstLastPara="1" vertOverflow="ellipsis" wrap="square" anchor="ctr" anchorCtr="1"/>
              <a:lstStyle/>
              <a:p>
                <a:pPr>
                  <a:defRPr sz="1200" b="0" i="0" u="none" strike="noStrike" kern="1200" baseline="0">
                    <a:solidFill>
                      <a:sysClr val="windowText" lastClr="000000"/>
                    </a:solidFill>
                    <a:latin typeface="+mn-lt"/>
                    <a:ea typeface="+mn-ea"/>
                    <a:cs typeface="+mn-cs"/>
                  </a:defRPr>
                </a:pPr>
                <a:endParaRPr lang="fr-FR"/>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'SIMPER-clinic'!$A$2:$A$21</c:f>
              <c:strCache>
                <c:ptCount val="20"/>
                <c:pt idx="0">
                  <c:v>Firmicutes</c:v>
                </c:pt>
                <c:pt idx="1">
                  <c:v>unassigned</c:v>
                </c:pt>
                <c:pt idx="2">
                  <c:v>Bacteroidetes</c:v>
                </c:pt>
                <c:pt idx="3">
                  <c:v>Actinobacteria</c:v>
                </c:pt>
                <c:pt idx="4">
                  <c:v>IHU_PP_Bacteria</c:v>
                </c:pt>
                <c:pt idx="5">
                  <c:v>Proteobacteria</c:v>
                </c:pt>
                <c:pt idx="6">
                  <c:v>Euryarchaeota</c:v>
                </c:pt>
                <c:pt idx="7">
                  <c:v>Verrucomicrobia</c:v>
                </c:pt>
                <c:pt idx="8">
                  <c:v>Fusobacteria</c:v>
                </c:pt>
                <c:pt idx="9">
                  <c:v>Spirochaetes</c:v>
                </c:pt>
                <c:pt idx="10">
                  <c:v>Elusimicrobia</c:v>
                </c:pt>
                <c:pt idx="11">
                  <c:v>Deinococcus-Thermus</c:v>
                </c:pt>
                <c:pt idx="12">
                  <c:v>Tenericutes</c:v>
                </c:pt>
                <c:pt idx="13">
                  <c:v>Planctomycetes</c:v>
                </c:pt>
                <c:pt idx="14">
                  <c:v>Lentisphaerae</c:v>
                </c:pt>
                <c:pt idx="15">
                  <c:v>Synergistetes</c:v>
                </c:pt>
                <c:pt idx="16">
                  <c:v>Chlamydiae</c:v>
                </c:pt>
                <c:pt idx="17">
                  <c:v>Acidobacteria</c:v>
                </c:pt>
                <c:pt idx="18">
                  <c:v>Chloroflexi</c:v>
                </c:pt>
                <c:pt idx="19">
                  <c:v>Gemmatimonadetes</c:v>
                </c:pt>
              </c:strCache>
            </c:strRef>
          </c:cat>
          <c:val>
            <c:numRef>
              <c:f>'SIMPER-clinic'!$F$2:$F$21</c:f>
              <c:numCache>
                <c:formatCode>0.00</c:formatCode>
                <c:ptCount val="20"/>
                <c:pt idx="0">
                  <c:v>496</c:v>
                </c:pt>
                <c:pt idx="1">
                  <c:v>252</c:v>
                </c:pt>
                <c:pt idx="2">
                  <c:v>93.1</c:v>
                </c:pt>
                <c:pt idx="3">
                  <c:v>87</c:v>
                </c:pt>
                <c:pt idx="4">
                  <c:v>77.8</c:v>
                </c:pt>
                <c:pt idx="5">
                  <c:v>64.8</c:v>
                </c:pt>
                <c:pt idx="6">
                  <c:v>1.32</c:v>
                </c:pt>
                <c:pt idx="7">
                  <c:v>0.89100000000000001</c:v>
                </c:pt>
                <c:pt idx="8">
                  <c:v>0.84899999999999998</c:v>
                </c:pt>
                <c:pt idx="9">
                  <c:v>0.42199999999999999</c:v>
                </c:pt>
                <c:pt idx="10">
                  <c:v>0.224</c:v>
                </c:pt>
                <c:pt idx="11">
                  <c:v>0.182</c:v>
                </c:pt>
                <c:pt idx="12">
                  <c:v>0.125</c:v>
                </c:pt>
                <c:pt idx="13">
                  <c:v>0.115</c:v>
                </c:pt>
                <c:pt idx="14">
                  <c:v>7.8100000000000003E-2</c:v>
                </c:pt>
                <c:pt idx="15">
                  <c:v>9.3799999999999994E-2</c:v>
                </c:pt>
                <c:pt idx="16">
                  <c:v>3.1300000000000001E-2</c:v>
                </c:pt>
                <c:pt idx="17">
                  <c:v>1.04E-2</c:v>
                </c:pt>
                <c:pt idx="18">
                  <c:v>1.04E-2</c:v>
                </c:pt>
                <c:pt idx="19">
                  <c:v>1.04E-2</c:v>
                </c:pt>
              </c:numCache>
            </c:numRef>
          </c:val>
          <c:extLst>
            <c:ext xmlns:c16="http://schemas.microsoft.com/office/drawing/2014/chart" uri="{C3380CC4-5D6E-409C-BE32-E72D297353CC}">
              <c16:uniqueId val="{00000001-5E45-4AE0-A72C-F568D4A877B0}"/>
            </c:ext>
          </c:extLst>
        </c:ser>
        <c:dLbls>
          <c:dLblPos val="ctr"/>
          <c:showLegendKey val="0"/>
          <c:showVal val="1"/>
          <c:showCatName val="0"/>
          <c:showSerName val="0"/>
          <c:showPercent val="0"/>
          <c:showBubbleSize val="0"/>
        </c:dLbls>
        <c:gapWidth val="150"/>
        <c:overlap val="100"/>
        <c:axId val="669212448"/>
        <c:axId val="669205888"/>
        <c:extLst>
          <c:ext xmlns:c15="http://schemas.microsoft.com/office/drawing/2012/chart" uri="{02D57815-91ED-43cb-92C2-25804820EDAC}">
            <c15:filteredBarSeries>
              <c15:ser>
                <c:idx val="0"/>
                <c:order val="0"/>
                <c:tx>
                  <c:strRef>
                    <c:extLst>
                      <c:ext uri="{02D57815-91ED-43cb-92C2-25804820EDAC}">
                        <c15:formulaRef>
                          <c15:sqref>'SIMPER-clinic'!$B$1</c15:sqref>
                        </c15:formulaRef>
                      </c:ext>
                    </c:extLst>
                    <c:strCache>
                      <c:ptCount val="1"/>
                      <c:pt idx="0">
                        <c:v>Av. dissim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n-lt"/>
                          <a:ea typeface="+mn-ea"/>
                          <a:cs typeface="+mn-cs"/>
                        </a:defRPr>
                      </a:pPr>
                      <a:endParaRPr lang="fr-FR"/>
                    </a:p>
                  </c:txPr>
                  <c:dLblPos val="ct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'SIMPER-clinic'!$A$2:$A$21</c15:sqref>
                        </c15:formulaRef>
                      </c:ext>
                    </c:extLst>
                    <c:strCache>
                      <c:ptCount val="20"/>
                      <c:pt idx="0">
                        <c:v>Firmicutes</c:v>
                      </c:pt>
                      <c:pt idx="1">
                        <c:v>unassigned</c:v>
                      </c:pt>
                      <c:pt idx="2">
                        <c:v>Bacteroidetes</c:v>
                      </c:pt>
                      <c:pt idx="3">
                        <c:v>Actinobacteria</c:v>
                      </c:pt>
                      <c:pt idx="4">
                        <c:v>IHU_PP_Bacteria</c:v>
                      </c:pt>
                      <c:pt idx="5">
                        <c:v>Proteobacteria</c:v>
                      </c:pt>
                      <c:pt idx="6">
                        <c:v>Euryarchaeota</c:v>
                      </c:pt>
                      <c:pt idx="7">
                        <c:v>Verrucomicrobia</c:v>
                      </c:pt>
                      <c:pt idx="8">
                        <c:v>Fusobacteria</c:v>
                      </c:pt>
                      <c:pt idx="9">
                        <c:v>Spirochaetes</c:v>
                      </c:pt>
                      <c:pt idx="10">
                        <c:v>Elusimicrobia</c:v>
                      </c:pt>
                      <c:pt idx="11">
                        <c:v>Deinococcus-Thermus</c:v>
                      </c:pt>
                      <c:pt idx="12">
                        <c:v>Tenericutes</c:v>
                      </c:pt>
                      <c:pt idx="13">
                        <c:v>Planctomycetes</c:v>
                      </c:pt>
                      <c:pt idx="14">
                        <c:v>Lentisphaerae</c:v>
                      </c:pt>
                      <c:pt idx="15">
                        <c:v>Synergistetes</c:v>
                      </c:pt>
                      <c:pt idx="16">
                        <c:v>Chlamydiae</c:v>
                      </c:pt>
                      <c:pt idx="17">
                        <c:v>Acidobacteria</c:v>
                      </c:pt>
                      <c:pt idx="18">
                        <c:v>Chloroflexi</c:v>
                      </c:pt>
                      <c:pt idx="19">
                        <c:v>Gemmatimonadetes</c:v>
                      </c:pt>
                    </c:strCache>
                  </c:strRef>
                </c:cat>
                <c:val>
                  <c:numRef>
                    <c:extLst>
                      <c:ext uri="{02D57815-91ED-43cb-92C2-25804820EDAC}">
                        <c15:formulaRef>
                          <c15:sqref>'SIMPER-clinic'!$B$2:$B$21</c15:sqref>
                        </c15:formulaRef>
                      </c:ext>
                    </c:extLst>
                    <c:numCache>
                      <c:formatCode>General</c:formatCode>
                      <c:ptCount val="20"/>
                      <c:pt idx="0">
                        <c:v>10.49</c:v>
                      </c:pt>
                      <c:pt idx="1">
                        <c:v>5.24</c:v>
                      </c:pt>
                      <c:pt idx="2">
                        <c:v>2.4940000000000002</c:v>
                      </c:pt>
                      <c:pt idx="3">
                        <c:v>2.2949999999999999</c:v>
                      </c:pt>
                      <c:pt idx="4">
                        <c:v>1.881</c:v>
                      </c:pt>
                      <c:pt idx="5">
                        <c:v>1.6830000000000001</c:v>
                      </c:pt>
                      <c:pt idx="6">
                        <c:v>7.8259999999999996E-2</c:v>
                      </c:pt>
                      <c:pt idx="7">
                        <c:v>7.5130000000000002E-2</c:v>
                      </c:pt>
                      <c:pt idx="8">
                        <c:v>5.0950000000000002E-2</c:v>
                      </c:pt>
                      <c:pt idx="9">
                        <c:v>2.9659999999999999E-2</c:v>
                      </c:pt>
                      <c:pt idx="10">
                        <c:v>1.9310000000000001E-2</c:v>
                      </c:pt>
                      <c:pt idx="11">
                        <c:v>1.447E-2</c:v>
                      </c:pt>
                      <c:pt idx="12">
                        <c:v>1.1780000000000001E-2</c:v>
                      </c:pt>
                      <c:pt idx="13">
                        <c:v>9.1529999999999997E-3</c:v>
                      </c:pt>
                      <c:pt idx="14">
                        <c:v>8.0090000000000005E-3</c:v>
                      </c:pt>
                      <c:pt idx="15">
                        <c:v>6.0629999999999998E-3</c:v>
                      </c:pt>
                      <c:pt idx="16">
                        <c:v>2.5690000000000001E-3</c:v>
                      </c:pt>
                      <c:pt idx="17">
                        <c:v>1.3309999999999999E-3</c:v>
                      </c:pt>
                      <c:pt idx="18">
                        <c:v>8.1669999999999996E-4</c:v>
                      </c:pt>
                      <c:pt idx="19">
                        <c:v>6.87E-4</c:v>
                      </c:pt>
                    </c:numCache>
                  </c:numRef>
                </c:val>
                <c:extLst>
                  <c:ext xmlns:c16="http://schemas.microsoft.com/office/drawing/2014/chart" uri="{C3380CC4-5D6E-409C-BE32-E72D297353CC}">
                    <c16:uniqueId val="{00000002-5E45-4AE0-A72C-F568D4A877B0}"/>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'SIMPER-clinic'!$C$1</c15:sqref>
                        </c15:formulaRef>
                      </c:ext>
                    </c:extLst>
                    <c:strCache>
                      <c:ptCount val="1"/>
                      <c:pt idx="0">
                        <c:v>Contrib.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n-lt"/>
                          <a:ea typeface="+mn-ea"/>
                          <a:cs typeface="+mn-cs"/>
                        </a:defRPr>
                      </a:pPr>
                      <a:endParaRPr lang="fr-FR"/>
                    </a:p>
                  </c:txPr>
                  <c:dLblPos val="ct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'SIMPER-clinic'!$A$2:$A$21</c15:sqref>
                        </c15:formulaRef>
                      </c:ext>
                    </c:extLst>
                    <c:strCache>
                      <c:ptCount val="20"/>
                      <c:pt idx="0">
                        <c:v>Firmicutes</c:v>
                      </c:pt>
                      <c:pt idx="1">
                        <c:v>unassigned</c:v>
                      </c:pt>
                      <c:pt idx="2">
                        <c:v>Bacteroidetes</c:v>
                      </c:pt>
                      <c:pt idx="3">
                        <c:v>Actinobacteria</c:v>
                      </c:pt>
                      <c:pt idx="4">
                        <c:v>IHU_PP_Bacteria</c:v>
                      </c:pt>
                      <c:pt idx="5">
                        <c:v>Proteobacteria</c:v>
                      </c:pt>
                      <c:pt idx="6">
                        <c:v>Euryarchaeota</c:v>
                      </c:pt>
                      <c:pt idx="7">
                        <c:v>Verrucomicrobia</c:v>
                      </c:pt>
                      <c:pt idx="8">
                        <c:v>Fusobacteria</c:v>
                      </c:pt>
                      <c:pt idx="9">
                        <c:v>Spirochaetes</c:v>
                      </c:pt>
                      <c:pt idx="10">
                        <c:v>Elusimicrobia</c:v>
                      </c:pt>
                      <c:pt idx="11">
                        <c:v>Deinococcus-Thermus</c:v>
                      </c:pt>
                      <c:pt idx="12">
                        <c:v>Tenericutes</c:v>
                      </c:pt>
                      <c:pt idx="13">
                        <c:v>Planctomycetes</c:v>
                      </c:pt>
                      <c:pt idx="14">
                        <c:v>Lentisphaerae</c:v>
                      </c:pt>
                      <c:pt idx="15">
                        <c:v>Synergistetes</c:v>
                      </c:pt>
                      <c:pt idx="16">
                        <c:v>Chlamydiae</c:v>
                      </c:pt>
                      <c:pt idx="17">
                        <c:v>Acidobacteria</c:v>
                      </c:pt>
                      <c:pt idx="18">
                        <c:v>Chloroflexi</c:v>
                      </c:pt>
                      <c:pt idx="19">
                        <c:v>Gemmatimonadetes</c:v>
                      </c:pt>
                    </c:strCache>
                  </c:strRef>
                </c:cat>
                <c:val>
                  <c:numRef>
                    <c:extLst xmlns:c15="http://schemas.microsoft.com/office/drawing/2012/chart">
                      <c:ext xmlns:c15="http://schemas.microsoft.com/office/drawing/2012/chart" uri="{02D57815-91ED-43cb-92C2-25804820EDAC}">
                        <c15:formulaRef>
                          <c15:sqref>'SIMPER-clinic'!$C$2:$C$21</c15:sqref>
                        </c15:formulaRef>
                      </c:ext>
                    </c:extLst>
                    <c:numCache>
                      <c:formatCode>General</c:formatCode>
                      <c:ptCount val="20"/>
                      <c:pt idx="0">
                        <c:v>43.01</c:v>
                      </c:pt>
                      <c:pt idx="1">
                        <c:v>21.48</c:v>
                      </c:pt>
                      <c:pt idx="2">
                        <c:v>10.220000000000001</c:v>
                      </c:pt>
                      <c:pt idx="3">
                        <c:v>9.4090000000000007</c:v>
                      </c:pt>
                      <c:pt idx="4">
                        <c:v>7.71</c:v>
                      </c:pt>
                      <c:pt idx="5">
                        <c:v>6.8979999999999997</c:v>
                      </c:pt>
                      <c:pt idx="6">
                        <c:v>0.32079999999999997</c:v>
                      </c:pt>
                      <c:pt idx="7">
                        <c:v>0.308</c:v>
                      </c:pt>
                      <c:pt idx="8">
                        <c:v>0.2089</c:v>
                      </c:pt>
                      <c:pt idx="9">
                        <c:v>0.1216</c:v>
                      </c:pt>
                      <c:pt idx="10">
                        <c:v>7.9140000000000002E-2</c:v>
                      </c:pt>
                      <c:pt idx="11">
                        <c:v>5.9330000000000001E-2</c:v>
                      </c:pt>
                      <c:pt idx="12">
                        <c:v>4.8300000000000003E-2</c:v>
                      </c:pt>
                      <c:pt idx="13">
                        <c:v>3.7519999999999998E-2</c:v>
                      </c:pt>
                      <c:pt idx="14">
                        <c:v>3.2829999999999998E-2</c:v>
                      </c:pt>
                      <c:pt idx="15">
                        <c:v>2.4850000000000001E-2</c:v>
                      </c:pt>
                      <c:pt idx="16">
                        <c:v>1.0529999999999999E-2</c:v>
                      </c:pt>
                      <c:pt idx="17">
                        <c:v>5.4549999999999998E-3</c:v>
                      </c:pt>
                      <c:pt idx="18">
                        <c:v>3.3479999999999998E-3</c:v>
                      </c:pt>
                      <c:pt idx="19">
                        <c:v>2.8159999999999999E-3</c:v>
                      </c:pt>
                    </c:numCache>
                  </c:numRef>
                </c:val>
                <c:extLst xmlns:c15="http://schemas.microsoft.com/office/drawing/2012/chart">
                  <c:ext xmlns:c16="http://schemas.microsoft.com/office/drawing/2014/chart" uri="{C3380CC4-5D6E-409C-BE32-E72D297353CC}">
                    <c16:uniqueId val="{00000003-5E45-4AE0-A72C-F568D4A877B0}"/>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'SIMPER-clinic'!$D$1</c15:sqref>
                        </c15:formulaRef>
                      </c:ext>
                    </c:extLst>
                    <c:strCache>
                      <c:ptCount val="1"/>
                      <c:pt idx="0">
                        <c:v>Cumulative %</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n-lt"/>
                          <a:ea typeface="+mn-ea"/>
                          <a:cs typeface="+mn-cs"/>
                        </a:defRPr>
                      </a:pPr>
                      <a:endParaRPr lang="fr-FR"/>
                    </a:p>
                  </c:txPr>
                  <c:dLblPos val="ct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'SIMPER-clinic'!$A$2:$A$21</c15:sqref>
                        </c15:formulaRef>
                      </c:ext>
                    </c:extLst>
                    <c:strCache>
                      <c:ptCount val="20"/>
                      <c:pt idx="0">
                        <c:v>Firmicutes</c:v>
                      </c:pt>
                      <c:pt idx="1">
                        <c:v>unassigned</c:v>
                      </c:pt>
                      <c:pt idx="2">
                        <c:v>Bacteroidetes</c:v>
                      </c:pt>
                      <c:pt idx="3">
                        <c:v>Actinobacteria</c:v>
                      </c:pt>
                      <c:pt idx="4">
                        <c:v>IHU_PP_Bacteria</c:v>
                      </c:pt>
                      <c:pt idx="5">
                        <c:v>Proteobacteria</c:v>
                      </c:pt>
                      <c:pt idx="6">
                        <c:v>Euryarchaeota</c:v>
                      </c:pt>
                      <c:pt idx="7">
                        <c:v>Verrucomicrobia</c:v>
                      </c:pt>
                      <c:pt idx="8">
                        <c:v>Fusobacteria</c:v>
                      </c:pt>
                      <c:pt idx="9">
                        <c:v>Spirochaetes</c:v>
                      </c:pt>
                      <c:pt idx="10">
                        <c:v>Elusimicrobia</c:v>
                      </c:pt>
                      <c:pt idx="11">
                        <c:v>Deinococcus-Thermus</c:v>
                      </c:pt>
                      <c:pt idx="12">
                        <c:v>Tenericutes</c:v>
                      </c:pt>
                      <c:pt idx="13">
                        <c:v>Planctomycetes</c:v>
                      </c:pt>
                      <c:pt idx="14">
                        <c:v>Lentisphaerae</c:v>
                      </c:pt>
                      <c:pt idx="15">
                        <c:v>Synergistetes</c:v>
                      </c:pt>
                      <c:pt idx="16">
                        <c:v>Chlamydiae</c:v>
                      </c:pt>
                      <c:pt idx="17">
                        <c:v>Acidobacteria</c:v>
                      </c:pt>
                      <c:pt idx="18">
                        <c:v>Chloroflexi</c:v>
                      </c:pt>
                      <c:pt idx="19">
                        <c:v>Gemmatimonadetes</c:v>
                      </c:pt>
                    </c:strCache>
                  </c:strRef>
                </c:cat>
                <c:val>
                  <c:numRef>
                    <c:extLst xmlns:c15="http://schemas.microsoft.com/office/drawing/2012/chart">
                      <c:ext xmlns:c15="http://schemas.microsoft.com/office/drawing/2012/chart" uri="{02D57815-91ED-43cb-92C2-25804820EDAC}">
                        <c15:formulaRef>
                          <c15:sqref>'SIMPER-clinic'!$D$2:$D$21</c15:sqref>
                        </c15:formulaRef>
                      </c:ext>
                    </c:extLst>
                    <c:numCache>
                      <c:formatCode>General</c:formatCode>
                      <c:ptCount val="20"/>
                      <c:pt idx="0">
                        <c:v>43.01</c:v>
                      </c:pt>
                      <c:pt idx="1">
                        <c:v>64.5</c:v>
                      </c:pt>
                      <c:pt idx="2">
                        <c:v>74.72</c:v>
                      </c:pt>
                      <c:pt idx="3">
                        <c:v>84.13</c:v>
                      </c:pt>
                      <c:pt idx="4">
                        <c:v>91.84</c:v>
                      </c:pt>
                      <c:pt idx="5">
                        <c:v>98.74</c:v>
                      </c:pt>
                      <c:pt idx="6">
                        <c:v>99.06</c:v>
                      </c:pt>
                      <c:pt idx="7">
                        <c:v>99.37</c:v>
                      </c:pt>
                      <c:pt idx="8">
                        <c:v>99.57</c:v>
                      </c:pt>
                      <c:pt idx="9">
                        <c:v>99.7</c:v>
                      </c:pt>
                      <c:pt idx="10">
                        <c:v>99.78</c:v>
                      </c:pt>
                      <c:pt idx="11">
                        <c:v>99.83</c:v>
                      </c:pt>
                      <c:pt idx="12">
                        <c:v>99.88</c:v>
                      </c:pt>
                      <c:pt idx="13">
                        <c:v>99.92</c:v>
                      </c:pt>
                      <c:pt idx="14">
                        <c:v>99.95</c:v>
                      </c:pt>
                      <c:pt idx="15">
                        <c:v>99.98</c:v>
                      </c:pt>
                      <c:pt idx="16">
                        <c:v>99.99</c:v>
                      </c:pt>
                      <c:pt idx="17">
                        <c:v>99.99</c:v>
                      </c:pt>
                      <c:pt idx="18">
                        <c:v>100</c:v>
                      </c:pt>
                      <c:pt idx="19">
                        <c:v>100</c:v>
                      </c:pt>
                    </c:numCache>
                  </c:numRef>
                </c:val>
                <c:extLst xmlns:c15="http://schemas.microsoft.com/office/drawing/2012/chart">
                  <c:ext xmlns:c16="http://schemas.microsoft.com/office/drawing/2014/chart" uri="{C3380CC4-5D6E-409C-BE32-E72D297353CC}">
                    <c16:uniqueId val="{00000004-5E45-4AE0-A72C-F568D4A877B0}"/>
                  </c:ext>
                </c:extLst>
              </c15:ser>
            </c15:filteredBarSeries>
          </c:ext>
        </c:extLst>
      </c:barChart>
      <c:catAx>
        <c:axId val="669212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fr-FR"/>
          </a:p>
        </c:txPr>
        <c:crossAx val="669205888"/>
        <c:crosses val="autoZero"/>
        <c:auto val="1"/>
        <c:lblAlgn val="ctr"/>
        <c:lblOffset val="100"/>
        <c:noMultiLvlLbl val="0"/>
      </c:catAx>
      <c:valAx>
        <c:axId val="6692058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r>
                  <a:rPr lang="fr-FR"/>
                  <a:t>Relative abundance (%)</a:t>
                </a:r>
              </a:p>
            </c:rich>
          </c:tx>
          <c:overlay val="0"/>
          <c:spPr>
            <a:noFill/>
            <a:ln>
              <a:noFill/>
            </a:ln>
            <a:effectLst/>
          </c:spPr>
          <c:txPr>
            <a:bodyPr rot="-54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fr-FR"/>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fr-FR"/>
          </a:p>
        </c:txPr>
        <c:crossAx val="669212448"/>
        <c:crosses val="autoZero"/>
        <c:crossBetween val="between"/>
        <c:majorUnit val="0.5"/>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defRPr>
      </a:pPr>
      <a:endParaRPr lang="fr-F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3"/>
          <c:order val="3"/>
          <c:tx>
            <c:strRef>
              <c:f>'SIMPER-Asymptomatic'!$E$1</c:f>
              <c:strCache>
                <c:ptCount val="1"/>
                <c:pt idx="0">
                  <c:v>Asymptomatic +</c:v>
                </c:pt>
              </c:strCache>
            </c:strRef>
          </c:tx>
          <c:spPr>
            <a:solidFill>
              <a:schemeClr val="accent4"/>
            </a:solidFill>
            <a:ln>
              <a:noFill/>
            </a:ln>
            <a:effectLst/>
          </c:spPr>
          <c:invertIfNegative val="0"/>
          <c:dLbls>
            <c:spPr>
              <a:noFill/>
              <a:ln>
                <a:noFill/>
              </a:ln>
              <a:effectLst/>
            </c:spPr>
            <c:txPr>
              <a:bodyPr rot="-5400000" spcFirstLastPara="1" vertOverflow="ellipsis" wrap="square" anchor="ctr" anchorCtr="1"/>
              <a:lstStyle/>
              <a:p>
                <a:pPr>
                  <a:defRPr sz="1200" b="0" i="0" u="none" strike="noStrike" kern="1200" baseline="0">
                    <a:solidFill>
                      <a:sysClr val="windowText" lastClr="000000"/>
                    </a:solidFill>
                    <a:latin typeface="+mn-lt"/>
                    <a:ea typeface="+mn-ea"/>
                    <a:cs typeface="+mn-cs"/>
                  </a:defRPr>
                </a:pPr>
                <a:endParaRPr lang="fr-FR"/>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'SIMPER-Asymptomatic'!$A$2:$A$20</c:f>
              <c:strCache>
                <c:ptCount val="19"/>
                <c:pt idx="0">
                  <c:v>Firmicutes</c:v>
                </c:pt>
                <c:pt idx="1">
                  <c:v>unassigned</c:v>
                </c:pt>
                <c:pt idx="2">
                  <c:v>Bacteroidetes</c:v>
                </c:pt>
                <c:pt idx="3">
                  <c:v>Actinobacteria</c:v>
                </c:pt>
                <c:pt idx="4">
                  <c:v>IHU_PP_Bacteria</c:v>
                </c:pt>
                <c:pt idx="5">
                  <c:v>Proteobacteria</c:v>
                </c:pt>
                <c:pt idx="6">
                  <c:v>Euryarchaeota</c:v>
                </c:pt>
                <c:pt idx="7">
                  <c:v>Verrucomicrobia</c:v>
                </c:pt>
                <c:pt idx="8">
                  <c:v>Fusobacteria</c:v>
                </c:pt>
                <c:pt idx="9">
                  <c:v>Spirochaetes</c:v>
                </c:pt>
                <c:pt idx="10">
                  <c:v>Elusimicrobia</c:v>
                </c:pt>
                <c:pt idx="11">
                  <c:v>Deinococcus-Thermus</c:v>
                </c:pt>
                <c:pt idx="12">
                  <c:v>Tenericutes</c:v>
                </c:pt>
                <c:pt idx="13">
                  <c:v>Lentisphaerae</c:v>
                </c:pt>
                <c:pt idx="14">
                  <c:v>Planctomycetes</c:v>
                </c:pt>
                <c:pt idx="15">
                  <c:v>Synergistetes</c:v>
                </c:pt>
                <c:pt idx="16">
                  <c:v>Chlamydiae</c:v>
                </c:pt>
                <c:pt idx="17">
                  <c:v>Acidobacteria</c:v>
                </c:pt>
                <c:pt idx="18">
                  <c:v>Gemmatimonadetes</c:v>
                </c:pt>
              </c:strCache>
              <c:extLst/>
            </c:strRef>
          </c:cat>
          <c:val>
            <c:numRef>
              <c:f>'SIMPER-Asymptomatic'!$E$2:$E$20</c:f>
              <c:numCache>
                <c:formatCode>0.00</c:formatCode>
                <c:ptCount val="19"/>
                <c:pt idx="0">
                  <c:v>509</c:v>
                </c:pt>
                <c:pt idx="1">
                  <c:v>257</c:v>
                </c:pt>
                <c:pt idx="2">
                  <c:v>93</c:v>
                </c:pt>
                <c:pt idx="3">
                  <c:v>90.8</c:v>
                </c:pt>
                <c:pt idx="4">
                  <c:v>79.900000000000006</c:v>
                </c:pt>
                <c:pt idx="5">
                  <c:v>64.5</c:v>
                </c:pt>
                <c:pt idx="6">
                  <c:v>1.24</c:v>
                </c:pt>
                <c:pt idx="7">
                  <c:v>1.06</c:v>
                </c:pt>
                <c:pt idx="8">
                  <c:v>0.75900000000000001</c:v>
                </c:pt>
                <c:pt idx="9">
                  <c:v>0.38900000000000001</c:v>
                </c:pt>
                <c:pt idx="10">
                  <c:v>0.222</c:v>
                </c:pt>
                <c:pt idx="11">
                  <c:v>0.21299999999999999</c:v>
                </c:pt>
                <c:pt idx="12">
                  <c:v>0.14399999999999999</c:v>
                </c:pt>
                <c:pt idx="13">
                  <c:v>7.8700000000000006E-2</c:v>
                </c:pt>
                <c:pt idx="14">
                  <c:v>0.125</c:v>
                </c:pt>
                <c:pt idx="15">
                  <c:v>7.8700000000000006E-2</c:v>
                </c:pt>
                <c:pt idx="16">
                  <c:v>2.7799999999999998E-2</c:v>
                </c:pt>
                <c:pt idx="17">
                  <c:v>9.2599999999999991E-3</c:v>
                </c:pt>
                <c:pt idx="18">
                  <c:v>9.2599999999999991E-3</c:v>
                </c:pt>
              </c:numCache>
              <c:extLst/>
            </c:numRef>
          </c:val>
          <c:extLst>
            <c:ext xmlns:c16="http://schemas.microsoft.com/office/drawing/2014/chart" uri="{C3380CC4-5D6E-409C-BE32-E72D297353CC}">
              <c16:uniqueId val="{00000000-DF78-4677-8CD3-75F1FE8A47FD}"/>
            </c:ext>
          </c:extLst>
        </c:ser>
        <c:ser>
          <c:idx val="4"/>
          <c:order val="4"/>
          <c:tx>
            <c:strRef>
              <c:f>'SIMPER-Asymptomatic'!$F$1</c:f>
              <c:strCache>
                <c:ptCount val="1"/>
                <c:pt idx="0">
                  <c:v>Asymptomatic -</c:v>
                </c:pt>
              </c:strCache>
            </c:strRef>
          </c:tx>
          <c:spPr>
            <a:solidFill>
              <a:schemeClr val="accent5"/>
            </a:solidFill>
            <a:ln>
              <a:noFill/>
            </a:ln>
            <a:effectLst/>
          </c:spPr>
          <c:invertIfNegative val="0"/>
          <c:dLbls>
            <c:spPr>
              <a:noFill/>
              <a:ln>
                <a:noFill/>
              </a:ln>
              <a:effectLst/>
            </c:spPr>
            <c:txPr>
              <a:bodyPr rot="-5400000" spcFirstLastPara="1" vertOverflow="ellipsis" wrap="square" anchor="ctr" anchorCtr="1"/>
              <a:lstStyle/>
              <a:p>
                <a:pPr>
                  <a:defRPr sz="1200" b="0" i="0" u="none" strike="noStrike" kern="1200" baseline="0">
                    <a:solidFill>
                      <a:sysClr val="windowText" lastClr="000000"/>
                    </a:solidFill>
                    <a:latin typeface="+mn-lt"/>
                    <a:ea typeface="+mn-ea"/>
                    <a:cs typeface="+mn-cs"/>
                  </a:defRPr>
                </a:pPr>
                <a:endParaRPr lang="fr-FR"/>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'SIMPER-Asymptomatic'!$A$2:$A$20</c:f>
              <c:strCache>
                <c:ptCount val="19"/>
                <c:pt idx="0">
                  <c:v>Firmicutes</c:v>
                </c:pt>
                <c:pt idx="1">
                  <c:v>unassigned</c:v>
                </c:pt>
                <c:pt idx="2">
                  <c:v>Bacteroidetes</c:v>
                </c:pt>
                <c:pt idx="3">
                  <c:v>Actinobacteria</c:v>
                </c:pt>
                <c:pt idx="4">
                  <c:v>IHU_PP_Bacteria</c:v>
                </c:pt>
                <c:pt idx="5">
                  <c:v>Proteobacteria</c:v>
                </c:pt>
                <c:pt idx="6">
                  <c:v>Euryarchaeota</c:v>
                </c:pt>
                <c:pt idx="7">
                  <c:v>Verrucomicrobia</c:v>
                </c:pt>
                <c:pt idx="8">
                  <c:v>Fusobacteria</c:v>
                </c:pt>
                <c:pt idx="9">
                  <c:v>Spirochaetes</c:v>
                </c:pt>
                <c:pt idx="10">
                  <c:v>Elusimicrobia</c:v>
                </c:pt>
                <c:pt idx="11">
                  <c:v>Deinococcus-Thermus</c:v>
                </c:pt>
                <c:pt idx="12">
                  <c:v>Tenericutes</c:v>
                </c:pt>
                <c:pt idx="13">
                  <c:v>Lentisphaerae</c:v>
                </c:pt>
                <c:pt idx="14">
                  <c:v>Planctomycetes</c:v>
                </c:pt>
                <c:pt idx="15">
                  <c:v>Synergistetes</c:v>
                </c:pt>
                <c:pt idx="16">
                  <c:v>Chlamydiae</c:v>
                </c:pt>
                <c:pt idx="17">
                  <c:v>Acidobacteria</c:v>
                </c:pt>
                <c:pt idx="18">
                  <c:v>Gemmatimonadetes</c:v>
                </c:pt>
              </c:strCache>
              <c:extLst/>
            </c:strRef>
          </c:cat>
          <c:val>
            <c:numRef>
              <c:f>'SIMPER-Asymptomatic'!$F$2:$F$20</c:f>
              <c:numCache>
                <c:formatCode>0.00</c:formatCode>
                <c:ptCount val="19"/>
                <c:pt idx="0">
                  <c:v>570</c:v>
                </c:pt>
                <c:pt idx="1">
                  <c:v>293</c:v>
                </c:pt>
                <c:pt idx="2">
                  <c:v>91.2</c:v>
                </c:pt>
                <c:pt idx="3">
                  <c:v>90.7</c:v>
                </c:pt>
                <c:pt idx="4">
                  <c:v>87.5</c:v>
                </c:pt>
                <c:pt idx="5">
                  <c:v>79.8</c:v>
                </c:pt>
                <c:pt idx="6">
                  <c:v>1.41</c:v>
                </c:pt>
                <c:pt idx="7">
                  <c:v>0.66300000000000003</c:v>
                </c:pt>
                <c:pt idx="8">
                  <c:v>1.1100000000000001</c:v>
                </c:pt>
                <c:pt idx="9">
                  <c:v>0.55000000000000004</c:v>
                </c:pt>
                <c:pt idx="10">
                  <c:v>0.313</c:v>
                </c:pt>
                <c:pt idx="11">
                  <c:v>8.7499999999999994E-2</c:v>
                </c:pt>
                <c:pt idx="12">
                  <c:v>0.16300000000000001</c:v>
                </c:pt>
                <c:pt idx="13">
                  <c:v>0.125</c:v>
                </c:pt>
                <c:pt idx="14">
                  <c:v>0.05</c:v>
                </c:pt>
                <c:pt idx="15">
                  <c:v>0.1</c:v>
                </c:pt>
                <c:pt idx="16">
                  <c:v>3.7499999999999999E-2</c:v>
                </c:pt>
                <c:pt idx="17">
                  <c:v>2.5000000000000001E-2</c:v>
                </c:pt>
                <c:pt idx="18">
                  <c:v>1.2500000000000001E-2</c:v>
                </c:pt>
              </c:numCache>
              <c:extLst/>
            </c:numRef>
          </c:val>
          <c:extLst>
            <c:ext xmlns:c16="http://schemas.microsoft.com/office/drawing/2014/chart" uri="{C3380CC4-5D6E-409C-BE32-E72D297353CC}">
              <c16:uniqueId val="{00000001-DF78-4677-8CD3-75F1FE8A47FD}"/>
            </c:ext>
          </c:extLst>
        </c:ser>
        <c:dLbls>
          <c:dLblPos val="ctr"/>
          <c:showLegendKey val="0"/>
          <c:showVal val="1"/>
          <c:showCatName val="0"/>
          <c:showSerName val="0"/>
          <c:showPercent val="0"/>
          <c:showBubbleSize val="0"/>
        </c:dLbls>
        <c:gapWidth val="150"/>
        <c:overlap val="100"/>
        <c:axId val="1154523272"/>
        <c:axId val="1154521632"/>
        <c:extLst>
          <c:ext xmlns:c15="http://schemas.microsoft.com/office/drawing/2012/chart" uri="{02D57815-91ED-43cb-92C2-25804820EDAC}">
            <c15:filteredBarSeries>
              <c15:ser>
                <c:idx val="0"/>
                <c:order val="0"/>
                <c:tx>
                  <c:strRef>
                    <c:extLst>
                      <c:ext uri="{02D57815-91ED-43cb-92C2-25804820EDAC}">
                        <c15:formulaRef>
                          <c15:sqref>'SIMPER-Asymptomatic'!$B$1</c15:sqref>
                        </c15:formulaRef>
                      </c:ext>
                    </c:extLst>
                    <c:strCache>
                      <c:ptCount val="1"/>
                      <c:pt idx="0">
                        <c:v>Av. dissim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n-lt"/>
                          <a:ea typeface="+mn-ea"/>
                          <a:cs typeface="+mn-cs"/>
                        </a:defRPr>
                      </a:pPr>
                      <a:endParaRPr lang="fr-FR"/>
                    </a:p>
                  </c:txPr>
                  <c:dLblPos val="ct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'SIMPER-Asymptomatic'!$A$2:$A$20</c15:sqref>
                        </c15:formulaRef>
                      </c:ext>
                    </c:extLst>
                    <c:strCache>
                      <c:ptCount val="19"/>
                      <c:pt idx="0">
                        <c:v>Firmicutes</c:v>
                      </c:pt>
                      <c:pt idx="1">
                        <c:v>unassigned</c:v>
                      </c:pt>
                      <c:pt idx="2">
                        <c:v>Bacteroidetes</c:v>
                      </c:pt>
                      <c:pt idx="3">
                        <c:v>Actinobacteria</c:v>
                      </c:pt>
                      <c:pt idx="4">
                        <c:v>IHU_PP_Bacteria</c:v>
                      </c:pt>
                      <c:pt idx="5">
                        <c:v>Proteobacteria</c:v>
                      </c:pt>
                      <c:pt idx="6">
                        <c:v>Euryarchaeota</c:v>
                      </c:pt>
                      <c:pt idx="7">
                        <c:v>Verrucomicrobia</c:v>
                      </c:pt>
                      <c:pt idx="8">
                        <c:v>Fusobacteria</c:v>
                      </c:pt>
                      <c:pt idx="9">
                        <c:v>Spirochaetes</c:v>
                      </c:pt>
                      <c:pt idx="10">
                        <c:v>Elusimicrobia</c:v>
                      </c:pt>
                      <c:pt idx="11">
                        <c:v>Deinococcus-Thermus</c:v>
                      </c:pt>
                      <c:pt idx="12">
                        <c:v>Tenericutes</c:v>
                      </c:pt>
                      <c:pt idx="13">
                        <c:v>Lentisphaerae</c:v>
                      </c:pt>
                      <c:pt idx="14">
                        <c:v>Planctomycetes</c:v>
                      </c:pt>
                      <c:pt idx="15">
                        <c:v>Synergistetes</c:v>
                      </c:pt>
                      <c:pt idx="16">
                        <c:v>Chlamydiae</c:v>
                      </c:pt>
                      <c:pt idx="17">
                        <c:v>Acidobacteria</c:v>
                      </c:pt>
                      <c:pt idx="18">
                        <c:v>Gemmatimonadetes</c:v>
                      </c:pt>
                    </c:strCache>
                  </c:strRef>
                </c:cat>
                <c:val>
                  <c:numRef>
                    <c:extLst>
                      <c:ext uri="{02D57815-91ED-43cb-92C2-25804820EDAC}">
                        <c15:formulaRef>
                          <c15:sqref>'SIMPER-Asymptomatic'!$B$2:$B$20</c15:sqref>
                        </c15:formulaRef>
                      </c:ext>
                    </c:extLst>
                    <c:numCache>
                      <c:formatCode>General</c:formatCode>
                      <c:ptCount val="19"/>
                      <c:pt idx="0">
                        <c:v>10.23</c:v>
                      </c:pt>
                      <c:pt idx="1">
                        <c:v>5.2030000000000003</c:v>
                      </c:pt>
                      <c:pt idx="2">
                        <c:v>2.39</c:v>
                      </c:pt>
                      <c:pt idx="3">
                        <c:v>2.194</c:v>
                      </c:pt>
                      <c:pt idx="4">
                        <c:v>1.835</c:v>
                      </c:pt>
                      <c:pt idx="5">
                        <c:v>1.716</c:v>
                      </c:pt>
                      <c:pt idx="6">
                        <c:v>8.1979999999999997E-2</c:v>
                      </c:pt>
                      <c:pt idx="7">
                        <c:v>6.7349999999999993E-2</c:v>
                      </c:pt>
                      <c:pt idx="8">
                        <c:v>5.9819999999999998E-2</c:v>
                      </c:pt>
                      <c:pt idx="9">
                        <c:v>3.125E-2</c:v>
                      </c:pt>
                      <c:pt idx="10">
                        <c:v>2.044E-2</c:v>
                      </c:pt>
                      <c:pt idx="11">
                        <c:v>1.204E-2</c:v>
                      </c:pt>
                      <c:pt idx="12">
                        <c:v>1.124E-2</c:v>
                      </c:pt>
                      <c:pt idx="13">
                        <c:v>8.3870000000000004E-3</c:v>
                      </c:pt>
                      <c:pt idx="14">
                        <c:v>7.7270000000000004E-3</c:v>
                      </c:pt>
                      <c:pt idx="15">
                        <c:v>6.574E-3</c:v>
                      </c:pt>
                      <c:pt idx="16">
                        <c:v>2.7699999999999999E-3</c:v>
                      </c:pt>
                      <c:pt idx="17">
                        <c:v>1.469E-3</c:v>
                      </c:pt>
                      <c:pt idx="18">
                        <c:v>7.5440000000000001E-4</c:v>
                      </c:pt>
                    </c:numCache>
                  </c:numRef>
                </c:val>
                <c:extLst>
                  <c:ext xmlns:c16="http://schemas.microsoft.com/office/drawing/2014/chart" uri="{C3380CC4-5D6E-409C-BE32-E72D297353CC}">
                    <c16:uniqueId val="{00000002-DF78-4677-8CD3-75F1FE8A47FD}"/>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'SIMPER-Asymptomatic'!$C$1</c15:sqref>
                        </c15:formulaRef>
                      </c:ext>
                    </c:extLst>
                    <c:strCache>
                      <c:ptCount val="1"/>
                      <c:pt idx="0">
                        <c:v>Contrib.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n-lt"/>
                          <a:ea typeface="+mn-ea"/>
                          <a:cs typeface="+mn-cs"/>
                        </a:defRPr>
                      </a:pPr>
                      <a:endParaRPr lang="fr-FR"/>
                    </a:p>
                  </c:txPr>
                  <c:dLblPos val="ct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'SIMPER-Asymptomatic'!$A$2:$A$20</c15:sqref>
                        </c15:formulaRef>
                      </c:ext>
                    </c:extLst>
                    <c:strCache>
                      <c:ptCount val="19"/>
                      <c:pt idx="0">
                        <c:v>Firmicutes</c:v>
                      </c:pt>
                      <c:pt idx="1">
                        <c:v>unassigned</c:v>
                      </c:pt>
                      <c:pt idx="2">
                        <c:v>Bacteroidetes</c:v>
                      </c:pt>
                      <c:pt idx="3">
                        <c:v>Actinobacteria</c:v>
                      </c:pt>
                      <c:pt idx="4">
                        <c:v>IHU_PP_Bacteria</c:v>
                      </c:pt>
                      <c:pt idx="5">
                        <c:v>Proteobacteria</c:v>
                      </c:pt>
                      <c:pt idx="6">
                        <c:v>Euryarchaeota</c:v>
                      </c:pt>
                      <c:pt idx="7">
                        <c:v>Verrucomicrobia</c:v>
                      </c:pt>
                      <c:pt idx="8">
                        <c:v>Fusobacteria</c:v>
                      </c:pt>
                      <c:pt idx="9">
                        <c:v>Spirochaetes</c:v>
                      </c:pt>
                      <c:pt idx="10">
                        <c:v>Elusimicrobia</c:v>
                      </c:pt>
                      <c:pt idx="11">
                        <c:v>Deinococcus-Thermus</c:v>
                      </c:pt>
                      <c:pt idx="12">
                        <c:v>Tenericutes</c:v>
                      </c:pt>
                      <c:pt idx="13">
                        <c:v>Lentisphaerae</c:v>
                      </c:pt>
                      <c:pt idx="14">
                        <c:v>Planctomycetes</c:v>
                      </c:pt>
                      <c:pt idx="15">
                        <c:v>Synergistetes</c:v>
                      </c:pt>
                      <c:pt idx="16">
                        <c:v>Chlamydiae</c:v>
                      </c:pt>
                      <c:pt idx="17">
                        <c:v>Acidobacteria</c:v>
                      </c:pt>
                      <c:pt idx="18">
                        <c:v>Gemmatimonadetes</c:v>
                      </c:pt>
                    </c:strCache>
                  </c:strRef>
                </c:cat>
                <c:val>
                  <c:numRef>
                    <c:extLst xmlns:c15="http://schemas.microsoft.com/office/drawing/2012/chart">
                      <c:ext xmlns:c15="http://schemas.microsoft.com/office/drawing/2012/chart" uri="{02D57815-91ED-43cb-92C2-25804820EDAC}">
                        <c15:formulaRef>
                          <c15:sqref>'SIMPER-Asymptomatic'!$C$2:$C$20</c15:sqref>
                        </c15:formulaRef>
                      </c:ext>
                    </c:extLst>
                    <c:numCache>
                      <c:formatCode>General</c:formatCode>
                      <c:ptCount val="19"/>
                      <c:pt idx="0">
                        <c:v>42.84</c:v>
                      </c:pt>
                      <c:pt idx="1">
                        <c:v>21.79</c:v>
                      </c:pt>
                      <c:pt idx="2">
                        <c:v>10.01</c:v>
                      </c:pt>
                      <c:pt idx="3">
                        <c:v>9.1859999999999999</c:v>
                      </c:pt>
                      <c:pt idx="4">
                        <c:v>7.6820000000000004</c:v>
                      </c:pt>
                      <c:pt idx="5">
                        <c:v>7.1849999999999996</c:v>
                      </c:pt>
                      <c:pt idx="6">
                        <c:v>0.34320000000000001</c:v>
                      </c:pt>
                      <c:pt idx="7">
                        <c:v>0.28199999999999997</c:v>
                      </c:pt>
                      <c:pt idx="8">
                        <c:v>0.2505</c:v>
                      </c:pt>
                      <c:pt idx="9">
                        <c:v>0.1308</c:v>
                      </c:pt>
                      <c:pt idx="10">
                        <c:v>8.5599999999999996E-2</c:v>
                      </c:pt>
                      <c:pt idx="11">
                        <c:v>5.04E-2</c:v>
                      </c:pt>
                      <c:pt idx="12">
                        <c:v>4.7059999999999998E-2</c:v>
                      </c:pt>
                      <c:pt idx="13">
                        <c:v>3.5119999999999998E-2</c:v>
                      </c:pt>
                      <c:pt idx="14">
                        <c:v>3.2349999999999997E-2</c:v>
                      </c:pt>
                      <c:pt idx="15">
                        <c:v>2.7529999999999999E-2</c:v>
                      </c:pt>
                      <c:pt idx="16">
                        <c:v>1.1599999999999999E-2</c:v>
                      </c:pt>
                      <c:pt idx="17">
                        <c:v>6.1520000000000004E-3</c:v>
                      </c:pt>
                      <c:pt idx="18">
                        <c:v>3.1580000000000002E-3</c:v>
                      </c:pt>
                    </c:numCache>
                  </c:numRef>
                </c:val>
                <c:extLst xmlns:c15="http://schemas.microsoft.com/office/drawing/2012/chart">
                  <c:ext xmlns:c16="http://schemas.microsoft.com/office/drawing/2014/chart" uri="{C3380CC4-5D6E-409C-BE32-E72D297353CC}">
                    <c16:uniqueId val="{00000003-DF78-4677-8CD3-75F1FE8A47FD}"/>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'SIMPER-Asymptomatic'!$D$1</c15:sqref>
                        </c15:formulaRef>
                      </c:ext>
                    </c:extLst>
                    <c:strCache>
                      <c:ptCount val="1"/>
                      <c:pt idx="0">
                        <c:v>Cumulative %</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n-lt"/>
                          <a:ea typeface="+mn-ea"/>
                          <a:cs typeface="+mn-cs"/>
                        </a:defRPr>
                      </a:pPr>
                      <a:endParaRPr lang="fr-FR"/>
                    </a:p>
                  </c:txPr>
                  <c:dLblPos val="ct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'SIMPER-Asymptomatic'!$A$2:$A$20</c15:sqref>
                        </c15:formulaRef>
                      </c:ext>
                    </c:extLst>
                    <c:strCache>
                      <c:ptCount val="19"/>
                      <c:pt idx="0">
                        <c:v>Firmicutes</c:v>
                      </c:pt>
                      <c:pt idx="1">
                        <c:v>unassigned</c:v>
                      </c:pt>
                      <c:pt idx="2">
                        <c:v>Bacteroidetes</c:v>
                      </c:pt>
                      <c:pt idx="3">
                        <c:v>Actinobacteria</c:v>
                      </c:pt>
                      <c:pt idx="4">
                        <c:v>IHU_PP_Bacteria</c:v>
                      </c:pt>
                      <c:pt idx="5">
                        <c:v>Proteobacteria</c:v>
                      </c:pt>
                      <c:pt idx="6">
                        <c:v>Euryarchaeota</c:v>
                      </c:pt>
                      <c:pt idx="7">
                        <c:v>Verrucomicrobia</c:v>
                      </c:pt>
                      <c:pt idx="8">
                        <c:v>Fusobacteria</c:v>
                      </c:pt>
                      <c:pt idx="9">
                        <c:v>Spirochaetes</c:v>
                      </c:pt>
                      <c:pt idx="10">
                        <c:v>Elusimicrobia</c:v>
                      </c:pt>
                      <c:pt idx="11">
                        <c:v>Deinococcus-Thermus</c:v>
                      </c:pt>
                      <c:pt idx="12">
                        <c:v>Tenericutes</c:v>
                      </c:pt>
                      <c:pt idx="13">
                        <c:v>Lentisphaerae</c:v>
                      </c:pt>
                      <c:pt idx="14">
                        <c:v>Planctomycetes</c:v>
                      </c:pt>
                      <c:pt idx="15">
                        <c:v>Synergistetes</c:v>
                      </c:pt>
                      <c:pt idx="16">
                        <c:v>Chlamydiae</c:v>
                      </c:pt>
                      <c:pt idx="17">
                        <c:v>Acidobacteria</c:v>
                      </c:pt>
                      <c:pt idx="18">
                        <c:v>Gemmatimonadetes</c:v>
                      </c:pt>
                    </c:strCache>
                  </c:strRef>
                </c:cat>
                <c:val>
                  <c:numRef>
                    <c:extLst xmlns:c15="http://schemas.microsoft.com/office/drawing/2012/chart">
                      <c:ext xmlns:c15="http://schemas.microsoft.com/office/drawing/2012/chart" uri="{02D57815-91ED-43cb-92C2-25804820EDAC}">
                        <c15:formulaRef>
                          <c15:sqref>'SIMPER-Asymptomatic'!$D$2:$D$20</c15:sqref>
                        </c15:formulaRef>
                      </c:ext>
                    </c:extLst>
                    <c:numCache>
                      <c:formatCode>General</c:formatCode>
                      <c:ptCount val="19"/>
                      <c:pt idx="0">
                        <c:v>42.84</c:v>
                      </c:pt>
                      <c:pt idx="1">
                        <c:v>64.63</c:v>
                      </c:pt>
                      <c:pt idx="2">
                        <c:v>74.64</c:v>
                      </c:pt>
                      <c:pt idx="3">
                        <c:v>83.83</c:v>
                      </c:pt>
                      <c:pt idx="4">
                        <c:v>91.51</c:v>
                      </c:pt>
                      <c:pt idx="5">
                        <c:v>98.69</c:v>
                      </c:pt>
                      <c:pt idx="6">
                        <c:v>99.04</c:v>
                      </c:pt>
                      <c:pt idx="7">
                        <c:v>99.32</c:v>
                      </c:pt>
                      <c:pt idx="8">
                        <c:v>99.57</c:v>
                      </c:pt>
                      <c:pt idx="9">
                        <c:v>99.7</c:v>
                      </c:pt>
                      <c:pt idx="10">
                        <c:v>99.78</c:v>
                      </c:pt>
                      <c:pt idx="11">
                        <c:v>99.83</c:v>
                      </c:pt>
                      <c:pt idx="12">
                        <c:v>99.88</c:v>
                      </c:pt>
                      <c:pt idx="13">
                        <c:v>99.92</c:v>
                      </c:pt>
                      <c:pt idx="14">
                        <c:v>99.95</c:v>
                      </c:pt>
                      <c:pt idx="15">
                        <c:v>99.98</c:v>
                      </c:pt>
                      <c:pt idx="16">
                        <c:v>99.99</c:v>
                      </c:pt>
                      <c:pt idx="17">
                        <c:v>99.99</c:v>
                      </c:pt>
                      <c:pt idx="18">
                        <c:v>100</c:v>
                      </c:pt>
                    </c:numCache>
                  </c:numRef>
                </c:val>
                <c:extLst xmlns:c15="http://schemas.microsoft.com/office/drawing/2012/chart">
                  <c:ext xmlns:c16="http://schemas.microsoft.com/office/drawing/2014/chart" uri="{C3380CC4-5D6E-409C-BE32-E72D297353CC}">
                    <c16:uniqueId val="{00000004-DF78-4677-8CD3-75F1FE8A47FD}"/>
                  </c:ext>
                </c:extLst>
              </c15:ser>
            </c15:filteredBarSeries>
          </c:ext>
        </c:extLst>
      </c:barChart>
      <c:catAx>
        <c:axId val="1154523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fr-FR"/>
          </a:p>
        </c:txPr>
        <c:crossAx val="1154521632"/>
        <c:crosses val="autoZero"/>
        <c:auto val="1"/>
        <c:lblAlgn val="ctr"/>
        <c:lblOffset val="100"/>
        <c:noMultiLvlLbl val="0"/>
      </c:catAx>
      <c:valAx>
        <c:axId val="1154521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r>
                  <a:rPr lang="fr-FR"/>
                  <a:t>Relative abundance (%)</a:t>
                </a:r>
              </a:p>
            </c:rich>
          </c:tx>
          <c:overlay val="0"/>
          <c:spPr>
            <a:noFill/>
            <a:ln>
              <a:noFill/>
            </a:ln>
            <a:effectLst/>
          </c:spPr>
          <c:txPr>
            <a:bodyPr rot="-54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fr-FR"/>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fr-FR"/>
          </a:p>
        </c:txPr>
        <c:crossAx val="1154523272"/>
        <c:crosses val="autoZero"/>
        <c:crossBetween val="between"/>
        <c:majorUnit val="0.5"/>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defRPr>
      </a:pPr>
      <a:endParaRPr lang="fr-F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3"/>
          <c:order val="3"/>
          <c:tx>
            <c:strRef>
              <c:f>Sommephylum!$KD$12</c:f>
              <c:strCache>
                <c:ptCount val="1"/>
                <c:pt idx="0">
                  <c:v>Malaria +</c:v>
                </c:pt>
              </c:strCache>
            </c:strRef>
          </c:tx>
          <c:spPr>
            <a:solidFill>
              <a:schemeClr val="accent4"/>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fr-FR"/>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Sommephylum!$JZ$13:$JZ$17</c:f>
              <c:strCache>
                <c:ptCount val="5"/>
                <c:pt idx="0">
                  <c:v>Ascomycota</c:v>
                </c:pt>
                <c:pt idx="1">
                  <c:v>Basidiomycota</c:v>
                </c:pt>
                <c:pt idx="2">
                  <c:v>Unclassified </c:v>
                </c:pt>
                <c:pt idx="3">
                  <c:v>Streptophyta</c:v>
                </c:pt>
                <c:pt idx="4">
                  <c:v>Mucoromycota</c:v>
                </c:pt>
              </c:strCache>
              <c:extLst/>
            </c:strRef>
          </c:cat>
          <c:val>
            <c:numRef>
              <c:f>Sommephylum!$KD$13:$KD$17</c:f>
              <c:numCache>
                <c:formatCode>0.00</c:formatCode>
                <c:ptCount val="5"/>
                <c:pt idx="0">
                  <c:v>14200</c:v>
                </c:pt>
                <c:pt idx="1">
                  <c:v>2680</c:v>
                </c:pt>
                <c:pt idx="2">
                  <c:v>64.5</c:v>
                </c:pt>
                <c:pt idx="3">
                  <c:v>2</c:v>
                </c:pt>
                <c:pt idx="4">
                  <c:v>0.41899999999999998</c:v>
                </c:pt>
              </c:numCache>
              <c:extLst/>
            </c:numRef>
          </c:val>
          <c:extLst>
            <c:ext xmlns:c16="http://schemas.microsoft.com/office/drawing/2014/chart" uri="{C3380CC4-5D6E-409C-BE32-E72D297353CC}">
              <c16:uniqueId val="{00000000-8082-4586-979A-C53F820562AB}"/>
            </c:ext>
          </c:extLst>
        </c:ser>
        <c:ser>
          <c:idx val="4"/>
          <c:order val="4"/>
          <c:tx>
            <c:strRef>
              <c:f>Sommephylum!$KE$12</c:f>
              <c:strCache>
                <c:ptCount val="1"/>
                <c:pt idx="0">
                  <c:v>Malaria -</c:v>
                </c:pt>
              </c:strCache>
            </c:strRef>
          </c:tx>
          <c:spPr>
            <a:solidFill>
              <a:schemeClr val="accent5"/>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fr-FR"/>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Sommephylum!$JZ$13:$JZ$17</c:f>
              <c:strCache>
                <c:ptCount val="5"/>
                <c:pt idx="0">
                  <c:v>Ascomycota</c:v>
                </c:pt>
                <c:pt idx="1">
                  <c:v>Basidiomycota</c:v>
                </c:pt>
                <c:pt idx="2">
                  <c:v>Unclassified </c:v>
                </c:pt>
                <c:pt idx="3">
                  <c:v>Streptophyta</c:v>
                </c:pt>
                <c:pt idx="4">
                  <c:v>Mucoromycota</c:v>
                </c:pt>
              </c:strCache>
              <c:extLst/>
            </c:strRef>
          </c:cat>
          <c:val>
            <c:numRef>
              <c:f>Sommephylum!$KE$13:$KE$17</c:f>
              <c:numCache>
                <c:formatCode>0.00</c:formatCode>
                <c:ptCount val="5"/>
                <c:pt idx="0">
                  <c:v>16400</c:v>
                </c:pt>
                <c:pt idx="1">
                  <c:v>1650</c:v>
                </c:pt>
                <c:pt idx="2">
                  <c:v>110</c:v>
                </c:pt>
                <c:pt idx="3">
                  <c:v>2.71</c:v>
                </c:pt>
                <c:pt idx="4">
                  <c:v>0.84799999999999998</c:v>
                </c:pt>
              </c:numCache>
              <c:extLst/>
            </c:numRef>
          </c:val>
          <c:extLst>
            <c:ext xmlns:c16="http://schemas.microsoft.com/office/drawing/2014/chart" uri="{C3380CC4-5D6E-409C-BE32-E72D297353CC}">
              <c16:uniqueId val="{00000001-8082-4586-979A-C53F820562AB}"/>
            </c:ext>
          </c:extLst>
        </c:ser>
        <c:dLbls>
          <c:dLblPos val="ctr"/>
          <c:showLegendKey val="0"/>
          <c:showVal val="1"/>
          <c:showCatName val="0"/>
          <c:showSerName val="0"/>
          <c:showPercent val="0"/>
          <c:showBubbleSize val="0"/>
        </c:dLbls>
        <c:gapWidth val="150"/>
        <c:overlap val="100"/>
        <c:axId val="793512016"/>
        <c:axId val="700380896"/>
        <c:extLst>
          <c:ext xmlns:c15="http://schemas.microsoft.com/office/drawing/2012/chart" uri="{02D57815-91ED-43cb-92C2-25804820EDAC}">
            <c15:filteredBarSeries>
              <c15:ser>
                <c:idx val="0"/>
                <c:order val="0"/>
                <c:tx>
                  <c:strRef>
                    <c:extLst>
                      <c:ext uri="{02D57815-91ED-43cb-92C2-25804820EDAC}">
                        <c15:formulaRef>
                          <c15:sqref>Sommephylum!$KA$12</c15:sqref>
                        </c15:formulaRef>
                      </c:ext>
                    </c:extLst>
                    <c:strCache>
                      <c:ptCount val="1"/>
                      <c:pt idx="0">
                        <c:v>Av. dissim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fr-FR"/>
                    </a:p>
                  </c:txPr>
                  <c:dLblPos val="ct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Sommephylum!$JZ$13:$JZ$17</c15:sqref>
                        </c15:formulaRef>
                      </c:ext>
                    </c:extLst>
                    <c:strCache>
                      <c:ptCount val="5"/>
                      <c:pt idx="0">
                        <c:v>Ascomycota</c:v>
                      </c:pt>
                      <c:pt idx="1">
                        <c:v>Basidiomycota</c:v>
                      </c:pt>
                      <c:pt idx="2">
                        <c:v>Unclassified </c:v>
                      </c:pt>
                      <c:pt idx="3">
                        <c:v>Streptophyta</c:v>
                      </c:pt>
                      <c:pt idx="4">
                        <c:v>Mucoromycota</c:v>
                      </c:pt>
                    </c:strCache>
                  </c:strRef>
                </c:cat>
                <c:val>
                  <c:numRef>
                    <c:extLst>
                      <c:ext uri="{02D57815-91ED-43cb-92C2-25804820EDAC}">
                        <c15:formulaRef>
                          <c15:sqref>Sommephylum!$KA$13:$KA$17</c15:sqref>
                        </c15:formulaRef>
                      </c:ext>
                    </c:extLst>
                    <c:numCache>
                      <c:formatCode>0.00</c:formatCode>
                      <c:ptCount val="5"/>
                      <c:pt idx="0">
                        <c:v>48.46</c:v>
                      </c:pt>
                      <c:pt idx="1">
                        <c:v>11.09</c:v>
                      </c:pt>
                      <c:pt idx="2">
                        <c:v>0.70420000000000005</c:v>
                      </c:pt>
                      <c:pt idx="3">
                        <c:v>1.1220000000000001E-2</c:v>
                      </c:pt>
                      <c:pt idx="4">
                        <c:v>5.5500000000000002E-3</c:v>
                      </c:pt>
                    </c:numCache>
                  </c:numRef>
                </c:val>
                <c:extLst>
                  <c:ext xmlns:c16="http://schemas.microsoft.com/office/drawing/2014/chart" uri="{C3380CC4-5D6E-409C-BE32-E72D297353CC}">
                    <c16:uniqueId val="{00000002-8082-4586-979A-C53F820562AB}"/>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Sommephylum!$KB$12</c15:sqref>
                        </c15:formulaRef>
                      </c:ext>
                    </c:extLst>
                    <c:strCache>
                      <c:ptCount val="1"/>
                      <c:pt idx="0">
                        <c:v>Contrib.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fr-FR"/>
                    </a:p>
                  </c:txPr>
                  <c:dLblPos val="ct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Sommephylum!$JZ$13:$JZ$17</c15:sqref>
                        </c15:formulaRef>
                      </c:ext>
                    </c:extLst>
                    <c:strCache>
                      <c:ptCount val="5"/>
                      <c:pt idx="0">
                        <c:v>Ascomycota</c:v>
                      </c:pt>
                      <c:pt idx="1">
                        <c:v>Basidiomycota</c:v>
                      </c:pt>
                      <c:pt idx="2">
                        <c:v>Unclassified </c:v>
                      </c:pt>
                      <c:pt idx="3">
                        <c:v>Streptophyta</c:v>
                      </c:pt>
                      <c:pt idx="4">
                        <c:v>Mucoromycota</c:v>
                      </c:pt>
                    </c:strCache>
                  </c:strRef>
                </c:cat>
                <c:val>
                  <c:numRef>
                    <c:extLst xmlns:c15="http://schemas.microsoft.com/office/drawing/2012/chart">
                      <c:ext xmlns:c15="http://schemas.microsoft.com/office/drawing/2012/chart" uri="{02D57815-91ED-43cb-92C2-25804820EDAC}">
                        <c15:formulaRef>
                          <c15:sqref>Sommephylum!$KB$13:$KB$17</c15:sqref>
                        </c15:formulaRef>
                      </c:ext>
                    </c:extLst>
                    <c:numCache>
                      <c:formatCode>0.00</c:formatCode>
                      <c:ptCount val="5"/>
                      <c:pt idx="0">
                        <c:v>80.400000000000006</c:v>
                      </c:pt>
                      <c:pt idx="1">
                        <c:v>18.399999999999999</c:v>
                      </c:pt>
                      <c:pt idx="2">
                        <c:v>1.1679999999999999</c:v>
                      </c:pt>
                      <c:pt idx="3">
                        <c:v>1.8610000000000002E-2</c:v>
                      </c:pt>
                      <c:pt idx="4">
                        <c:v>9.2090000000000002E-3</c:v>
                      </c:pt>
                    </c:numCache>
                  </c:numRef>
                </c:val>
                <c:extLst xmlns:c15="http://schemas.microsoft.com/office/drawing/2012/chart">
                  <c:ext xmlns:c16="http://schemas.microsoft.com/office/drawing/2014/chart" uri="{C3380CC4-5D6E-409C-BE32-E72D297353CC}">
                    <c16:uniqueId val="{00000003-8082-4586-979A-C53F820562AB}"/>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Sommephylum!$KC$12</c15:sqref>
                        </c15:formulaRef>
                      </c:ext>
                    </c:extLst>
                    <c:strCache>
                      <c:ptCount val="1"/>
                      <c:pt idx="0">
                        <c:v>Cumulative %</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fr-FR"/>
                    </a:p>
                  </c:txPr>
                  <c:dLblPos val="ct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Sommephylum!$JZ$13:$JZ$17</c15:sqref>
                        </c15:formulaRef>
                      </c:ext>
                    </c:extLst>
                    <c:strCache>
                      <c:ptCount val="5"/>
                      <c:pt idx="0">
                        <c:v>Ascomycota</c:v>
                      </c:pt>
                      <c:pt idx="1">
                        <c:v>Basidiomycota</c:v>
                      </c:pt>
                      <c:pt idx="2">
                        <c:v>Unclassified </c:v>
                      </c:pt>
                      <c:pt idx="3">
                        <c:v>Streptophyta</c:v>
                      </c:pt>
                      <c:pt idx="4">
                        <c:v>Mucoromycota</c:v>
                      </c:pt>
                    </c:strCache>
                  </c:strRef>
                </c:cat>
                <c:val>
                  <c:numRef>
                    <c:extLst xmlns:c15="http://schemas.microsoft.com/office/drawing/2012/chart">
                      <c:ext xmlns:c15="http://schemas.microsoft.com/office/drawing/2012/chart" uri="{02D57815-91ED-43cb-92C2-25804820EDAC}">
                        <c15:formulaRef>
                          <c15:sqref>Sommephylum!$KC$13:$KC$17</c15:sqref>
                        </c15:formulaRef>
                      </c:ext>
                    </c:extLst>
                    <c:numCache>
                      <c:formatCode>0.00</c:formatCode>
                      <c:ptCount val="5"/>
                      <c:pt idx="0">
                        <c:v>80.400000000000006</c:v>
                      </c:pt>
                      <c:pt idx="1">
                        <c:v>98.8</c:v>
                      </c:pt>
                      <c:pt idx="2">
                        <c:v>99.97</c:v>
                      </c:pt>
                      <c:pt idx="3">
                        <c:v>99.99</c:v>
                      </c:pt>
                      <c:pt idx="4">
                        <c:v>99.99</c:v>
                      </c:pt>
                    </c:numCache>
                  </c:numRef>
                </c:val>
                <c:extLst xmlns:c15="http://schemas.microsoft.com/office/drawing/2012/chart">
                  <c:ext xmlns:c16="http://schemas.microsoft.com/office/drawing/2014/chart" uri="{C3380CC4-5D6E-409C-BE32-E72D297353CC}">
                    <c16:uniqueId val="{00000004-8082-4586-979A-C53F820562AB}"/>
                  </c:ext>
                </c:extLst>
              </c15:ser>
            </c15:filteredBarSeries>
          </c:ext>
        </c:extLst>
      </c:barChart>
      <c:catAx>
        <c:axId val="793512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fr-FR"/>
          </a:p>
        </c:txPr>
        <c:crossAx val="700380896"/>
        <c:crosses val="autoZero"/>
        <c:auto val="1"/>
        <c:lblAlgn val="ctr"/>
        <c:lblOffset val="100"/>
        <c:noMultiLvlLbl val="0"/>
      </c:catAx>
      <c:valAx>
        <c:axId val="7003808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r>
                  <a:rPr lang="fr-FR"/>
                  <a:t>Relative abundance (%)</a:t>
                </a:r>
              </a:p>
            </c:rich>
          </c:tx>
          <c:overlay val="0"/>
          <c:spPr>
            <a:noFill/>
            <a:ln>
              <a:noFill/>
            </a:ln>
            <a:effectLst/>
          </c:spPr>
          <c:txPr>
            <a:bodyPr rot="-54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fr-FR"/>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fr-FR"/>
          </a:p>
        </c:txPr>
        <c:crossAx val="793512016"/>
        <c:crosses val="autoZero"/>
        <c:crossBetween val="between"/>
        <c:majorUnit val="0.5"/>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100">
          <a:solidFill>
            <a:sysClr val="windowText" lastClr="000000"/>
          </a:solidFill>
        </a:defRPr>
      </a:pPr>
      <a:endParaRPr lang="fr-FR"/>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3"/>
          <c:order val="3"/>
          <c:tx>
            <c:strRef>
              <c:f>Sommephylum!$KD$30</c:f>
              <c:strCache>
                <c:ptCount val="1"/>
                <c:pt idx="0">
                  <c:v>Asymptomatic -</c:v>
                </c:pt>
              </c:strCache>
            </c:strRef>
          </c:tx>
          <c:spPr>
            <a:solidFill>
              <a:schemeClr val="accent4"/>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fr-FR"/>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Sommephylum!$JZ$31:$JZ$35</c:f>
              <c:strCache>
                <c:ptCount val="5"/>
                <c:pt idx="0">
                  <c:v>Ascomycota</c:v>
                </c:pt>
                <c:pt idx="1">
                  <c:v>Basidiomycota</c:v>
                </c:pt>
                <c:pt idx="2">
                  <c:v>Unclassified</c:v>
                </c:pt>
                <c:pt idx="3">
                  <c:v>Streptophyta</c:v>
                </c:pt>
                <c:pt idx="4">
                  <c:v>Mucoromycota</c:v>
                </c:pt>
              </c:strCache>
            </c:strRef>
          </c:cat>
          <c:val>
            <c:numRef>
              <c:f>Sommephylum!$KD$31:$KD$35</c:f>
              <c:numCache>
                <c:formatCode>0.00</c:formatCode>
                <c:ptCount val="5"/>
                <c:pt idx="0">
                  <c:v>16000</c:v>
                </c:pt>
                <c:pt idx="1">
                  <c:v>2020</c:v>
                </c:pt>
                <c:pt idx="2">
                  <c:v>70.599999999999994</c:v>
                </c:pt>
                <c:pt idx="3">
                  <c:v>2.59</c:v>
                </c:pt>
                <c:pt idx="4">
                  <c:v>0.88400000000000001</c:v>
                </c:pt>
              </c:numCache>
            </c:numRef>
          </c:val>
          <c:extLst>
            <c:ext xmlns:c16="http://schemas.microsoft.com/office/drawing/2014/chart" uri="{C3380CC4-5D6E-409C-BE32-E72D297353CC}">
              <c16:uniqueId val="{00000000-4D16-46B4-A39C-63087E490F2B}"/>
            </c:ext>
          </c:extLst>
        </c:ser>
        <c:ser>
          <c:idx val="4"/>
          <c:order val="4"/>
          <c:tx>
            <c:strRef>
              <c:f>Sommephylum!$KE$30</c:f>
              <c:strCache>
                <c:ptCount val="1"/>
                <c:pt idx="0">
                  <c:v>Asymptomatic +</c:v>
                </c:pt>
              </c:strCache>
            </c:strRef>
          </c:tx>
          <c:spPr>
            <a:solidFill>
              <a:schemeClr val="accent5"/>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fr-FR"/>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Sommephylum!$JZ$31:$JZ$35</c:f>
              <c:strCache>
                <c:ptCount val="5"/>
                <c:pt idx="0">
                  <c:v>Ascomycota</c:v>
                </c:pt>
                <c:pt idx="1">
                  <c:v>Basidiomycota</c:v>
                </c:pt>
                <c:pt idx="2">
                  <c:v>Unclassified</c:v>
                </c:pt>
                <c:pt idx="3">
                  <c:v>Streptophyta</c:v>
                </c:pt>
                <c:pt idx="4">
                  <c:v>Mucoromycota</c:v>
                </c:pt>
              </c:strCache>
            </c:strRef>
          </c:cat>
          <c:val>
            <c:numRef>
              <c:f>Sommephylum!$KE$31:$KE$35</c:f>
              <c:numCache>
                <c:formatCode>0.00</c:formatCode>
                <c:ptCount val="5"/>
                <c:pt idx="0">
                  <c:v>14500</c:v>
                </c:pt>
                <c:pt idx="1">
                  <c:v>1990</c:v>
                </c:pt>
                <c:pt idx="2">
                  <c:v>155</c:v>
                </c:pt>
                <c:pt idx="3">
                  <c:v>2.12</c:v>
                </c:pt>
                <c:pt idx="4">
                  <c:v>0.19800000000000001</c:v>
                </c:pt>
              </c:numCache>
            </c:numRef>
          </c:val>
          <c:extLst>
            <c:ext xmlns:c16="http://schemas.microsoft.com/office/drawing/2014/chart" uri="{C3380CC4-5D6E-409C-BE32-E72D297353CC}">
              <c16:uniqueId val="{00000001-4D16-46B4-A39C-63087E490F2B}"/>
            </c:ext>
          </c:extLst>
        </c:ser>
        <c:dLbls>
          <c:dLblPos val="ctr"/>
          <c:showLegendKey val="0"/>
          <c:showVal val="1"/>
          <c:showCatName val="0"/>
          <c:showSerName val="0"/>
          <c:showPercent val="0"/>
          <c:showBubbleSize val="0"/>
        </c:dLbls>
        <c:gapWidth val="150"/>
        <c:overlap val="100"/>
        <c:axId val="699285264"/>
        <c:axId val="696822768"/>
        <c:extLst>
          <c:ext xmlns:c15="http://schemas.microsoft.com/office/drawing/2012/chart" uri="{02D57815-91ED-43cb-92C2-25804820EDAC}">
            <c15:filteredBarSeries>
              <c15:ser>
                <c:idx val="0"/>
                <c:order val="0"/>
                <c:tx>
                  <c:strRef>
                    <c:extLst>
                      <c:ext uri="{02D57815-91ED-43cb-92C2-25804820EDAC}">
                        <c15:formulaRef>
                          <c15:sqref>Sommephylum!$KA$30</c15:sqref>
                        </c15:formulaRef>
                      </c:ext>
                    </c:extLst>
                    <c:strCache>
                      <c:ptCount val="1"/>
                      <c:pt idx="0">
                        <c:v>Av. dissim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fr-FR"/>
                    </a:p>
                  </c:txPr>
                  <c:dLblPos val="ct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Sommephylum!$JZ$31:$JZ$35</c15:sqref>
                        </c15:formulaRef>
                      </c:ext>
                    </c:extLst>
                    <c:strCache>
                      <c:ptCount val="5"/>
                      <c:pt idx="0">
                        <c:v>Ascomycota</c:v>
                      </c:pt>
                      <c:pt idx="1">
                        <c:v>Basidiomycota</c:v>
                      </c:pt>
                      <c:pt idx="2">
                        <c:v>Unclassified</c:v>
                      </c:pt>
                      <c:pt idx="3">
                        <c:v>Streptophyta</c:v>
                      </c:pt>
                      <c:pt idx="4">
                        <c:v>Mucoromycota</c:v>
                      </c:pt>
                    </c:strCache>
                  </c:strRef>
                </c:cat>
                <c:val>
                  <c:numRef>
                    <c:extLst>
                      <c:ext uri="{02D57815-91ED-43cb-92C2-25804820EDAC}">
                        <c15:formulaRef>
                          <c15:sqref>Sommephylum!$KA$31:$KA$35</c15:sqref>
                        </c15:formulaRef>
                      </c:ext>
                    </c:extLst>
                    <c:numCache>
                      <c:formatCode>0.00</c:formatCode>
                      <c:ptCount val="5"/>
                      <c:pt idx="0">
                        <c:v>48.35</c:v>
                      </c:pt>
                      <c:pt idx="1">
                        <c:v>10.42</c:v>
                      </c:pt>
                      <c:pt idx="2">
                        <c:v>0.83879999999999999</c:v>
                      </c:pt>
                      <c:pt idx="3">
                        <c:v>1.115E-2</c:v>
                      </c:pt>
                      <c:pt idx="4">
                        <c:v>5.1460000000000004E-3</c:v>
                      </c:pt>
                    </c:numCache>
                  </c:numRef>
                </c:val>
                <c:extLst>
                  <c:ext xmlns:c16="http://schemas.microsoft.com/office/drawing/2014/chart" uri="{C3380CC4-5D6E-409C-BE32-E72D297353CC}">
                    <c16:uniqueId val="{00000002-4D16-46B4-A39C-63087E490F2B}"/>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Sommephylum!$KB$30</c15:sqref>
                        </c15:formulaRef>
                      </c:ext>
                    </c:extLst>
                    <c:strCache>
                      <c:ptCount val="1"/>
                      <c:pt idx="0">
                        <c:v>Contrib.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fr-FR"/>
                    </a:p>
                  </c:txPr>
                  <c:dLblPos val="ct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Sommephylum!$JZ$31:$JZ$35</c15:sqref>
                        </c15:formulaRef>
                      </c:ext>
                    </c:extLst>
                    <c:strCache>
                      <c:ptCount val="5"/>
                      <c:pt idx="0">
                        <c:v>Ascomycota</c:v>
                      </c:pt>
                      <c:pt idx="1">
                        <c:v>Basidiomycota</c:v>
                      </c:pt>
                      <c:pt idx="2">
                        <c:v>Unclassified</c:v>
                      </c:pt>
                      <c:pt idx="3">
                        <c:v>Streptophyta</c:v>
                      </c:pt>
                      <c:pt idx="4">
                        <c:v>Mucoromycota</c:v>
                      </c:pt>
                    </c:strCache>
                  </c:strRef>
                </c:cat>
                <c:val>
                  <c:numRef>
                    <c:extLst xmlns:c15="http://schemas.microsoft.com/office/drawing/2012/chart">
                      <c:ext xmlns:c15="http://schemas.microsoft.com/office/drawing/2012/chart" uri="{02D57815-91ED-43cb-92C2-25804820EDAC}">
                        <c15:formulaRef>
                          <c15:sqref>Sommephylum!$KB$31:$KB$35</c15:sqref>
                        </c15:formulaRef>
                      </c:ext>
                    </c:extLst>
                    <c:numCache>
                      <c:formatCode>0.00</c:formatCode>
                      <c:ptCount val="5"/>
                      <c:pt idx="0">
                        <c:v>81.08</c:v>
                      </c:pt>
                      <c:pt idx="1">
                        <c:v>17.48</c:v>
                      </c:pt>
                      <c:pt idx="2">
                        <c:v>1.407</c:v>
                      </c:pt>
                      <c:pt idx="3">
                        <c:v>1.8689999999999998E-2</c:v>
                      </c:pt>
                      <c:pt idx="4">
                        <c:v>8.6289999999999995E-3</c:v>
                      </c:pt>
                    </c:numCache>
                  </c:numRef>
                </c:val>
                <c:extLst xmlns:c15="http://schemas.microsoft.com/office/drawing/2012/chart">
                  <c:ext xmlns:c16="http://schemas.microsoft.com/office/drawing/2014/chart" uri="{C3380CC4-5D6E-409C-BE32-E72D297353CC}">
                    <c16:uniqueId val="{00000003-4D16-46B4-A39C-63087E490F2B}"/>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Sommephylum!$KC$30</c15:sqref>
                        </c15:formulaRef>
                      </c:ext>
                    </c:extLst>
                    <c:strCache>
                      <c:ptCount val="1"/>
                      <c:pt idx="0">
                        <c:v>Cumulative %</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fr-FR"/>
                    </a:p>
                  </c:txPr>
                  <c:dLblPos val="ct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Sommephylum!$JZ$31:$JZ$35</c15:sqref>
                        </c15:formulaRef>
                      </c:ext>
                    </c:extLst>
                    <c:strCache>
                      <c:ptCount val="5"/>
                      <c:pt idx="0">
                        <c:v>Ascomycota</c:v>
                      </c:pt>
                      <c:pt idx="1">
                        <c:v>Basidiomycota</c:v>
                      </c:pt>
                      <c:pt idx="2">
                        <c:v>Unclassified</c:v>
                      </c:pt>
                      <c:pt idx="3">
                        <c:v>Streptophyta</c:v>
                      </c:pt>
                      <c:pt idx="4">
                        <c:v>Mucoromycota</c:v>
                      </c:pt>
                    </c:strCache>
                  </c:strRef>
                </c:cat>
                <c:val>
                  <c:numRef>
                    <c:extLst xmlns:c15="http://schemas.microsoft.com/office/drawing/2012/chart">
                      <c:ext xmlns:c15="http://schemas.microsoft.com/office/drawing/2012/chart" uri="{02D57815-91ED-43cb-92C2-25804820EDAC}">
                        <c15:formulaRef>
                          <c15:sqref>Sommephylum!$KC$31:$KC$35</c15:sqref>
                        </c15:formulaRef>
                      </c:ext>
                    </c:extLst>
                    <c:numCache>
                      <c:formatCode>0.00</c:formatCode>
                      <c:ptCount val="5"/>
                      <c:pt idx="0">
                        <c:v>81.08</c:v>
                      </c:pt>
                      <c:pt idx="1">
                        <c:v>98.57</c:v>
                      </c:pt>
                      <c:pt idx="2">
                        <c:v>99.97</c:v>
                      </c:pt>
                      <c:pt idx="3">
                        <c:v>99.99</c:v>
                      </c:pt>
                      <c:pt idx="4">
                        <c:v>100</c:v>
                      </c:pt>
                    </c:numCache>
                  </c:numRef>
                </c:val>
                <c:extLst xmlns:c15="http://schemas.microsoft.com/office/drawing/2012/chart">
                  <c:ext xmlns:c16="http://schemas.microsoft.com/office/drawing/2014/chart" uri="{C3380CC4-5D6E-409C-BE32-E72D297353CC}">
                    <c16:uniqueId val="{00000004-4D16-46B4-A39C-63087E490F2B}"/>
                  </c:ext>
                </c:extLst>
              </c15:ser>
            </c15:filteredBarSeries>
          </c:ext>
        </c:extLst>
      </c:barChart>
      <c:catAx>
        <c:axId val="699285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fr-FR"/>
          </a:p>
        </c:txPr>
        <c:crossAx val="696822768"/>
        <c:crosses val="autoZero"/>
        <c:auto val="1"/>
        <c:lblAlgn val="ctr"/>
        <c:lblOffset val="100"/>
        <c:noMultiLvlLbl val="0"/>
      </c:catAx>
      <c:valAx>
        <c:axId val="6968227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r>
                  <a:rPr lang="fr-FR"/>
                  <a:t>Relative abundance (%)</a:t>
                </a:r>
              </a:p>
            </c:rich>
          </c:tx>
          <c:overlay val="0"/>
          <c:spPr>
            <a:noFill/>
            <a:ln>
              <a:noFill/>
            </a:ln>
            <a:effectLst/>
          </c:spPr>
          <c:txPr>
            <a:bodyPr rot="-54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fr-FR"/>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fr-FR"/>
          </a:p>
        </c:txPr>
        <c:crossAx val="699285264"/>
        <c:crosses val="autoZero"/>
        <c:crossBetween val="between"/>
        <c:majorUnit val="0.5"/>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100">
          <a:solidFill>
            <a:sysClr val="windowText" lastClr="000000"/>
          </a:solidFill>
        </a:defRPr>
      </a:pPr>
      <a:endParaRPr lang="fr-F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11</Pages>
  <Words>829</Words>
  <Characters>4564</Characters>
  <Application>Microsoft Office Word</Application>
  <DocSecurity>0</DocSecurity>
  <Lines>38</Lines>
  <Paragraphs>10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Aly Kodio</dc:creator>
  <cp:keywords/>
  <dc:description/>
  <cp:lastModifiedBy>KODIO Aly</cp:lastModifiedBy>
  <cp:revision>3</cp:revision>
  <dcterms:created xsi:type="dcterms:W3CDTF">2021-05-19T13:48:00Z</dcterms:created>
  <dcterms:modified xsi:type="dcterms:W3CDTF">2021-05-19T13:48:00Z</dcterms:modified>
</cp:coreProperties>
</file>