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20E84" w14:textId="77777777" w:rsidR="000A55A3" w:rsidRDefault="000A55A3" w:rsidP="000A55A3">
      <w:pPr>
        <w:bidi w:val="0"/>
        <w:rPr>
          <w:b/>
          <w:sz w:val="28"/>
          <w:szCs w:val="28"/>
        </w:rPr>
      </w:pPr>
    </w:p>
    <w:p w14:paraId="489C2F91" w14:textId="77777777" w:rsidR="000A55A3" w:rsidRDefault="000A55A3" w:rsidP="000A55A3">
      <w:pPr>
        <w:bidi w:val="0"/>
        <w:rPr>
          <w:b/>
          <w:sz w:val="28"/>
          <w:szCs w:val="28"/>
        </w:rPr>
      </w:pPr>
    </w:p>
    <w:p w14:paraId="3E68AA57" w14:textId="35B3AA62" w:rsidR="000A55A3" w:rsidRPr="002B5924" w:rsidRDefault="000A55A3" w:rsidP="000A55A3">
      <w:pPr>
        <w:bidi w:val="0"/>
        <w:rPr>
          <w:b/>
          <w:sz w:val="28"/>
          <w:szCs w:val="28"/>
        </w:rPr>
      </w:pPr>
      <w:r w:rsidRPr="002B5924">
        <w:rPr>
          <w:b/>
          <w:sz w:val="28"/>
          <w:szCs w:val="28"/>
        </w:rPr>
        <w:t>Body mass index and birth weight improve polygenic risk score for type 2 diabetes</w:t>
      </w:r>
    </w:p>
    <w:p w14:paraId="63E75A9D" w14:textId="77777777" w:rsidR="000A55A3" w:rsidRPr="002B5924" w:rsidRDefault="000A55A3" w:rsidP="000A55A3">
      <w:pPr>
        <w:bidi w:val="0"/>
        <w:rPr>
          <w:vertAlign w:val="superscript"/>
        </w:rPr>
      </w:pPr>
      <w:proofErr w:type="spellStart"/>
      <w:r w:rsidRPr="002B5924">
        <w:t>Avigail</w:t>
      </w:r>
      <w:proofErr w:type="spellEnd"/>
      <w:r w:rsidRPr="002B5924">
        <w:t xml:space="preserve"> Moldovan</w:t>
      </w:r>
      <w:r w:rsidRPr="002B5924">
        <w:rPr>
          <w:vertAlign w:val="superscript"/>
        </w:rPr>
        <w:t>1#</w:t>
      </w:r>
      <w:r w:rsidRPr="002B5924">
        <w:t xml:space="preserve">, </w:t>
      </w:r>
      <w:proofErr w:type="spellStart"/>
      <w:r w:rsidRPr="002B5924">
        <w:t>Yedael</w:t>
      </w:r>
      <w:proofErr w:type="spellEnd"/>
      <w:r w:rsidRPr="002B5924">
        <w:t xml:space="preserve"> Y. Waldman</w:t>
      </w:r>
      <w:r w:rsidRPr="002B5924">
        <w:rPr>
          <w:vertAlign w:val="superscript"/>
        </w:rPr>
        <w:t>2#</w:t>
      </w:r>
      <w:r w:rsidRPr="002B5924">
        <w:t>, Nadav Brandes</w:t>
      </w:r>
      <w:r w:rsidRPr="002B5924">
        <w:rPr>
          <w:vertAlign w:val="superscript"/>
        </w:rPr>
        <w:t>3</w:t>
      </w:r>
      <w:r w:rsidRPr="002B5924">
        <w:t xml:space="preserve"> and Michal Linial</w:t>
      </w:r>
      <w:r w:rsidRPr="002B5924">
        <w:rPr>
          <w:vertAlign w:val="superscript"/>
        </w:rPr>
        <w:t>1*</w:t>
      </w:r>
    </w:p>
    <w:p w14:paraId="72880F85" w14:textId="6B9C352E" w:rsidR="000A55A3" w:rsidRPr="002B5924" w:rsidRDefault="000A55A3" w:rsidP="000A55A3">
      <w:pPr>
        <w:bidi w:val="0"/>
      </w:pPr>
      <w:r w:rsidRPr="002B5924">
        <w:rPr>
          <w:vertAlign w:val="superscript"/>
        </w:rPr>
        <w:t>1</w:t>
      </w:r>
      <w:r w:rsidRPr="002B5924">
        <w:t xml:space="preserve"> Department of Biological Chemistry, Institute of Life Sciences, The Hebrew University of Jerusalem, Jerusalem, 91904, Israel</w:t>
      </w:r>
      <w:r>
        <w:t xml:space="preserve">. </w:t>
      </w:r>
      <w:r w:rsidRPr="002B5924">
        <w:rPr>
          <w:vertAlign w:val="superscript"/>
        </w:rPr>
        <w:t>2</w:t>
      </w:r>
      <w:r w:rsidRPr="002B5924">
        <w:t xml:space="preserve"> </w:t>
      </w:r>
      <w:proofErr w:type="spellStart"/>
      <w:r w:rsidRPr="002B5924">
        <w:t>NRGene</w:t>
      </w:r>
      <w:proofErr w:type="spellEnd"/>
      <w:r w:rsidRPr="002B5924">
        <w:t xml:space="preserve"> Ltd., Ness-</w:t>
      </w:r>
      <w:proofErr w:type="spellStart"/>
      <w:r w:rsidRPr="002B5924">
        <w:t>Ziona</w:t>
      </w:r>
      <w:proofErr w:type="spellEnd"/>
      <w:r w:rsidRPr="002B5924">
        <w:t>, Israel</w:t>
      </w:r>
      <w:r>
        <w:t xml:space="preserve">. </w:t>
      </w:r>
      <w:r w:rsidRPr="002B5924">
        <w:rPr>
          <w:vertAlign w:val="superscript"/>
        </w:rPr>
        <w:t>3</w:t>
      </w:r>
      <w:r w:rsidRPr="002B5924">
        <w:t xml:space="preserve"> The Rachel and Selim Benin School of Computer Science and Engineering, The Hebrew University of Jerusalem, Jerusalem, 91904, Israel</w:t>
      </w:r>
    </w:p>
    <w:p w14:paraId="350A14D7" w14:textId="2828E1F5" w:rsidR="000A55A3" w:rsidRPr="000A55A3" w:rsidRDefault="000A55A3" w:rsidP="000A55A3">
      <w:pPr>
        <w:bidi w:val="0"/>
        <w:rPr>
          <w:i/>
          <w:iCs/>
        </w:rPr>
      </w:pPr>
      <w:r w:rsidRPr="000A55A3">
        <w:rPr>
          <w:i/>
          <w:iCs/>
          <w:vertAlign w:val="superscript"/>
        </w:rPr>
        <w:t>#</w:t>
      </w:r>
      <w:r w:rsidRPr="000A55A3">
        <w:rPr>
          <w:i/>
          <w:iCs/>
        </w:rPr>
        <w:t xml:space="preserve"> These authors contributed equally to this work</w:t>
      </w:r>
      <w:r w:rsidRPr="000A55A3">
        <w:rPr>
          <w:i/>
          <w:iCs/>
        </w:rPr>
        <w:t xml:space="preserve">. </w:t>
      </w:r>
      <w:r w:rsidRPr="000A55A3">
        <w:rPr>
          <w:i/>
          <w:iCs/>
          <w:vertAlign w:val="superscript"/>
        </w:rPr>
        <w:t>*</w:t>
      </w:r>
      <w:r w:rsidRPr="000A55A3">
        <w:rPr>
          <w:i/>
          <w:iCs/>
        </w:rPr>
        <w:t xml:space="preserve"> Corresponding author: </w:t>
      </w:r>
      <w:hyperlink r:id="rId4">
        <w:r w:rsidRPr="000A55A3">
          <w:rPr>
            <w:i/>
            <w:iCs/>
            <w:color w:val="1155CC"/>
            <w:u w:val="single"/>
          </w:rPr>
          <w:t>michall@mail.huji.ac.il</w:t>
        </w:r>
      </w:hyperlink>
    </w:p>
    <w:p w14:paraId="462D9D7D" w14:textId="77777777" w:rsidR="000A55A3" w:rsidRPr="000A55A3" w:rsidRDefault="000A55A3" w:rsidP="000A55A3">
      <w:pPr>
        <w:jc w:val="right"/>
        <w:rPr>
          <w:b/>
          <w:rtl/>
        </w:rPr>
      </w:pPr>
    </w:p>
    <w:p w14:paraId="2AD9AFD5" w14:textId="7C3B5644" w:rsidR="000A55A3" w:rsidRDefault="000A55A3" w:rsidP="000A55A3">
      <w:pPr>
        <w:jc w:val="center"/>
        <w:rPr>
          <w:b/>
          <w:sz w:val="40"/>
          <w:szCs w:val="40"/>
        </w:rPr>
      </w:pPr>
      <w:r w:rsidRPr="000A55A3">
        <w:rPr>
          <w:b/>
          <w:sz w:val="40"/>
          <w:szCs w:val="40"/>
        </w:rPr>
        <w:t>Supplementary Figures</w:t>
      </w:r>
    </w:p>
    <w:p w14:paraId="0B697162" w14:textId="5B94A366" w:rsidR="000A55A3" w:rsidRPr="000A55A3" w:rsidRDefault="000A55A3" w:rsidP="000A55A3">
      <w:pPr>
        <w:jc w:val="center"/>
        <w:rPr>
          <w:b/>
          <w:sz w:val="40"/>
          <w:szCs w:val="40"/>
        </w:rPr>
      </w:pPr>
      <w:r>
        <w:rPr>
          <w:b/>
          <w:sz w:val="40"/>
          <w:szCs w:val="40"/>
        </w:rPr>
        <w:t>S1, S2</w:t>
      </w:r>
      <w:bookmarkStart w:id="0" w:name="_GoBack"/>
      <w:bookmarkEnd w:id="0"/>
    </w:p>
    <w:p w14:paraId="0CF71674" w14:textId="77777777" w:rsidR="000A55A3" w:rsidRDefault="000A55A3" w:rsidP="000A55A3">
      <w:pPr>
        <w:bidi w:val="0"/>
        <w:rPr>
          <w:b/>
        </w:rPr>
      </w:pPr>
    </w:p>
    <w:p w14:paraId="7E25170F" w14:textId="77777777" w:rsidR="000A55A3" w:rsidRDefault="000A55A3" w:rsidP="000A55A3">
      <w:pPr>
        <w:bidi w:val="0"/>
        <w:jc w:val="center"/>
        <w:rPr>
          <w:b/>
        </w:rPr>
      </w:pPr>
      <w:r w:rsidRPr="006A49B5">
        <w:rPr>
          <w:b/>
          <w:noProof/>
        </w:rPr>
        <w:lastRenderedPageBreak/>
        <w:drawing>
          <wp:inline distT="0" distB="0" distL="0" distR="0" wp14:anchorId="210748FB" wp14:editId="2F8798CE">
            <wp:extent cx="5274310" cy="5274310"/>
            <wp:effectExtent l="0" t="0" r="254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6FF2A01E" w14:textId="77777777" w:rsidR="000A55A3" w:rsidRDefault="000A55A3" w:rsidP="000A55A3">
      <w:pPr>
        <w:bidi w:val="0"/>
        <w:jc w:val="both"/>
        <w:rPr>
          <w:b/>
          <w:sz w:val="20"/>
          <w:szCs w:val="20"/>
        </w:rPr>
      </w:pPr>
    </w:p>
    <w:p w14:paraId="49F5A0E6" w14:textId="77777777" w:rsidR="000A55A3" w:rsidRDefault="000A55A3" w:rsidP="000A55A3">
      <w:pPr>
        <w:bidi w:val="0"/>
        <w:jc w:val="both"/>
        <w:rPr>
          <w:bCs/>
          <w:sz w:val="20"/>
          <w:szCs w:val="20"/>
        </w:rPr>
      </w:pPr>
      <w:r w:rsidRPr="006A49B5">
        <w:rPr>
          <w:b/>
          <w:sz w:val="20"/>
          <w:szCs w:val="20"/>
        </w:rPr>
        <w:t xml:space="preserve">Supplementary Figure </w:t>
      </w:r>
      <w:r>
        <w:rPr>
          <w:b/>
          <w:sz w:val="20"/>
          <w:szCs w:val="20"/>
        </w:rPr>
        <w:t>S1</w:t>
      </w:r>
      <w:r w:rsidRPr="006A49B5">
        <w:rPr>
          <w:b/>
          <w:sz w:val="20"/>
          <w:szCs w:val="20"/>
        </w:rPr>
        <w:t>.</w:t>
      </w:r>
      <w:r w:rsidRPr="006A49B5">
        <w:rPr>
          <w:bCs/>
          <w:sz w:val="20"/>
          <w:szCs w:val="20"/>
        </w:rPr>
        <w:t xml:space="preserve"> Comparison of AUC values in the test sets for the different measures. In each analysis (BMI, birth weight and comparative body size at age ten), we compared the AUC values of the different measures across 1000 random test sets. Results are shown for the analysis of PRS with (</w:t>
      </w:r>
      <w:r w:rsidRPr="006A49B5">
        <w:rPr>
          <w:b/>
          <w:sz w:val="20"/>
          <w:szCs w:val="20"/>
        </w:rPr>
        <w:t>A</w:t>
      </w:r>
      <w:r w:rsidRPr="006A49B5">
        <w:rPr>
          <w:bCs/>
          <w:sz w:val="20"/>
          <w:szCs w:val="20"/>
        </w:rPr>
        <w:t>) BMI, (</w:t>
      </w:r>
      <w:r w:rsidRPr="006A49B5">
        <w:rPr>
          <w:b/>
          <w:sz w:val="20"/>
          <w:szCs w:val="20"/>
        </w:rPr>
        <w:t>B</w:t>
      </w:r>
      <w:r w:rsidRPr="006A49B5">
        <w:rPr>
          <w:bCs/>
          <w:sz w:val="20"/>
          <w:szCs w:val="20"/>
        </w:rPr>
        <w:t>) birth weight and (</w:t>
      </w:r>
      <w:r w:rsidRPr="006A49B5">
        <w:rPr>
          <w:b/>
          <w:sz w:val="20"/>
          <w:szCs w:val="20"/>
        </w:rPr>
        <w:t>C</w:t>
      </w:r>
      <w:r w:rsidRPr="006A49B5">
        <w:rPr>
          <w:bCs/>
          <w:sz w:val="20"/>
          <w:szCs w:val="20"/>
        </w:rPr>
        <w:t>) comparative body size at age ten. In all cases, the AUC of the combined measure (CRS) achieved significantly higher values as compared to the AUC of all other measures (</w:t>
      </w:r>
      <w:r w:rsidRPr="006A49B5">
        <w:rPr>
          <w:sz w:val="20"/>
          <w:szCs w:val="20"/>
        </w:rPr>
        <w:t>Wilcoxon signed rank test P-value&lt;10</w:t>
      </w:r>
      <w:r w:rsidRPr="006A49B5">
        <w:rPr>
          <w:sz w:val="20"/>
          <w:szCs w:val="20"/>
          <w:vertAlign w:val="superscript"/>
        </w:rPr>
        <w:t>-16</w:t>
      </w:r>
      <w:r w:rsidRPr="006A49B5">
        <w:rPr>
          <w:bCs/>
          <w:sz w:val="20"/>
          <w:szCs w:val="20"/>
        </w:rPr>
        <w:t>).</w:t>
      </w:r>
    </w:p>
    <w:p w14:paraId="6F2A7716" w14:textId="77777777" w:rsidR="000A55A3" w:rsidRDefault="000A55A3" w:rsidP="000A55A3">
      <w:pPr>
        <w:jc w:val="both"/>
        <w:rPr>
          <w:bCs/>
          <w:rtl/>
        </w:rPr>
      </w:pPr>
      <w:r>
        <w:rPr>
          <w:bCs/>
        </w:rPr>
        <w:br w:type="page"/>
      </w:r>
    </w:p>
    <w:p w14:paraId="4B277789" w14:textId="77777777" w:rsidR="000A55A3" w:rsidRPr="007913D9" w:rsidRDefault="000A55A3" w:rsidP="000A55A3">
      <w:pPr>
        <w:bidi w:val="0"/>
        <w:jc w:val="center"/>
        <w:rPr>
          <w:b/>
          <w:highlight w:val="yellow"/>
        </w:rPr>
      </w:pPr>
      <w:r w:rsidRPr="007913D9">
        <w:rPr>
          <w:b/>
          <w:noProof/>
          <w:highlight w:val="yellow"/>
        </w:rPr>
        <w:lastRenderedPageBreak/>
        <w:drawing>
          <wp:inline distT="0" distB="0" distL="0" distR="0" wp14:anchorId="7FFDE595" wp14:editId="4A5D81A9">
            <wp:extent cx="5274310" cy="375793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757930"/>
                    </a:xfrm>
                    <a:prstGeom prst="rect">
                      <a:avLst/>
                    </a:prstGeom>
                    <a:noFill/>
                    <a:ln>
                      <a:noFill/>
                    </a:ln>
                  </pic:spPr>
                </pic:pic>
              </a:graphicData>
            </a:graphic>
          </wp:inline>
        </w:drawing>
      </w:r>
    </w:p>
    <w:p w14:paraId="44219604" w14:textId="77777777" w:rsidR="000A55A3" w:rsidRDefault="000A55A3" w:rsidP="000A55A3">
      <w:pPr>
        <w:bidi w:val="0"/>
        <w:spacing w:line="240" w:lineRule="auto"/>
        <w:rPr>
          <w:b/>
          <w:sz w:val="20"/>
          <w:szCs w:val="20"/>
        </w:rPr>
      </w:pPr>
    </w:p>
    <w:p w14:paraId="5784E9B9" w14:textId="77777777" w:rsidR="000A55A3" w:rsidRPr="00B6485E" w:rsidRDefault="000A55A3" w:rsidP="000A55A3">
      <w:pPr>
        <w:bidi w:val="0"/>
        <w:spacing w:line="240" w:lineRule="auto"/>
        <w:jc w:val="both"/>
        <w:rPr>
          <w:sz w:val="20"/>
          <w:szCs w:val="20"/>
        </w:rPr>
      </w:pPr>
      <w:r w:rsidRPr="00E914B4">
        <w:rPr>
          <w:b/>
          <w:sz w:val="20"/>
          <w:szCs w:val="20"/>
        </w:rPr>
        <w:t>Supplementary Figure S</w:t>
      </w:r>
      <w:r>
        <w:rPr>
          <w:b/>
          <w:sz w:val="20"/>
          <w:szCs w:val="20"/>
        </w:rPr>
        <w:t>2</w:t>
      </w:r>
      <w:r w:rsidRPr="00E914B4">
        <w:rPr>
          <w:sz w:val="20"/>
          <w:szCs w:val="20"/>
        </w:rPr>
        <w:t>. Odds ratio (OR) for T2D, based on birth weight, PRS, CRS or age percentiles. (</w:t>
      </w:r>
      <w:r w:rsidRPr="00E914B4">
        <w:rPr>
          <w:b/>
          <w:bCs/>
          <w:sz w:val="20"/>
          <w:szCs w:val="20"/>
        </w:rPr>
        <w:t>A</w:t>
      </w:r>
      <w:r w:rsidRPr="00E914B4">
        <w:rPr>
          <w:sz w:val="20"/>
          <w:szCs w:val="20"/>
        </w:rPr>
        <w:t>) OR for all percentiles and all measures for females and males. Vertical lines correspond to the standard deviation of the average OR across 1000 random splits of the dataset. The horizontal line represents a neutral OR of 1. OR values for females and males in specific percentiles are also presented: (</w:t>
      </w:r>
      <w:r w:rsidRPr="00E914B4">
        <w:rPr>
          <w:b/>
          <w:bCs/>
          <w:sz w:val="20"/>
          <w:szCs w:val="20"/>
        </w:rPr>
        <w:t>B</w:t>
      </w:r>
      <w:r w:rsidRPr="00E914B4">
        <w:rPr>
          <w:sz w:val="20"/>
          <w:szCs w:val="20"/>
        </w:rPr>
        <w:t>) 90</w:t>
      </w:r>
      <w:r w:rsidRPr="00E914B4">
        <w:rPr>
          <w:sz w:val="20"/>
          <w:szCs w:val="20"/>
          <w:vertAlign w:val="superscript"/>
        </w:rPr>
        <w:t>th</w:t>
      </w:r>
      <w:r w:rsidRPr="00E914B4">
        <w:rPr>
          <w:sz w:val="20"/>
          <w:szCs w:val="20"/>
        </w:rPr>
        <w:t>, (</w:t>
      </w:r>
      <w:r w:rsidRPr="00E914B4">
        <w:rPr>
          <w:b/>
          <w:bCs/>
          <w:sz w:val="20"/>
          <w:szCs w:val="20"/>
        </w:rPr>
        <w:t>C</w:t>
      </w:r>
      <w:r w:rsidRPr="00E914B4">
        <w:rPr>
          <w:sz w:val="20"/>
          <w:szCs w:val="20"/>
        </w:rPr>
        <w:t>) 95</w:t>
      </w:r>
      <w:r w:rsidRPr="00E914B4">
        <w:rPr>
          <w:sz w:val="20"/>
          <w:szCs w:val="20"/>
          <w:vertAlign w:val="superscript"/>
        </w:rPr>
        <w:t>th</w:t>
      </w:r>
      <w:r w:rsidRPr="00E914B4">
        <w:rPr>
          <w:sz w:val="20"/>
          <w:szCs w:val="20"/>
        </w:rPr>
        <w:t>, (</w:t>
      </w:r>
      <w:r w:rsidRPr="00E914B4">
        <w:rPr>
          <w:b/>
          <w:bCs/>
          <w:sz w:val="20"/>
          <w:szCs w:val="20"/>
        </w:rPr>
        <w:t>D</w:t>
      </w:r>
      <w:r w:rsidRPr="00E914B4">
        <w:rPr>
          <w:sz w:val="20"/>
          <w:szCs w:val="20"/>
        </w:rPr>
        <w:t>) 97</w:t>
      </w:r>
      <w:r w:rsidRPr="00E914B4">
        <w:rPr>
          <w:sz w:val="20"/>
          <w:szCs w:val="20"/>
          <w:vertAlign w:val="superscript"/>
        </w:rPr>
        <w:t>th</w:t>
      </w:r>
      <w:r w:rsidRPr="00E914B4">
        <w:rPr>
          <w:sz w:val="20"/>
          <w:szCs w:val="20"/>
        </w:rPr>
        <w:t xml:space="preserve"> and (</w:t>
      </w:r>
      <w:r>
        <w:rPr>
          <w:b/>
          <w:bCs/>
          <w:sz w:val="20"/>
          <w:szCs w:val="20"/>
        </w:rPr>
        <w:t>E</w:t>
      </w:r>
      <w:r w:rsidRPr="00E914B4">
        <w:rPr>
          <w:sz w:val="20"/>
          <w:szCs w:val="20"/>
        </w:rPr>
        <w:t>) 99</w:t>
      </w:r>
      <w:r w:rsidRPr="00E914B4">
        <w:rPr>
          <w:sz w:val="20"/>
          <w:szCs w:val="20"/>
          <w:vertAlign w:val="superscript"/>
        </w:rPr>
        <w:t>th</w:t>
      </w:r>
      <w:r w:rsidRPr="00E914B4">
        <w:rPr>
          <w:sz w:val="20"/>
          <w:szCs w:val="20"/>
        </w:rPr>
        <w:t>.</w:t>
      </w:r>
    </w:p>
    <w:p w14:paraId="14DE14E1" w14:textId="77777777" w:rsidR="00F30302" w:rsidRPr="000A55A3" w:rsidRDefault="00F30302"/>
    <w:sectPr w:rsidR="00F30302" w:rsidRPr="000A55A3" w:rsidSect="00771A68">
      <w:pgSz w:w="11900" w:h="16840"/>
      <w:pgMar w:top="-1467" w:right="1474" w:bottom="1955" w:left="1474" w:header="1559" w:footer="15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A3"/>
    <w:rsid w:val="000111EA"/>
    <w:rsid w:val="0002026D"/>
    <w:rsid w:val="000344B8"/>
    <w:rsid w:val="000428EB"/>
    <w:rsid w:val="00050B04"/>
    <w:rsid w:val="0005353B"/>
    <w:rsid w:val="000A55A3"/>
    <w:rsid w:val="000C1FC8"/>
    <w:rsid w:val="000D6070"/>
    <w:rsid w:val="00100B04"/>
    <w:rsid w:val="001067BC"/>
    <w:rsid w:val="001108C9"/>
    <w:rsid w:val="001109C1"/>
    <w:rsid w:val="00112AD8"/>
    <w:rsid w:val="00162AE9"/>
    <w:rsid w:val="00176F1F"/>
    <w:rsid w:val="001A0C50"/>
    <w:rsid w:val="001B34D9"/>
    <w:rsid w:val="001B4660"/>
    <w:rsid w:val="001C26C9"/>
    <w:rsid w:val="001C4F4B"/>
    <w:rsid w:val="001D56E4"/>
    <w:rsid w:val="001E7A28"/>
    <w:rsid w:val="002069DF"/>
    <w:rsid w:val="00217AD5"/>
    <w:rsid w:val="002214F3"/>
    <w:rsid w:val="00236962"/>
    <w:rsid w:val="002376F3"/>
    <w:rsid w:val="00240FBD"/>
    <w:rsid w:val="002629A1"/>
    <w:rsid w:val="00283C04"/>
    <w:rsid w:val="00292369"/>
    <w:rsid w:val="00296EF2"/>
    <w:rsid w:val="002D01A3"/>
    <w:rsid w:val="0031187D"/>
    <w:rsid w:val="00323E54"/>
    <w:rsid w:val="003360E4"/>
    <w:rsid w:val="003407FC"/>
    <w:rsid w:val="00346F73"/>
    <w:rsid w:val="0035791E"/>
    <w:rsid w:val="00365E23"/>
    <w:rsid w:val="00384D38"/>
    <w:rsid w:val="003A1781"/>
    <w:rsid w:val="003A6C20"/>
    <w:rsid w:val="003B591F"/>
    <w:rsid w:val="003D1596"/>
    <w:rsid w:val="003F0D71"/>
    <w:rsid w:val="003F7F93"/>
    <w:rsid w:val="00404FC7"/>
    <w:rsid w:val="00423566"/>
    <w:rsid w:val="004266BB"/>
    <w:rsid w:val="0043219D"/>
    <w:rsid w:val="00433CAE"/>
    <w:rsid w:val="00436C3C"/>
    <w:rsid w:val="00445D55"/>
    <w:rsid w:val="00452679"/>
    <w:rsid w:val="00453257"/>
    <w:rsid w:val="004678E0"/>
    <w:rsid w:val="00480B4C"/>
    <w:rsid w:val="0048220D"/>
    <w:rsid w:val="0048539F"/>
    <w:rsid w:val="004926EE"/>
    <w:rsid w:val="004B0241"/>
    <w:rsid w:val="004D602E"/>
    <w:rsid w:val="004F0382"/>
    <w:rsid w:val="004F3966"/>
    <w:rsid w:val="00501BF9"/>
    <w:rsid w:val="00541BC1"/>
    <w:rsid w:val="0055669F"/>
    <w:rsid w:val="0058661B"/>
    <w:rsid w:val="005B06CE"/>
    <w:rsid w:val="005B7EB0"/>
    <w:rsid w:val="005C0538"/>
    <w:rsid w:val="005C4227"/>
    <w:rsid w:val="005D7C3C"/>
    <w:rsid w:val="005F76D6"/>
    <w:rsid w:val="006A3D84"/>
    <w:rsid w:val="006B481E"/>
    <w:rsid w:val="006D14A3"/>
    <w:rsid w:val="006D2FB6"/>
    <w:rsid w:val="006E341D"/>
    <w:rsid w:val="006E6E41"/>
    <w:rsid w:val="007007F7"/>
    <w:rsid w:val="00711CE1"/>
    <w:rsid w:val="00716443"/>
    <w:rsid w:val="00717852"/>
    <w:rsid w:val="00763CEC"/>
    <w:rsid w:val="007666FC"/>
    <w:rsid w:val="00771A68"/>
    <w:rsid w:val="00777F51"/>
    <w:rsid w:val="007A4B1B"/>
    <w:rsid w:val="007A5EA5"/>
    <w:rsid w:val="007C37EB"/>
    <w:rsid w:val="007D0198"/>
    <w:rsid w:val="007F026C"/>
    <w:rsid w:val="007F251E"/>
    <w:rsid w:val="007F2E1A"/>
    <w:rsid w:val="007F46F2"/>
    <w:rsid w:val="00826455"/>
    <w:rsid w:val="008513CD"/>
    <w:rsid w:val="00862642"/>
    <w:rsid w:val="00886890"/>
    <w:rsid w:val="008A309C"/>
    <w:rsid w:val="008B282B"/>
    <w:rsid w:val="008B59B5"/>
    <w:rsid w:val="008C7AC7"/>
    <w:rsid w:val="008D5FC2"/>
    <w:rsid w:val="00905CD0"/>
    <w:rsid w:val="009134F7"/>
    <w:rsid w:val="009224F4"/>
    <w:rsid w:val="009313DD"/>
    <w:rsid w:val="00940121"/>
    <w:rsid w:val="00973CBC"/>
    <w:rsid w:val="009A5BB0"/>
    <w:rsid w:val="009C00C6"/>
    <w:rsid w:val="00A05E5C"/>
    <w:rsid w:val="00A1161A"/>
    <w:rsid w:val="00A13FBE"/>
    <w:rsid w:val="00A209F6"/>
    <w:rsid w:val="00A24FB4"/>
    <w:rsid w:val="00A264AC"/>
    <w:rsid w:val="00A36370"/>
    <w:rsid w:val="00A541CC"/>
    <w:rsid w:val="00A6459C"/>
    <w:rsid w:val="00A65990"/>
    <w:rsid w:val="00AA2E64"/>
    <w:rsid w:val="00AE6958"/>
    <w:rsid w:val="00AF5AE5"/>
    <w:rsid w:val="00B1128B"/>
    <w:rsid w:val="00B345DC"/>
    <w:rsid w:val="00B40130"/>
    <w:rsid w:val="00B54FB5"/>
    <w:rsid w:val="00B612FB"/>
    <w:rsid w:val="00B96284"/>
    <w:rsid w:val="00B976CF"/>
    <w:rsid w:val="00BA24CF"/>
    <w:rsid w:val="00BA73C4"/>
    <w:rsid w:val="00BB5424"/>
    <w:rsid w:val="00BB76B3"/>
    <w:rsid w:val="00BC3377"/>
    <w:rsid w:val="00BF4CFF"/>
    <w:rsid w:val="00C30B5F"/>
    <w:rsid w:val="00C6250B"/>
    <w:rsid w:val="00C64331"/>
    <w:rsid w:val="00C851AD"/>
    <w:rsid w:val="00CB5A17"/>
    <w:rsid w:val="00CC1534"/>
    <w:rsid w:val="00CF1766"/>
    <w:rsid w:val="00D0301D"/>
    <w:rsid w:val="00D35778"/>
    <w:rsid w:val="00D61D65"/>
    <w:rsid w:val="00D66B84"/>
    <w:rsid w:val="00D903E3"/>
    <w:rsid w:val="00D95339"/>
    <w:rsid w:val="00DA25C6"/>
    <w:rsid w:val="00DB037C"/>
    <w:rsid w:val="00DB4EB2"/>
    <w:rsid w:val="00DE4D32"/>
    <w:rsid w:val="00DF2B47"/>
    <w:rsid w:val="00DF6695"/>
    <w:rsid w:val="00E028ED"/>
    <w:rsid w:val="00E413A3"/>
    <w:rsid w:val="00E45E4A"/>
    <w:rsid w:val="00E92A46"/>
    <w:rsid w:val="00EC6EEF"/>
    <w:rsid w:val="00EF4424"/>
    <w:rsid w:val="00F1493C"/>
    <w:rsid w:val="00F30302"/>
    <w:rsid w:val="00F44111"/>
    <w:rsid w:val="00F47577"/>
    <w:rsid w:val="00FB37A6"/>
    <w:rsid w:val="00FB53FD"/>
    <w:rsid w:val="00FD4C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5E97522"/>
  <w15:chartTrackingRefBased/>
  <w15:docId w15:val="{47553DC2-C899-264A-8E1C-D401A126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5A3"/>
    <w:pPr>
      <w:bidi/>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hyperlink" Target="mailto:michall@mail.huji.a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2021-05-16T08:21:00Z</dcterms:created>
  <dcterms:modified xsi:type="dcterms:W3CDTF">2021-05-16T08:24:00Z</dcterms:modified>
</cp:coreProperties>
</file>