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7DE53" w14:textId="77777777" w:rsidR="002E1DED" w:rsidRDefault="002B58EE" w:rsidP="00097192">
      <w:pPr>
        <w:spacing w:after="0"/>
        <w:jc w:val="center"/>
        <w:rPr>
          <w:rFonts w:ascii="Palatino Linotype" w:hAnsi="Palatino Linotype" w:cs="Times New Roman"/>
          <w:color w:val="000000" w:themeColor="text1"/>
          <w:szCs w:val="28"/>
          <w:lang w:val="en-US"/>
        </w:rPr>
      </w:pPr>
      <w:r w:rsidRPr="002E1DED">
        <w:rPr>
          <w:rFonts w:ascii="Palatino Linotype" w:hAnsi="Palatino Linotype" w:cs="Times New Roman"/>
          <w:color w:val="000000" w:themeColor="text1"/>
          <w:szCs w:val="28"/>
          <w:lang w:val="en-US"/>
        </w:rPr>
        <w:t>Supplementary Materials</w:t>
      </w:r>
      <w:r w:rsidR="00662A77" w:rsidRPr="002E1DED">
        <w:rPr>
          <w:rFonts w:ascii="Palatino Linotype" w:hAnsi="Palatino Linotype" w:cs="Times New Roman"/>
          <w:color w:val="000000" w:themeColor="text1"/>
          <w:szCs w:val="28"/>
          <w:lang w:val="en-US"/>
        </w:rPr>
        <w:t xml:space="preserve"> </w:t>
      </w:r>
      <w:r w:rsidR="00097192" w:rsidRPr="002E1DED">
        <w:rPr>
          <w:rFonts w:ascii="Palatino Linotype" w:hAnsi="Palatino Linotype" w:cs="Times New Roman"/>
          <w:color w:val="000000" w:themeColor="text1"/>
          <w:szCs w:val="28"/>
          <w:lang w:val="en-US"/>
        </w:rPr>
        <w:br/>
      </w:r>
      <w:r w:rsidR="00662A77" w:rsidRPr="002E1DED">
        <w:rPr>
          <w:rFonts w:ascii="Palatino Linotype" w:hAnsi="Palatino Linotype" w:cs="Times New Roman"/>
          <w:color w:val="000000" w:themeColor="text1"/>
          <w:szCs w:val="28"/>
          <w:lang w:val="en-US"/>
        </w:rPr>
        <w:t>f</w:t>
      </w:r>
      <w:r w:rsidR="00097192" w:rsidRPr="002E1DED">
        <w:rPr>
          <w:rFonts w:ascii="Palatino Linotype" w:hAnsi="Palatino Linotype" w:cs="Times New Roman"/>
          <w:color w:val="000000" w:themeColor="text1"/>
          <w:szCs w:val="28"/>
          <w:lang w:val="en-US"/>
        </w:rPr>
        <w:t>or</w:t>
      </w:r>
      <w:r w:rsidR="00662A77" w:rsidRPr="002E1DED">
        <w:rPr>
          <w:rFonts w:ascii="Palatino Linotype" w:hAnsi="Palatino Linotype" w:cs="Times New Roman"/>
          <w:color w:val="000000" w:themeColor="text1"/>
          <w:szCs w:val="28"/>
          <w:lang w:val="en-US"/>
        </w:rPr>
        <w:t xml:space="preserve"> </w:t>
      </w:r>
    </w:p>
    <w:p w14:paraId="74302395" w14:textId="1882CDA4" w:rsidR="002B58EE" w:rsidRPr="002E1DED" w:rsidRDefault="00097192" w:rsidP="00097192">
      <w:pPr>
        <w:spacing w:after="0"/>
        <w:jc w:val="center"/>
        <w:rPr>
          <w:rFonts w:ascii="Palatino Linotype" w:hAnsi="Palatino Linotype"/>
          <w:color w:val="000000" w:themeColor="text1"/>
          <w:sz w:val="24"/>
          <w:szCs w:val="24"/>
          <w:lang w:val="en-US"/>
        </w:rPr>
      </w:pPr>
      <w:r w:rsidRPr="002E1DED">
        <w:rPr>
          <w:rFonts w:ascii="Palatino Linotype" w:hAnsi="Palatino Linotype" w:cs="Times New Roman"/>
          <w:color w:val="000000" w:themeColor="text1"/>
          <w:szCs w:val="28"/>
          <w:lang w:val="en-US"/>
        </w:rPr>
        <w:br/>
      </w:r>
      <w:r w:rsidRPr="002E1DED">
        <w:rPr>
          <w:rFonts w:ascii="Palatino Linotype" w:hAnsi="Palatino Linotype" w:cs="Times New Roman"/>
          <w:b/>
          <w:bCs/>
          <w:color w:val="000000" w:themeColor="text1"/>
          <w:sz w:val="40"/>
          <w:szCs w:val="40"/>
          <w:lang w:val="en-US"/>
        </w:rPr>
        <w:t xml:space="preserve">Antioxidant Potential of Aqueous Dispersions </w:t>
      </w:r>
      <w:r w:rsidRPr="002E1DED">
        <w:rPr>
          <w:rFonts w:ascii="Palatino Linotype" w:hAnsi="Palatino Linotype" w:cs="Times New Roman"/>
          <w:b/>
          <w:bCs/>
          <w:color w:val="000000" w:themeColor="text1"/>
          <w:sz w:val="40"/>
          <w:szCs w:val="40"/>
          <w:lang w:val="en-US"/>
        </w:rPr>
        <w:br/>
        <w:t>of Fullerenes C</w:t>
      </w:r>
      <w:r w:rsidRPr="002E1DED">
        <w:rPr>
          <w:rFonts w:ascii="Palatino Linotype" w:hAnsi="Palatino Linotype" w:cs="Times New Roman"/>
          <w:b/>
          <w:bCs/>
          <w:color w:val="000000" w:themeColor="text1"/>
          <w:sz w:val="40"/>
          <w:szCs w:val="40"/>
          <w:vertAlign w:val="subscript"/>
          <w:lang w:val="en-US"/>
        </w:rPr>
        <w:t>60</w:t>
      </w:r>
      <w:r w:rsidRPr="002E1DED">
        <w:rPr>
          <w:rFonts w:ascii="Palatino Linotype" w:hAnsi="Palatino Linotype" w:cs="Times New Roman"/>
          <w:b/>
          <w:bCs/>
          <w:color w:val="000000" w:themeColor="text1"/>
          <w:sz w:val="40"/>
          <w:szCs w:val="40"/>
          <w:lang w:val="en-US"/>
        </w:rPr>
        <w:t>, C</w:t>
      </w:r>
      <w:r w:rsidRPr="002E1DED">
        <w:rPr>
          <w:rFonts w:ascii="Palatino Linotype" w:hAnsi="Palatino Linotype" w:cs="Times New Roman"/>
          <w:b/>
          <w:bCs/>
          <w:color w:val="000000" w:themeColor="text1"/>
          <w:sz w:val="40"/>
          <w:szCs w:val="40"/>
          <w:vertAlign w:val="subscript"/>
          <w:lang w:val="en-US"/>
        </w:rPr>
        <w:t>70</w:t>
      </w:r>
      <w:r w:rsidRPr="002E1DED">
        <w:rPr>
          <w:rFonts w:ascii="Palatino Linotype" w:hAnsi="Palatino Linotype" w:cs="Times New Roman"/>
          <w:b/>
          <w:bCs/>
          <w:color w:val="000000" w:themeColor="text1"/>
          <w:sz w:val="40"/>
          <w:szCs w:val="40"/>
          <w:lang w:val="en-US"/>
        </w:rPr>
        <w:t>, and Gd@C</w:t>
      </w:r>
      <w:r w:rsidRPr="002E1DED">
        <w:rPr>
          <w:rFonts w:ascii="Palatino Linotype" w:hAnsi="Palatino Linotype" w:cs="Times New Roman"/>
          <w:b/>
          <w:bCs/>
          <w:color w:val="000000" w:themeColor="text1"/>
          <w:sz w:val="40"/>
          <w:szCs w:val="40"/>
          <w:vertAlign w:val="subscript"/>
          <w:lang w:val="en-US"/>
        </w:rPr>
        <w:t>82</w:t>
      </w:r>
      <w:r w:rsidRPr="002E1DED">
        <w:rPr>
          <w:rFonts w:ascii="Palatino Linotype" w:hAnsi="Palatino Linotype" w:cs="Times New Roman"/>
          <w:b/>
          <w:bCs/>
          <w:color w:val="000000" w:themeColor="text1"/>
          <w:sz w:val="40"/>
          <w:szCs w:val="40"/>
          <w:vertAlign w:val="subscript"/>
          <w:lang w:val="en-US"/>
        </w:rPr>
        <w:br/>
      </w:r>
      <w:r w:rsidR="002B58EE" w:rsidRPr="002E1DED">
        <w:rPr>
          <w:rFonts w:ascii="Palatino Linotype" w:hAnsi="Palatino Linotype" w:cs="Times New Roman"/>
          <w:color w:val="000000" w:themeColor="text1"/>
          <w:szCs w:val="28"/>
          <w:lang w:val="en-US"/>
        </w:rPr>
        <w:t>b</w:t>
      </w:r>
      <w:r w:rsidR="00662A77" w:rsidRPr="002E1DED">
        <w:rPr>
          <w:rFonts w:ascii="Palatino Linotype" w:hAnsi="Palatino Linotype" w:cs="Times New Roman"/>
          <w:color w:val="000000" w:themeColor="text1"/>
          <w:szCs w:val="28"/>
          <w:lang w:val="en-US"/>
        </w:rPr>
        <w:t>y</w:t>
      </w:r>
      <w:r w:rsidRPr="002E1DED">
        <w:rPr>
          <w:rFonts w:ascii="Palatino Linotype" w:hAnsi="Palatino Linotype" w:cs="Times New Roman"/>
          <w:color w:val="000000" w:themeColor="text1"/>
          <w:szCs w:val="28"/>
          <w:lang w:val="en-US"/>
        </w:rPr>
        <w:br/>
      </w:r>
      <w:r w:rsidR="002B58EE" w:rsidRPr="002E1DED">
        <w:rPr>
          <w:rFonts w:ascii="Palatino Linotype" w:hAnsi="Palatino Linotype"/>
          <w:color w:val="000000" w:themeColor="text1"/>
          <w:sz w:val="24"/>
          <w:szCs w:val="24"/>
          <w:lang w:val="en-US"/>
        </w:rPr>
        <w:t xml:space="preserve">Ivan V. Mikheev </w:t>
      </w:r>
      <w:proofErr w:type="gramStart"/>
      <w:r w:rsidR="002B58EE" w:rsidRPr="002E1DED">
        <w:rPr>
          <w:rFonts w:ascii="Palatino Linotype" w:hAnsi="Palatino Linotype"/>
          <w:color w:val="000000" w:themeColor="text1"/>
          <w:sz w:val="24"/>
          <w:szCs w:val="24"/>
          <w:vertAlign w:val="superscript"/>
          <w:lang w:val="en-US"/>
        </w:rPr>
        <w:t>1,</w:t>
      </w:r>
      <w:r w:rsidR="002B58EE" w:rsidRPr="002E1DED">
        <w:rPr>
          <w:rFonts w:ascii="Palatino Linotype" w:hAnsi="Palatino Linotype"/>
          <w:color w:val="000000" w:themeColor="text1"/>
          <w:sz w:val="24"/>
          <w:szCs w:val="24"/>
          <w:lang w:val="en-US"/>
        </w:rPr>
        <w:t>*</w:t>
      </w:r>
      <w:proofErr w:type="gramEnd"/>
      <w:r w:rsidR="002B58EE" w:rsidRPr="002E1DED">
        <w:rPr>
          <w:rFonts w:ascii="Palatino Linotype" w:hAnsi="Palatino Linotype"/>
          <w:color w:val="000000" w:themeColor="text1"/>
          <w:sz w:val="24"/>
          <w:szCs w:val="24"/>
          <w:lang w:val="en-US"/>
        </w:rPr>
        <w:t xml:space="preserve">, Madina M. Sozarukova </w:t>
      </w:r>
      <w:r w:rsidR="002B58EE" w:rsidRPr="002E1DED">
        <w:rPr>
          <w:rFonts w:ascii="Palatino Linotype" w:hAnsi="Palatino Linotype"/>
          <w:color w:val="000000" w:themeColor="text1"/>
          <w:sz w:val="24"/>
          <w:szCs w:val="24"/>
          <w:vertAlign w:val="superscript"/>
          <w:lang w:val="en-US"/>
        </w:rPr>
        <w:t>1,2</w:t>
      </w:r>
      <w:r w:rsidR="002B58EE" w:rsidRPr="002E1DED">
        <w:rPr>
          <w:rFonts w:ascii="Palatino Linotype" w:hAnsi="Palatino Linotype"/>
          <w:color w:val="000000" w:themeColor="text1"/>
          <w:sz w:val="24"/>
          <w:szCs w:val="24"/>
          <w:lang w:val="en-US"/>
        </w:rPr>
        <w:t xml:space="preserve">, Dmitry Yu. Izmailov </w:t>
      </w:r>
      <w:r w:rsidR="002B58EE" w:rsidRPr="002E1DED">
        <w:rPr>
          <w:rFonts w:ascii="Palatino Linotype" w:hAnsi="Palatino Linotype"/>
          <w:color w:val="000000" w:themeColor="text1"/>
          <w:sz w:val="24"/>
          <w:szCs w:val="24"/>
          <w:vertAlign w:val="superscript"/>
          <w:lang w:val="en-US"/>
        </w:rPr>
        <w:t>3</w:t>
      </w:r>
      <w:r w:rsidR="002B58EE" w:rsidRPr="002E1DED">
        <w:rPr>
          <w:rFonts w:ascii="Palatino Linotype" w:hAnsi="Palatino Linotype"/>
          <w:color w:val="000000" w:themeColor="text1"/>
          <w:sz w:val="24"/>
          <w:szCs w:val="24"/>
          <w:lang w:val="en-US"/>
        </w:rPr>
        <w:t xml:space="preserve">, Ivan E. Kareev </w:t>
      </w:r>
      <w:r w:rsidR="002B58EE" w:rsidRPr="002E1DED">
        <w:rPr>
          <w:rFonts w:ascii="Palatino Linotype" w:hAnsi="Palatino Linotype"/>
          <w:color w:val="000000" w:themeColor="text1"/>
          <w:sz w:val="24"/>
          <w:szCs w:val="24"/>
          <w:vertAlign w:val="superscript"/>
          <w:lang w:val="en-US"/>
        </w:rPr>
        <w:t>4</w:t>
      </w:r>
      <w:r w:rsidR="002B58EE" w:rsidRPr="002E1DED">
        <w:rPr>
          <w:rFonts w:ascii="Palatino Linotype" w:hAnsi="Palatino Linotype"/>
          <w:color w:val="000000" w:themeColor="text1"/>
          <w:sz w:val="24"/>
          <w:szCs w:val="24"/>
          <w:lang w:val="en-US"/>
        </w:rPr>
        <w:t xml:space="preserve">, Elena V. Proskurnina </w:t>
      </w:r>
      <w:r w:rsidR="002B58EE" w:rsidRPr="002E1DED">
        <w:rPr>
          <w:rFonts w:ascii="Palatino Linotype" w:hAnsi="Palatino Linotype"/>
          <w:color w:val="000000" w:themeColor="text1"/>
          <w:sz w:val="24"/>
          <w:szCs w:val="24"/>
          <w:vertAlign w:val="superscript"/>
          <w:lang w:val="en-US"/>
        </w:rPr>
        <w:t>5</w:t>
      </w:r>
      <w:r w:rsidR="002B58EE" w:rsidRPr="002E1DED">
        <w:rPr>
          <w:rFonts w:ascii="Palatino Linotype" w:hAnsi="Palatino Linotype"/>
          <w:color w:val="000000" w:themeColor="text1"/>
          <w:sz w:val="24"/>
          <w:szCs w:val="24"/>
          <w:lang w:val="en-US"/>
        </w:rPr>
        <w:t>, and Mikhail A. Proskurnin</w:t>
      </w:r>
      <w:r w:rsidR="002B58EE" w:rsidRPr="002E1DED">
        <w:rPr>
          <w:rFonts w:ascii="Palatino Linotype" w:hAnsi="Palatino Linotype"/>
          <w:color w:val="000000" w:themeColor="text1"/>
          <w:sz w:val="24"/>
          <w:szCs w:val="24"/>
          <w:vertAlign w:val="superscript"/>
          <w:lang w:val="en-US"/>
        </w:rPr>
        <w:t xml:space="preserve"> 1</w:t>
      </w:r>
      <w:r w:rsidR="002B58EE" w:rsidRPr="002E1DED">
        <w:rPr>
          <w:rFonts w:ascii="Palatino Linotype" w:hAnsi="Palatino Linotype"/>
          <w:color w:val="000000" w:themeColor="text1"/>
          <w:sz w:val="24"/>
          <w:szCs w:val="24"/>
          <w:lang w:val="en-US"/>
        </w:rPr>
        <w:t xml:space="preserve"> </w:t>
      </w:r>
    </w:p>
    <w:p w14:paraId="75D1F380" w14:textId="77777777" w:rsidR="002B58EE" w:rsidRPr="002E1DED" w:rsidRDefault="002B58EE" w:rsidP="002B58EE">
      <w:pPr>
        <w:pStyle w:val="MDPI16affiliation"/>
        <w:ind w:left="284"/>
        <w:jc w:val="both"/>
        <w:rPr>
          <w:color w:val="000000" w:themeColor="text1"/>
          <w:sz w:val="20"/>
          <w:szCs w:val="20"/>
        </w:rPr>
      </w:pPr>
      <w:r w:rsidRPr="002E1DED">
        <w:rPr>
          <w:color w:val="000000" w:themeColor="text1"/>
          <w:sz w:val="20"/>
          <w:szCs w:val="20"/>
          <w:vertAlign w:val="superscript"/>
        </w:rPr>
        <w:t>1</w:t>
      </w:r>
      <w:r w:rsidRPr="002E1DED">
        <w:rPr>
          <w:color w:val="000000" w:themeColor="text1"/>
          <w:sz w:val="20"/>
          <w:szCs w:val="20"/>
        </w:rPr>
        <w:tab/>
        <w:t>Chemistry Department Analytical Chemistry Division of Lomonosov Moscow State University, Moscow 119991, Russia; mikheev.ivan@gmail.com</w:t>
      </w:r>
    </w:p>
    <w:p w14:paraId="127776C1" w14:textId="77777777" w:rsidR="002B58EE" w:rsidRPr="002E1DED" w:rsidRDefault="002B58EE" w:rsidP="002B58EE">
      <w:pPr>
        <w:pStyle w:val="MDPI16affiliation"/>
        <w:ind w:left="284"/>
        <w:jc w:val="both"/>
        <w:rPr>
          <w:color w:val="000000" w:themeColor="text1"/>
          <w:sz w:val="20"/>
          <w:szCs w:val="20"/>
        </w:rPr>
      </w:pPr>
      <w:r w:rsidRPr="002E1DED">
        <w:rPr>
          <w:color w:val="000000" w:themeColor="text1"/>
          <w:sz w:val="20"/>
          <w:szCs w:val="20"/>
          <w:vertAlign w:val="superscript"/>
        </w:rPr>
        <w:t>2</w:t>
      </w:r>
      <w:r w:rsidRPr="002E1DED">
        <w:rPr>
          <w:color w:val="000000" w:themeColor="text1"/>
          <w:sz w:val="20"/>
          <w:szCs w:val="20"/>
        </w:rPr>
        <w:tab/>
        <w:t>Kurnakov Institute of General and Inorganic Chemistry, Russian Academy of Sciences, Moscow 119991, Russia; s_madinam@bk.ru</w:t>
      </w:r>
    </w:p>
    <w:p w14:paraId="0C138A55" w14:textId="77777777" w:rsidR="002B58EE" w:rsidRPr="002E1DED" w:rsidRDefault="002B58EE" w:rsidP="002B58EE">
      <w:pPr>
        <w:pStyle w:val="MDPI16affiliation"/>
        <w:ind w:left="284"/>
        <w:jc w:val="both"/>
        <w:rPr>
          <w:color w:val="000000" w:themeColor="text1"/>
          <w:sz w:val="20"/>
          <w:szCs w:val="20"/>
        </w:rPr>
      </w:pPr>
      <w:r w:rsidRPr="002E1DED">
        <w:rPr>
          <w:color w:val="000000" w:themeColor="text1"/>
          <w:sz w:val="20"/>
          <w:szCs w:val="20"/>
          <w:vertAlign w:val="superscript"/>
        </w:rPr>
        <w:t>3</w:t>
      </w:r>
      <w:r w:rsidRPr="002E1DED">
        <w:rPr>
          <w:color w:val="000000" w:themeColor="text1"/>
          <w:sz w:val="20"/>
          <w:szCs w:val="20"/>
        </w:rPr>
        <w:tab/>
        <w:t>Faculty of Fundamental Medicine, Lomonosov Moscow State University, Moscow 119234, Russia; dizm@mail.ru</w:t>
      </w:r>
    </w:p>
    <w:p w14:paraId="64AE858A" w14:textId="77777777" w:rsidR="002B58EE" w:rsidRPr="002E1DED" w:rsidRDefault="002B58EE" w:rsidP="002B58EE">
      <w:pPr>
        <w:pStyle w:val="MDPI16affiliation"/>
        <w:ind w:left="284"/>
        <w:jc w:val="both"/>
        <w:rPr>
          <w:color w:val="000000" w:themeColor="text1"/>
          <w:sz w:val="20"/>
          <w:szCs w:val="20"/>
        </w:rPr>
      </w:pPr>
      <w:r w:rsidRPr="002E1DED">
        <w:rPr>
          <w:color w:val="000000" w:themeColor="text1"/>
          <w:sz w:val="20"/>
          <w:szCs w:val="20"/>
          <w:vertAlign w:val="superscript"/>
        </w:rPr>
        <w:t>4</w:t>
      </w:r>
      <w:r w:rsidRPr="002E1DED">
        <w:rPr>
          <w:color w:val="000000" w:themeColor="text1"/>
          <w:sz w:val="20"/>
          <w:szCs w:val="20"/>
        </w:rPr>
        <w:tab/>
        <w:t xml:space="preserve">Institute of Problems of Chemical Physics of the Russian Academy of Sciences, 142432 </w:t>
      </w:r>
      <w:proofErr w:type="spellStart"/>
      <w:r w:rsidRPr="002E1DED">
        <w:rPr>
          <w:color w:val="000000" w:themeColor="text1"/>
          <w:sz w:val="20"/>
          <w:szCs w:val="20"/>
        </w:rPr>
        <w:t>Chernogolovka</w:t>
      </w:r>
      <w:proofErr w:type="spellEnd"/>
      <w:r w:rsidRPr="002E1DED">
        <w:rPr>
          <w:color w:val="000000" w:themeColor="text1"/>
          <w:sz w:val="20"/>
          <w:szCs w:val="20"/>
        </w:rPr>
        <w:t>, Moscow Region, Russia; kareev@icp.ac.ru</w:t>
      </w:r>
    </w:p>
    <w:p w14:paraId="277DDF85" w14:textId="77777777" w:rsidR="002B58EE" w:rsidRPr="002E1DED" w:rsidRDefault="002B58EE" w:rsidP="002B58EE">
      <w:pPr>
        <w:pStyle w:val="MDPI16affiliation"/>
        <w:ind w:left="284"/>
        <w:jc w:val="both"/>
        <w:rPr>
          <w:color w:val="000000" w:themeColor="text1"/>
          <w:sz w:val="20"/>
          <w:szCs w:val="20"/>
        </w:rPr>
      </w:pPr>
      <w:r w:rsidRPr="002E1DED">
        <w:rPr>
          <w:color w:val="000000" w:themeColor="text1"/>
          <w:sz w:val="20"/>
          <w:szCs w:val="20"/>
          <w:vertAlign w:val="superscript"/>
        </w:rPr>
        <w:t>5</w:t>
      </w:r>
      <w:r w:rsidRPr="002E1DED">
        <w:rPr>
          <w:color w:val="000000" w:themeColor="text1"/>
          <w:sz w:val="20"/>
          <w:szCs w:val="20"/>
        </w:rPr>
        <w:tab/>
        <w:t>Research Centre for Medical Genetics, Moscow 115522, Russia; proskurnina@gmail.com</w:t>
      </w:r>
    </w:p>
    <w:p w14:paraId="22F4A8FD" w14:textId="77777777" w:rsidR="002B58EE" w:rsidRPr="002E1DED" w:rsidRDefault="002B58EE" w:rsidP="002B58EE">
      <w:pPr>
        <w:pStyle w:val="MDPI16affiliation"/>
        <w:ind w:left="284"/>
        <w:jc w:val="both"/>
        <w:rPr>
          <w:color w:val="000000" w:themeColor="text1"/>
          <w:sz w:val="20"/>
          <w:szCs w:val="20"/>
        </w:rPr>
      </w:pPr>
      <w:r w:rsidRPr="002E1DED">
        <w:rPr>
          <w:color w:val="000000" w:themeColor="text1"/>
          <w:sz w:val="20"/>
          <w:szCs w:val="20"/>
        </w:rPr>
        <w:t>*</w:t>
      </w:r>
      <w:r w:rsidRPr="002E1DED">
        <w:rPr>
          <w:color w:val="000000" w:themeColor="text1"/>
          <w:sz w:val="20"/>
          <w:szCs w:val="20"/>
        </w:rPr>
        <w:tab/>
        <w:t xml:space="preserve">Correspondence: mikheev.ivan@gmail.com; Tel.: +7(495)939-15-68 ext.101 </w:t>
      </w:r>
    </w:p>
    <w:p w14:paraId="40EECEA1" w14:textId="4BA06EA0" w:rsidR="0079116F" w:rsidRPr="002E1DED" w:rsidRDefault="0079116F" w:rsidP="002B58EE">
      <w:pPr>
        <w:rPr>
          <w:rFonts w:ascii="Palatino Linotype" w:hAnsi="Palatino Linotype" w:cs="Times New Roman"/>
          <w:color w:val="000000" w:themeColor="text1"/>
          <w:szCs w:val="28"/>
          <w:lang w:val="en-US"/>
        </w:rPr>
      </w:pPr>
      <w:r w:rsidRPr="002E1DED">
        <w:rPr>
          <w:rFonts w:ascii="Palatino Linotype" w:hAnsi="Palatino Linotype" w:cs="Times New Roman"/>
          <w:color w:val="000000" w:themeColor="text1"/>
          <w:szCs w:val="28"/>
          <w:lang w:val="en-US"/>
        </w:rPr>
        <w:br w:type="page"/>
      </w:r>
    </w:p>
    <w:sdt>
      <w:sdtPr>
        <w:rPr>
          <w:rFonts w:ascii="Palatino Linotype" w:eastAsiaTheme="minorHAnsi" w:hAnsi="Palatino Linotype" w:cs="Times New Roman"/>
          <w:color w:val="000000" w:themeColor="text1"/>
          <w:sz w:val="28"/>
          <w:szCs w:val="28"/>
          <w:lang w:eastAsia="en-US"/>
        </w:rPr>
        <w:id w:val="-561485570"/>
        <w:docPartObj>
          <w:docPartGallery w:val="Table of Contents"/>
          <w:docPartUnique/>
        </w:docPartObj>
      </w:sdtPr>
      <w:sdtEndPr>
        <w:rPr>
          <w:b/>
          <w:bCs/>
        </w:rPr>
      </w:sdtEndPr>
      <w:sdtContent>
        <w:p w14:paraId="07DA05A2" w14:textId="45DED746" w:rsidR="00424906" w:rsidRPr="002E1DED" w:rsidRDefault="00424906" w:rsidP="00C873D8">
          <w:pPr>
            <w:pStyle w:val="TOCHeading"/>
            <w:numPr>
              <w:ilvl w:val="0"/>
              <w:numId w:val="0"/>
            </w:numPr>
            <w:spacing w:line="240" w:lineRule="auto"/>
            <w:ind w:left="432" w:hanging="432"/>
            <w:rPr>
              <w:rFonts w:ascii="Palatino Linotype" w:hAnsi="Palatino Linotype" w:cs="Times New Roman"/>
              <w:color w:val="000000" w:themeColor="text1"/>
              <w:sz w:val="28"/>
              <w:szCs w:val="28"/>
            </w:rPr>
          </w:pPr>
        </w:p>
        <w:p w14:paraId="464A2DE4" w14:textId="5DE4732B" w:rsidR="002E1DED" w:rsidRDefault="00424906">
          <w:pPr>
            <w:pStyle w:val="TOC1"/>
            <w:tabs>
              <w:tab w:val="left" w:pos="480"/>
              <w:tab w:val="right" w:leader="dot" w:pos="9628"/>
            </w:tabs>
            <w:rPr>
              <w:rFonts w:asciiTheme="minorHAnsi" w:eastAsiaTheme="minorEastAsia" w:hAnsiTheme="minorHAnsi"/>
              <w:noProof/>
              <w:sz w:val="24"/>
              <w:szCs w:val="24"/>
              <w:lang w:val="en-RU" w:eastAsia="en-GB"/>
            </w:rPr>
          </w:pPr>
          <w:r w:rsidRPr="002E1DED">
            <w:rPr>
              <w:rFonts w:ascii="Palatino Linotype" w:hAnsi="Palatino Linotype" w:cs="Times New Roman"/>
              <w:color w:val="000000" w:themeColor="text1"/>
              <w:szCs w:val="28"/>
            </w:rPr>
            <w:fldChar w:fldCharType="begin"/>
          </w:r>
          <w:r w:rsidRPr="002E1DED">
            <w:rPr>
              <w:rFonts w:ascii="Palatino Linotype" w:hAnsi="Palatino Linotype" w:cs="Times New Roman"/>
              <w:color w:val="000000" w:themeColor="text1"/>
              <w:szCs w:val="28"/>
            </w:rPr>
            <w:instrText xml:space="preserve"> TOC \o "1-3" \h \z \u </w:instrText>
          </w:r>
          <w:r w:rsidRPr="002E1DED">
            <w:rPr>
              <w:rFonts w:ascii="Palatino Linotype" w:hAnsi="Palatino Linotype" w:cs="Times New Roman"/>
              <w:color w:val="000000" w:themeColor="text1"/>
              <w:szCs w:val="28"/>
            </w:rPr>
            <w:fldChar w:fldCharType="separate"/>
          </w:r>
          <w:hyperlink w:anchor="_Toc72677636" w:history="1">
            <w:r w:rsidR="002E1DED" w:rsidRPr="001C3884">
              <w:rPr>
                <w:rStyle w:val="Hyperlink"/>
                <w:rFonts w:ascii="Palatino Linotype" w:hAnsi="Palatino Linotype"/>
                <w:noProof/>
                <w:lang w:val="en-US"/>
              </w:rPr>
              <w:t>1</w:t>
            </w:r>
            <w:r w:rsidR="002E1DED">
              <w:rPr>
                <w:rFonts w:asciiTheme="minorHAnsi" w:eastAsiaTheme="minorEastAsia" w:hAnsiTheme="minorHAnsi"/>
                <w:noProof/>
                <w:sz w:val="24"/>
                <w:szCs w:val="24"/>
                <w:lang w:val="en-RU" w:eastAsia="en-GB"/>
              </w:rPr>
              <w:tab/>
            </w:r>
            <w:r w:rsidR="002E1DED" w:rsidRPr="001C3884">
              <w:rPr>
                <w:rStyle w:val="Hyperlink"/>
                <w:rFonts w:ascii="Palatino Linotype" w:hAnsi="Palatino Linotype"/>
                <w:noProof/>
                <w:lang w:val="en-US"/>
              </w:rPr>
              <w:t>Aqueous fullerene dispersion preparation and material safety data sheet</w:t>
            </w:r>
            <w:r w:rsidR="002E1DED">
              <w:rPr>
                <w:noProof/>
                <w:webHidden/>
              </w:rPr>
              <w:tab/>
            </w:r>
            <w:r w:rsidR="002E1DED">
              <w:rPr>
                <w:noProof/>
                <w:webHidden/>
              </w:rPr>
              <w:fldChar w:fldCharType="begin"/>
            </w:r>
            <w:r w:rsidR="002E1DED">
              <w:rPr>
                <w:noProof/>
                <w:webHidden/>
              </w:rPr>
              <w:instrText xml:space="preserve"> PAGEREF _Toc72677636 \h </w:instrText>
            </w:r>
            <w:r w:rsidR="002E1DED">
              <w:rPr>
                <w:noProof/>
                <w:webHidden/>
              </w:rPr>
            </w:r>
            <w:r w:rsidR="002E1DED">
              <w:rPr>
                <w:noProof/>
                <w:webHidden/>
              </w:rPr>
              <w:fldChar w:fldCharType="separate"/>
            </w:r>
            <w:r w:rsidR="002E1DED">
              <w:rPr>
                <w:noProof/>
                <w:webHidden/>
              </w:rPr>
              <w:t>3</w:t>
            </w:r>
            <w:r w:rsidR="002E1DED">
              <w:rPr>
                <w:noProof/>
                <w:webHidden/>
              </w:rPr>
              <w:fldChar w:fldCharType="end"/>
            </w:r>
          </w:hyperlink>
        </w:p>
        <w:p w14:paraId="26CF5294" w14:textId="6BD27A2A" w:rsidR="002E1DED" w:rsidRDefault="00322426">
          <w:pPr>
            <w:pStyle w:val="TOC1"/>
            <w:tabs>
              <w:tab w:val="left" w:pos="480"/>
              <w:tab w:val="right" w:leader="dot" w:pos="9628"/>
            </w:tabs>
            <w:rPr>
              <w:rFonts w:asciiTheme="minorHAnsi" w:eastAsiaTheme="minorEastAsia" w:hAnsiTheme="minorHAnsi"/>
              <w:noProof/>
              <w:sz w:val="24"/>
              <w:szCs w:val="24"/>
              <w:lang w:val="en-RU" w:eastAsia="en-GB"/>
            </w:rPr>
          </w:pPr>
          <w:hyperlink w:anchor="_Toc72677637" w:history="1">
            <w:r w:rsidR="002E1DED" w:rsidRPr="001C3884">
              <w:rPr>
                <w:rStyle w:val="Hyperlink"/>
                <w:rFonts w:ascii="Palatino Linotype" w:hAnsi="Palatino Linotype"/>
                <w:noProof/>
                <w:lang w:val="en-US"/>
              </w:rPr>
              <w:t>2</w:t>
            </w:r>
            <w:r w:rsidR="002E1DED">
              <w:rPr>
                <w:rFonts w:asciiTheme="minorHAnsi" w:eastAsiaTheme="minorEastAsia" w:hAnsiTheme="minorHAnsi"/>
                <w:noProof/>
                <w:sz w:val="24"/>
                <w:szCs w:val="24"/>
                <w:lang w:val="en-RU" w:eastAsia="en-GB"/>
              </w:rPr>
              <w:tab/>
            </w:r>
            <w:r w:rsidR="002E1DED" w:rsidRPr="001C3884">
              <w:rPr>
                <w:rStyle w:val="Hyperlink"/>
                <w:rFonts w:ascii="Palatino Linotype" w:hAnsi="Palatino Linotype"/>
                <w:noProof/>
                <w:lang w:val="en-US"/>
              </w:rPr>
              <w:t>Quenching fullerene ability in aqueous media</w:t>
            </w:r>
            <w:r w:rsidR="002E1DED">
              <w:rPr>
                <w:noProof/>
                <w:webHidden/>
              </w:rPr>
              <w:tab/>
            </w:r>
            <w:r w:rsidR="002E1DED">
              <w:rPr>
                <w:noProof/>
                <w:webHidden/>
              </w:rPr>
              <w:fldChar w:fldCharType="begin"/>
            </w:r>
            <w:r w:rsidR="002E1DED">
              <w:rPr>
                <w:noProof/>
                <w:webHidden/>
              </w:rPr>
              <w:instrText xml:space="preserve"> PAGEREF _Toc72677637 \h </w:instrText>
            </w:r>
            <w:r w:rsidR="002E1DED">
              <w:rPr>
                <w:noProof/>
                <w:webHidden/>
              </w:rPr>
            </w:r>
            <w:r w:rsidR="002E1DED">
              <w:rPr>
                <w:noProof/>
                <w:webHidden/>
              </w:rPr>
              <w:fldChar w:fldCharType="separate"/>
            </w:r>
            <w:r w:rsidR="002E1DED">
              <w:rPr>
                <w:noProof/>
                <w:webHidden/>
              </w:rPr>
              <w:t>5</w:t>
            </w:r>
            <w:r w:rsidR="002E1DED">
              <w:rPr>
                <w:noProof/>
                <w:webHidden/>
              </w:rPr>
              <w:fldChar w:fldCharType="end"/>
            </w:r>
          </w:hyperlink>
        </w:p>
        <w:p w14:paraId="7A9FCDEE" w14:textId="27E6F414" w:rsidR="002E1DED" w:rsidRDefault="00322426">
          <w:pPr>
            <w:pStyle w:val="TOC2"/>
            <w:tabs>
              <w:tab w:val="left" w:pos="960"/>
              <w:tab w:val="right" w:leader="dot" w:pos="9628"/>
            </w:tabs>
            <w:rPr>
              <w:rFonts w:asciiTheme="minorHAnsi" w:eastAsiaTheme="minorEastAsia" w:hAnsiTheme="minorHAnsi"/>
              <w:noProof/>
              <w:sz w:val="24"/>
              <w:szCs w:val="24"/>
              <w:lang w:val="en-RU" w:eastAsia="en-GB"/>
            </w:rPr>
          </w:pPr>
          <w:hyperlink w:anchor="_Toc72677638" w:history="1">
            <w:r w:rsidR="002E1DED" w:rsidRPr="001C3884">
              <w:rPr>
                <w:rStyle w:val="Hyperlink"/>
                <w:rFonts w:ascii="Palatino Linotype" w:hAnsi="Palatino Linotype"/>
                <w:noProof/>
                <w:lang w:val="en-US"/>
              </w:rPr>
              <w:t>2.1</w:t>
            </w:r>
            <w:r w:rsidR="002E1DED">
              <w:rPr>
                <w:rFonts w:asciiTheme="minorHAnsi" w:eastAsiaTheme="minorEastAsia" w:hAnsiTheme="minorHAnsi"/>
                <w:noProof/>
                <w:sz w:val="24"/>
                <w:szCs w:val="24"/>
                <w:lang w:val="en-RU" w:eastAsia="en-GB"/>
              </w:rPr>
              <w:tab/>
            </w:r>
            <w:r w:rsidR="002E1DED" w:rsidRPr="001C3884">
              <w:rPr>
                <w:rStyle w:val="Hyperlink"/>
                <w:rFonts w:ascii="Palatino Linotype" w:hAnsi="Palatino Linotype"/>
                <w:noProof/>
                <w:lang w:val="en-US"/>
              </w:rPr>
              <w:t>Quenching of ABAP-Luminol system in the presence of fullerene</w:t>
            </w:r>
            <w:r w:rsidR="002E1DED">
              <w:rPr>
                <w:noProof/>
                <w:webHidden/>
              </w:rPr>
              <w:tab/>
            </w:r>
            <w:r w:rsidR="002E1DED">
              <w:rPr>
                <w:noProof/>
                <w:webHidden/>
              </w:rPr>
              <w:fldChar w:fldCharType="begin"/>
            </w:r>
            <w:r w:rsidR="002E1DED">
              <w:rPr>
                <w:noProof/>
                <w:webHidden/>
              </w:rPr>
              <w:instrText xml:space="preserve"> PAGEREF _Toc72677638 \h </w:instrText>
            </w:r>
            <w:r w:rsidR="002E1DED">
              <w:rPr>
                <w:noProof/>
                <w:webHidden/>
              </w:rPr>
            </w:r>
            <w:r w:rsidR="002E1DED">
              <w:rPr>
                <w:noProof/>
                <w:webHidden/>
              </w:rPr>
              <w:fldChar w:fldCharType="separate"/>
            </w:r>
            <w:r w:rsidR="002E1DED">
              <w:rPr>
                <w:noProof/>
                <w:webHidden/>
              </w:rPr>
              <w:t>5</w:t>
            </w:r>
            <w:r w:rsidR="002E1DED">
              <w:rPr>
                <w:noProof/>
                <w:webHidden/>
              </w:rPr>
              <w:fldChar w:fldCharType="end"/>
            </w:r>
          </w:hyperlink>
        </w:p>
        <w:p w14:paraId="5FAC1F51" w14:textId="5EBE9E85" w:rsidR="002E1DED" w:rsidRDefault="00322426">
          <w:pPr>
            <w:pStyle w:val="TOC2"/>
            <w:tabs>
              <w:tab w:val="left" w:pos="960"/>
              <w:tab w:val="right" w:leader="dot" w:pos="9628"/>
            </w:tabs>
            <w:rPr>
              <w:rFonts w:asciiTheme="minorHAnsi" w:eastAsiaTheme="minorEastAsia" w:hAnsiTheme="minorHAnsi"/>
              <w:noProof/>
              <w:sz w:val="24"/>
              <w:szCs w:val="24"/>
              <w:lang w:val="en-RU" w:eastAsia="en-GB"/>
            </w:rPr>
          </w:pPr>
          <w:hyperlink w:anchor="_Toc72677639" w:history="1">
            <w:r w:rsidR="002E1DED" w:rsidRPr="001C3884">
              <w:rPr>
                <w:rStyle w:val="Hyperlink"/>
                <w:rFonts w:ascii="Palatino Linotype" w:hAnsi="Palatino Linotype"/>
                <w:noProof/>
                <w:lang w:val="en-US"/>
              </w:rPr>
              <w:t>2.2</w:t>
            </w:r>
            <w:r w:rsidR="002E1DED">
              <w:rPr>
                <w:rFonts w:asciiTheme="minorHAnsi" w:eastAsiaTheme="minorEastAsia" w:hAnsiTheme="minorHAnsi"/>
                <w:noProof/>
                <w:sz w:val="24"/>
                <w:szCs w:val="24"/>
                <w:lang w:val="en-RU" w:eastAsia="en-GB"/>
              </w:rPr>
              <w:tab/>
            </w:r>
            <w:r w:rsidR="002E1DED" w:rsidRPr="001C3884">
              <w:rPr>
                <w:rStyle w:val="Hyperlink"/>
                <w:rFonts w:ascii="Palatino Linotype" w:hAnsi="Palatino Linotype"/>
                <w:noProof/>
                <w:lang w:val="en-US"/>
              </w:rPr>
              <w:t>Quenching of Luminol system in the presence of fullerene</w:t>
            </w:r>
            <w:r w:rsidR="002E1DED">
              <w:rPr>
                <w:noProof/>
                <w:webHidden/>
              </w:rPr>
              <w:tab/>
            </w:r>
            <w:r w:rsidR="002E1DED">
              <w:rPr>
                <w:noProof/>
                <w:webHidden/>
              </w:rPr>
              <w:fldChar w:fldCharType="begin"/>
            </w:r>
            <w:r w:rsidR="002E1DED">
              <w:rPr>
                <w:noProof/>
                <w:webHidden/>
              </w:rPr>
              <w:instrText xml:space="preserve"> PAGEREF _Toc72677639 \h </w:instrText>
            </w:r>
            <w:r w:rsidR="002E1DED">
              <w:rPr>
                <w:noProof/>
                <w:webHidden/>
              </w:rPr>
            </w:r>
            <w:r w:rsidR="002E1DED">
              <w:rPr>
                <w:noProof/>
                <w:webHidden/>
              </w:rPr>
              <w:fldChar w:fldCharType="separate"/>
            </w:r>
            <w:r w:rsidR="002E1DED">
              <w:rPr>
                <w:noProof/>
                <w:webHidden/>
              </w:rPr>
              <w:t>5</w:t>
            </w:r>
            <w:r w:rsidR="002E1DED">
              <w:rPr>
                <w:noProof/>
                <w:webHidden/>
              </w:rPr>
              <w:fldChar w:fldCharType="end"/>
            </w:r>
          </w:hyperlink>
        </w:p>
        <w:p w14:paraId="693A4A01" w14:textId="363EEE34" w:rsidR="002E1DED" w:rsidRDefault="00322426">
          <w:pPr>
            <w:pStyle w:val="TOC1"/>
            <w:tabs>
              <w:tab w:val="left" w:pos="480"/>
              <w:tab w:val="right" w:leader="dot" w:pos="9628"/>
            </w:tabs>
            <w:rPr>
              <w:rFonts w:asciiTheme="minorHAnsi" w:eastAsiaTheme="minorEastAsia" w:hAnsiTheme="minorHAnsi"/>
              <w:noProof/>
              <w:sz w:val="24"/>
              <w:szCs w:val="24"/>
              <w:lang w:val="en-RU" w:eastAsia="en-GB"/>
            </w:rPr>
          </w:pPr>
          <w:hyperlink w:anchor="_Toc72677640" w:history="1">
            <w:r w:rsidR="002E1DED" w:rsidRPr="001C3884">
              <w:rPr>
                <w:rStyle w:val="Hyperlink"/>
                <w:rFonts w:ascii="Palatino Linotype" w:hAnsi="Palatino Linotype" w:cs="Times New Roman"/>
                <w:b/>
                <w:bCs/>
                <w:noProof/>
                <w:lang w:val="en-US"/>
              </w:rPr>
              <w:t>3</w:t>
            </w:r>
            <w:r w:rsidR="002E1DED">
              <w:rPr>
                <w:rFonts w:asciiTheme="minorHAnsi" w:eastAsiaTheme="minorEastAsia" w:hAnsiTheme="minorHAnsi"/>
                <w:noProof/>
                <w:sz w:val="24"/>
                <w:szCs w:val="24"/>
                <w:lang w:val="en-RU" w:eastAsia="en-GB"/>
              </w:rPr>
              <w:tab/>
            </w:r>
            <w:r w:rsidR="002E1DED" w:rsidRPr="001C3884">
              <w:rPr>
                <w:rStyle w:val="Hyperlink"/>
                <w:rFonts w:ascii="Palatino Linotype" w:hAnsi="Palatino Linotype" w:cs="Times New Roman"/>
                <w:b/>
                <w:bCs/>
                <w:noProof/>
                <w:lang w:val="en-US"/>
              </w:rPr>
              <w:t>Reference list</w:t>
            </w:r>
            <w:r w:rsidR="002E1DED">
              <w:rPr>
                <w:noProof/>
                <w:webHidden/>
              </w:rPr>
              <w:tab/>
            </w:r>
            <w:r w:rsidR="002E1DED">
              <w:rPr>
                <w:noProof/>
                <w:webHidden/>
              </w:rPr>
              <w:fldChar w:fldCharType="begin"/>
            </w:r>
            <w:r w:rsidR="002E1DED">
              <w:rPr>
                <w:noProof/>
                <w:webHidden/>
              </w:rPr>
              <w:instrText xml:space="preserve"> PAGEREF _Toc72677640 \h </w:instrText>
            </w:r>
            <w:r w:rsidR="002E1DED">
              <w:rPr>
                <w:noProof/>
                <w:webHidden/>
              </w:rPr>
            </w:r>
            <w:r w:rsidR="002E1DED">
              <w:rPr>
                <w:noProof/>
                <w:webHidden/>
              </w:rPr>
              <w:fldChar w:fldCharType="separate"/>
            </w:r>
            <w:r w:rsidR="002E1DED">
              <w:rPr>
                <w:noProof/>
                <w:webHidden/>
              </w:rPr>
              <w:t>8</w:t>
            </w:r>
            <w:r w:rsidR="002E1DED">
              <w:rPr>
                <w:noProof/>
                <w:webHidden/>
              </w:rPr>
              <w:fldChar w:fldCharType="end"/>
            </w:r>
          </w:hyperlink>
        </w:p>
        <w:p w14:paraId="5216DEBC" w14:textId="7C35F18F" w:rsidR="00424906" w:rsidRPr="002E1DED" w:rsidRDefault="00424906" w:rsidP="002B58EE">
          <w:pPr>
            <w:rPr>
              <w:rFonts w:ascii="Palatino Linotype" w:hAnsi="Palatino Linotype" w:cs="Times New Roman"/>
              <w:color w:val="000000" w:themeColor="text1"/>
              <w:szCs w:val="28"/>
            </w:rPr>
          </w:pPr>
          <w:r w:rsidRPr="002E1DED">
            <w:rPr>
              <w:rFonts w:ascii="Palatino Linotype" w:hAnsi="Palatino Linotype" w:cs="Times New Roman"/>
              <w:b/>
              <w:bCs/>
              <w:color w:val="000000" w:themeColor="text1"/>
              <w:szCs w:val="28"/>
            </w:rPr>
            <w:fldChar w:fldCharType="end"/>
          </w:r>
        </w:p>
      </w:sdtContent>
    </w:sdt>
    <w:p w14:paraId="74611795" w14:textId="299DC354" w:rsidR="00424906" w:rsidRPr="002E1DED" w:rsidRDefault="00424906" w:rsidP="002B58EE">
      <w:pPr>
        <w:rPr>
          <w:rFonts w:ascii="Palatino Linotype" w:hAnsi="Palatino Linotype" w:cs="Times New Roman"/>
          <w:color w:val="000000" w:themeColor="text1"/>
          <w:szCs w:val="28"/>
          <w:lang w:val="en-US"/>
        </w:rPr>
      </w:pPr>
      <w:r w:rsidRPr="002E1DED">
        <w:rPr>
          <w:rFonts w:ascii="Palatino Linotype" w:hAnsi="Palatino Linotype" w:cs="Times New Roman"/>
          <w:color w:val="000000" w:themeColor="text1"/>
          <w:szCs w:val="28"/>
          <w:lang w:val="en-US"/>
        </w:rPr>
        <w:br w:type="page"/>
      </w:r>
    </w:p>
    <w:p w14:paraId="58EAAC7A" w14:textId="7E705E28" w:rsidR="000A0DF2" w:rsidRDefault="000A0DF2" w:rsidP="002E1DED">
      <w:pPr>
        <w:pStyle w:val="Heading1"/>
        <w:jc w:val="both"/>
        <w:rPr>
          <w:rFonts w:ascii="Palatino Linotype" w:hAnsi="Palatino Linotype"/>
          <w:color w:val="000000" w:themeColor="text1"/>
          <w:lang w:val="en-US"/>
        </w:rPr>
      </w:pPr>
      <w:bookmarkStart w:id="0" w:name="_Toc72677636"/>
      <w:bookmarkStart w:id="1" w:name="_Hlk72519795"/>
      <w:r w:rsidRPr="002E1DED">
        <w:rPr>
          <w:rFonts w:ascii="Palatino Linotype" w:hAnsi="Palatino Linotype"/>
          <w:color w:val="000000" w:themeColor="text1"/>
          <w:lang w:val="en-US"/>
        </w:rPr>
        <w:lastRenderedPageBreak/>
        <w:t>Aqueous fullerene dispersion preparation and material safety data sheet</w:t>
      </w:r>
      <w:bookmarkEnd w:id="0"/>
    </w:p>
    <w:p w14:paraId="37D91453" w14:textId="77777777" w:rsidR="002E1DED" w:rsidRPr="002E1DED" w:rsidRDefault="002E1DED" w:rsidP="002E1DED">
      <w:pPr>
        <w:rPr>
          <w:lang w:val="en-US"/>
        </w:rPr>
      </w:pPr>
    </w:p>
    <w:bookmarkEnd w:id="1"/>
    <w:p w14:paraId="3DE7A427" w14:textId="5F292FA0" w:rsidR="000A0DF2" w:rsidRPr="002E1DED" w:rsidRDefault="000A0DF2" w:rsidP="00C873D8">
      <w:pPr>
        <w:pStyle w:val="MDPI35textbeforelist"/>
        <w:ind w:left="0" w:firstLine="567"/>
        <w:rPr>
          <w:color w:val="000000" w:themeColor="text1"/>
        </w:rPr>
      </w:pPr>
      <w:r w:rsidRPr="002E1DED">
        <w:rPr>
          <w:color w:val="000000" w:themeColor="text1"/>
        </w:rPr>
        <w:t>Chemiluminescent systems can be influenced by the purity of the objects under study. Moreover, the action of the impurity component can be taken as a false positive mechanism. Thus, we carried out a deep purification of the AFDs. We have used the direct ultrasound-assisted preparation technique for AFDs of C</w:t>
      </w:r>
      <w:r w:rsidRPr="002E1DED">
        <w:rPr>
          <w:color w:val="000000" w:themeColor="text1"/>
          <w:vertAlign w:val="subscript"/>
        </w:rPr>
        <w:t>60</w:t>
      </w:r>
      <w:r w:rsidRPr="002E1DED">
        <w:rPr>
          <w:color w:val="000000" w:themeColor="text1"/>
        </w:rPr>
        <w:t>, C</w:t>
      </w:r>
      <w:r w:rsidRPr="002E1DED">
        <w:rPr>
          <w:color w:val="000000" w:themeColor="text1"/>
          <w:vertAlign w:val="subscript"/>
        </w:rPr>
        <w:t>70</w:t>
      </w:r>
      <w:r w:rsidRPr="002E1DED">
        <w:rPr>
          <w:color w:val="000000" w:themeColor="text1"/>
        </w:rPr>
        <w:t>, and Gd@C</w:t>
      </w:r>
      <w:r w:rsidRPr="002E1DED">
        <w:rPr>
          <w:color w:val="000000" w:themeColor="text1"/>
          <w:vertAlign w:val="subscript"/>
        </w:rPr>
        <w:t>82</w:t>
      </w:r>
      <w:r w:rsidRPr="002E1DED">
        <w:rPr>
          <w:color w:val="000000" w:themeColor="text1"/>
        </w:rPr>
        <w:t xml:space="preserve"> preparation </w:t>
      </w:r>
      <w:r w:rsidRPr="002E1DED">
        <w:rPr>
          <w:color w:val="000000" w:themeColor="text1"/>
        </w:rPr>
        <w:fldChar w:fldCharType="begin"/>
      </w:r>
      <w:r w:rsidR="00D70A86" w:rsidRPr="002E1DED">
        <w:rPr>
          <w:color w:val="000000" w:themeColor="text1"/>
        </w:rPr>
        <w:instrText xml:space="preserve"> ADDIN EN.CITE &lt;EndNote&gt;&lt;Cite&gt;&lt;Author&gt;Mikheev&lt;/Author&gt;&lt;Year&gt;2021&lt;/Year&gt;&lt;RecNum&gt;19062&lt;/RecNum&gt;&lt;DisplayText&gt;&lt;style size="10"&gt;[1]&lt;/style&gt;&lt;/DisplayText&gt;&lt;record&gt;&lt;rec-number&gt;19062&lt;/rec-number&gt;&lt;foreign-keys&gt;&lt;key app="EN" db-id="sfexdxdw6wvvtgev0dlvas2pwezeas0vzz5e" timestamp="1621683963"&gt;19062&lt;/key&gt;&lt;/foreign-keys&gt;&lt;ref-type name="Journal Article"&gt;17&lt;/ref-type&gt;&lt;contributors&gt;&lt;authors&gt;&lt;author&gt;Mikheev, Ivan V.&lt;/author&gt;&lt;author&gt;Pirogova, Mariya O.&lt;/author&gt;&lt;author&gt;Usoltseva, Liliia O.&lt;/author&gt;&lt;author&gt;Uzhel, Anna S.&lt;/author&gt;&lt;author&gt;Bolotnik, Timofey A.&lt;/author&gt;&lt;author&gt;Kareev, Ivan E.&lt;/author&gt;&lt;author&gt;Bubnov, Viacheslav P.&lt;/author&gt;&lt;author&gt;Lukonina, Natalia S.&lt;/author&gt;&lt;author&gt;Volkov, Dmitry S.&lt;/author&gt;&lt;author&gt;Goryunkov, Alexey A.&lt;/author&gt;&lt;author&gt;Korobov, Mikhail V.&lt;/author&gt;&lt;author&gt;Proskurnin, Mikhail A.&lt;/author&gt;&lt;/authors&gt;&lt;/contributors&gt;&lt;titles&gt;&lt;title&gt;Green and rapid preparation of long-term stable aqueous dispersions of fullerenes and endohedral fullerenes: The pros and con of an ultrasonic probe&lt;/title&gt;&lt;secondary-title&gt;Ultrasonics Sonochemistry&lt;/secondary-title&gt;&lt;/titles&gt;&lt;periodical&gt;&lt;full-title&gt;Ultrasonics Sonochemistry&lt;/full-title&gt;&lt;abbr-1&gt;Ultrason. Sonochem.&lt;/abbr-1&gt;&lt;abbr-2&gt;Ultrason Sonochem&lt;/abbr-2&gt;&lt;/periodical&gt;&lt;pages&gt;105533&lt;/pages&gt;&lt;keywords&gt;&lt;keyword&gt;fullerene&lt;/keyword&gt;&lt;keyword&gt;endofullerene&lt;/keyword&gt;&lt;keyword&gt;aqueous fullerene dispersion&lt;/keyword&gt;&lt;keyword&gt;ultrasound-assisted preparation&lt;/keyword&gt;&lt;keyword&gt;immersible ultrasound probe&lt;/keyword&gt;&lt;keyword&gt;sonochemistry&lt;/keyword&gt;&lt;/keywords&gt;&lt;dates&gt;&lt;year&gt;2021&lt;/year&gt;&lt;pub-dates&gt;&lt;date&gt;2021/03/19/&lt;/date&gt;&lt;/pub-dates&gt;&lt;/dates&gt;&lt;isbn&gt;1350-4177&lt;/isbn&gt;&lt;urls&gt;&lt;related-urls&gt;&lt;url&gt;https://www.sciencedirect.com/science/article/pii/S1350417721000754&lt;/url&gt;&lt;/related-urls&gt;&lt;/urls&gt;&lt;electronic-resource-num&gt;https://doi.org/10.1016/j.ultsonch.2021.105533&lt;/electronic-resource-num&gt;&lt;/record&gt;&lt;/Cite&gt;&lt;/EndNote&gt;</w:instrText>
      </w:r>
      <w:r w:rsidRPr="002E1DED">
        <w:rPr>
          <w:color w:val="000000" w:themeColor="text1"/>
        </w:rPr>
        <w:fldChar w:fldCharType="separate"/>
      </w:r>
      <w:r w:rsidR="00D70A86" w:rsidRPr="002E1DED">
        <w:rPr>
          <w:noProof/>
          <w:color w:val="000000" w:themeColor="text1"/>
        </w:rPr>
        <w:t>[1]</w:t>
      </w:r>
      <w:r w:rsidRPr="002E1DED">
        <w:rPr>
          <w:color w:val="000000" w:themeColor="text1"/>
        </w:rPr>
        <w:fldChar w:fldCharType="end"/>
      </w:r>
      <w:r w:rsidRPr="002E1DED">
        <w:rPr>
          <w:color w:val="000000" w:themeColor="text1"/>
        </w:rPr>
        <w:t xml:space="preserve"> due to fewer impurity components and sedimental stability for more than 20 months. </w:t>
      </w:r>
    </w:p>
    <w:p w14:paraId="7A915238" w14:textId="0A12C36D" w:rsidR="000A0DF2" w:rsidRPr="002E1DED" w:rsidRDefault="000A0DF2" w:rsidP="00C873D8">
      <w:pPr>
        <w:pStyle w:val="MDPI35textbeforelist"/>
        <w:ind w:left="0" w:firstLine="567"/>
        <w:rPr>
          <w:color w:val="000000" w:themeColor="text1"/>
        </w:rPr>
      </w:pPr>
      <w:r w:rsidRPr="002E1DED">
        <w:rPr>
          <w:color w:val="000000" w:themeColor="text1"/>
        </w:rPr>
        <w:t xml:space="preserve">Our experience with a sonication system for carbonaceous nanomaterials (hydrosols of nanodiamond) reveals titanium impurities </w:t>
      </w:r>
      <w:r w:rsidRPr="002E1DED">
        <w:rPr>
          <w:color w:val="000000" w:themeColor="text1"/>
        </w:rPr>
        <w:fldChar w:fldCharType="begin"/>
      </w:r>
      <w:r w:rsidR="00D70A86" w:rsidRPr="002E1DED">
        <w:rPr>
          <w:color w:val="000000" w:themeColor="text1"/>
        </w:rPr>
        <w:instrText xml:space="preserve"> ADDIN EN.CITE &lt;EndNote&gt;&lt;Cite&gt;&lt;Author&gt;Myasnikov&lt;/Author&gt;&lt;Year&gt;2018&lt;/Year&gt;&lt;RecNum&gt;30&lt;/RecNum&gt;&lt;DisplayText&gt;&lt;style size="10"&gt;[2]&lt;/style&gt;&lt;/DisplayText&gt;&lt;record&gt;&lt;rec-number&gt;30&lt;/rec-number&gt;&lt;foreign-keys&gt;&lt;key app="EN" db-id="te5eszts5wz5ahepve95exxpxaad5tpaf2p9" timestamp="1617600577"&gt;30&lt;/key&gt;&lt;/foreign-keys&gt;&lt;ref-type name="Journal Article"&gt;17&lt;/ref-type&gt;&lt;contributors&gt;&lt;authors&gt;&lt;author&gt;Myasnikov, Ivan Yu&lt;/author&gt;&lt;author&gt;Gopin, Alexander V.&lt;/author&gt;&lt;author&gt;Mikheev, Ivan V.&lt;/author&gt;&lt;author&gt;Chernysheva, Maria G.&lt;/author&gt;&lt;author&gt;Badun, Gennadii A.&lt;/author&gt;&lt;/authors&gt;&lt;/contributors&gt;&lt;titles&gt;&lt;title&gt;Presonication of nanodiamond hydrosols in radiolabeling by a tritium thermal activation method&lt;/title&gt;&lt;secondary-title&gt;Mendeleev Communications&lt;/secondary-title&gt;&lt;/titles&gt;&lt;periodical&gt;&lt;full-title&gt;Mendeleev Communications&lt;/full-title&gt;&lt;/periodical&gt;&lt;pages&gt;495-496&lt;/pages&gt;&lt;volume&gt;28&lt;/volume&gt;&lt;number&gt;5&lt;/number&gt;&lt;dates&gt;&lt;year&gt;2018&lt;/year&gt;&lt;pub-dates&gt;&lt;date&gt;2018/09/01/&lt;/date&gt;&lt;/pub-dates&gt;&lt;/dates&gt;&lt;isbn&gt;0959-9436&lt;/isbn&gt;&lt;urls&gt;&lt;related-urls&gt;&lt;url&gt;https://www.sciencedirect.com/science/article/pii/S0959943618302098&lt;/url&gt;&lt;/related-urls&gt;&lt;/urls&gt;&lt;electronic-resource-num&gt;https://doi.org/10.1016/j.mencom.2018.09.014&lt;/electronic-resource-num&gt;&lt;/record&gt;&lt;/Cite&gt;&lt;/EndNote&gt;</w:instrText>
      </w:r>
      <w:r w:rsidRPr="002E1DED">
        <w:rPr>
          <w:color w:val="000000" w:themeColor="text1"/>
        </w:rPr>
        <w:fldChar w:fldCharType="separate"/>
      </w:r>
      <w:r w:rsidR="00D70A86" w:rsidRPr="002E1DED">
        <w:rPr>
          <w:noProof/>
          <w:color w:val="000000" w:themeColor="text1"/>
        </w:rPr>
        <w:t>[2]</w:t>
      </w:r>
      <w:r w:rsidRPr="002E1DED">
        <w:rPr>
          <w:color w:val="000000" w:themeColor="text1"/>
        </w:rPr>
        <w:fldChar w:fldCharType="end"/>
      </w:r>
      <w:r w:rsidRPr="002E1DED">
        <w:rPr>
          <w:color w:val="000000" w:themeColor="text1"/>
        </w:rPr>
        <w:t xml:space="preserve"> even for a short time (e.g., several minutes) of ultrasound treatment. Titanium accumulation rate was proportional to the prolonged ultrasound exposure time </w:t>
      </w:r>
      <w:r w:rsidRPr="002E1DED">
        <w:rPr>
          <w:color w:val="000000" w:themeColor="text1"/>
        </w:rPr>
        <w:fldChar w:fldCharType="begin"/>
      </w:r>
      <w:r w:rsidR="00D70A86" w:rsidRPr="002E1DED">
        <w:rPr>
          <w:color w:val="000000" w:themeColor="text1"/>
        </w:rPr>
        <w:instrText xml:space="preserve"> ADDIN EN.CITE &lt;EndNote&gt;&lt;Cite&gt;&lt;Author&gt;Virot&lt;/Author&gt;&lt;Year&gt;2015&lt;/Year&gt;&lt;RecNum&gt;33&lt;/RecNum&gt;&lt;DisplayText&gt;&lt;style size="10"&gt;[3]&lt;/style&gt;&lt;/DisplayText&gt;&lt;record&gt;&lt;rec-number&gt;33&lt;/rec-number&gt;&lt;foreign-keys&gt;&lt;key app="EN" db-id="te5eszts5wz5ahepve95exxpxaad5tpaf2p9" timestamp="1617608362"&gt;33&lt;/key&gt;&lt;/foreign-keys&gt;&lt;ref-type name="Journal Article"&gt;17&lt;/ref-type&gt;&lt;contributors&gt;&lt;authors&gt;&lt;author&gt;Virot, Matthieu&lt;/author&gt;&lt;author&gt;Venault, Laurent&lt;/author&gt;&lt;author&gt;Moisy, Philippe&lt;/author&gt;&lt;author&gt;Nikitenko, Sergey I.&lt;/author&gt;&lt;/authors&gt;&lt;/contributors&gt;&lt;titles&gt;&lt;title&gt;Sonochemical redox reactions of Pu(iii) and Pu(iv) in aqueous nitric solutions&lt;/title&gt;&lt;secondary-title&gt;Dalton Transactions&lt;/secondary-title&gt;&lt;/titles&gt;&lt;periodical&gt;&lt;full-title&gt;Dalton Transactions&lt;/full-title&gt;&lt;/periodical&gt;&lt;pages&gt;2567-2574&lt;/pages&gt;&lt;volume&gt;44&lt;/volume&gt;&lt;number&gt;6&lt;/number&gt;&lt;dates&gt;&lt;year&gt;2015&lt;/year&gt;&lt;/dates&gt;&lt;publisher&gt;The Royal Society of Chemistry&lt;/publisher&gt;&lt;isbn&gt;1477-9226&lt;/isbn&gt;&lt;work-type&gt;10.1039/C4DT02330G&lt;/work-type&gt;&lt;urls&gt;&lt;related-urls&gt;&lt;url&gt;http://dx.doi.org/10.1039/C4DT02330G&lt;/url&gt;&lt;/related-urls&gt;&lt;/urls&gt;&lt;electronic-resource-num&gt;10.1039/C4DT02330G&lt;/electronic-resource-num&gt;&lt;/record&gt;&lt;/Cite&gt;&lt;/EndNote&gt;</w:instrText>
      </w:r>
      <w:r w:rsidRPr="002E1DED">
        <w:rPr>
          <w:color w:val="000000" w:themeColor="text1"/>
        </w:rPr>
        <w:fldChar w:fldCharType="separate"/>
      </w:r>
      <w:r w:rsidR="00D70A86" w:rsidRPr="002E1DED">
        <w:rPr>
          <w:noProof/>
          <w:color w:val="000000" w:themeColor="text1"/>
        </w:rPr>
        <w:t>[3]</w:t>
      </w:r>
      <w:r w:rsidRPr="002E1DED">
        <w:rPr>
          <w:color w:val="000000" w:themeColor="text1"/>
        </w:rPr>
        <w:fldChar w:fldCharType="end"/>
      </w:r>
      <w:r w:rsidRPr="002E1DED">
        <w:rPr>
          <w:color w:val="000000" w:themeColor="text1"/>
        </w:rPr>
        <w:t xml:space="preserve">. Our previous experiments proved that titanium and silicon are oxide species </w:t>
      </w:r>
      <w:r w:rsidRPr="002E1DED">
        <w:rPr>
          <w:color w:val="000000" w:themeColor="text1"/>
        </w:rPr>
        <w:fldChar w:fldCharType="begin"/>
      </w:r>
      <w:r w:rsidR="00D70A86" w:rsidRPr="002E1DED">
        <w:rPr>
          <w:color w:val="000000" w:themeColor="text1"/>
        </w:rPr>
        <w:instrText xml:space="preserve"> ADDIN EN.CITE &lt;EndNote&gt;&lt;Cite&gt;&lt;Author&gt;V. Mikheev&lt;/Author&gt;&lt;Year&gt;2020&lt;/Year&gt;&lt;RecNum&gt;8&lt;/RecNum&gt;&lt;DisplayText&gt;&lt;style size="10"&gt;[4]&lt;/style&gt;&lt;/DisplayText&gt;&lt;record&gt;&lt;rec-number&gt;8&lt;/rec-number&gt;&lt;foreign-keys&gt;&lt;key app="EN" db-id="te5eszts5wz5ahepve95exxpxaad5tpaf2p9" timestamp="1616997080"&gt;8&lt;/key&gt;&lt;/foreign-keys&gt;&lt;ref-type name="Journal Article"&gt;17&lt;/ref-type&gt;&lt;contributors&gt;&lt;authors&gt;&lt;author&gt;V. Mikheev, Ivan&lt;/author&gt;&lt;author&gt;M. Sozarukova, Madina&lt;/author&gt;&lt;author&gt;V. Proskurnina, Elena&lt;/author&gt;&lt;author&gt;E. Kareev, Ivan&lt;/author&gt;&lt;author&gt;A. Proskurnin, Mikhail&lt;/author&gt;&lt;/authors&gt;&lt;/contributors&gt;&lt;titles&gt;&lt;title&gt;Non-Functionalized Fullerenes and Endofullerenes in Aqueous Dispersions as Superoxide Scavengers&lt;/title&gt;&lt;secondary-title&gt;Molecules&lt;/secondary-title&gt;&lt;/titles&gt;&lt;periodical&gt;&lt;full-title&gt;Molecules&lt;/full-title&gt;&lt;/periodical&gt;&lt;pages&gt;2506&lt;/pages&gt;&lt;volume&gt;25&lt;/volume&gt;&lt;number&gt;11&lt;/number&gt;&lt;dates&gt;&lt;year&gt;2020&lt;/year&gt;&lt;/dates&gt;&lt;isbn&gt;1420-3049&lt;/isbn&gt;&lt;accession-num&gt;doi:10.3390/molecules25112506&lt;/accession-num&gt;&lt;urls&gt;&lt;related-urls&gt;&lt;url&gt;https://www.mdpi.com/1420-3049/25/11/2506&lt;/url&gt;&lt;/related-urls&gt;&lt;/urls&gt;&lt;/record&gt;&lt;/Cite&gt;&lt;/EndNote&gt;</w:instrText>
      </w:r>
      <w:r w:rsidRPr="002E1DED">
        <w:rPr>
          <w:color w:val="000000" w:themeColor="text1"/>
        </w:rPr>
        <w:fldChar w:fldCharType="separate"/>
      </w:r>
      <w:r w:rsidR="00D70A86" w:rsidRPr="002E1DED">
        <w:rPr>
          <w:noProof/>
          <w:color w:val="000000" w:themeColor="text1"/>
        </w:rPr>
        <w:t>[4]</w:t>
      </w:r>
      <w:r w:rsidRPr="002E1DED">
        <w:rPr>
          <w:color w:val="000000" w:themeColor="text1"/>
        </w:rPr>
        <w:fldChar w:fldCharType="end"/>
      </w:r>
      <w:r w:rsidRPr="002E1DED">
        <w:rPr>
          <w:color w:val="000000" w:themeColor="text1"/>
        </w:rPr>
        <w:t xml:space="preserve">. However, purification of AFD would not be resolved by now. </w:t>
      </w:r>
      <w:bookmarkStart w:id="2" w:name="_Hlk71648161"/>
      <w:r w:rsidRPr="002E1DED">
        <w:rPr>
          <w:color w:val="000000" w:themeColor="text1"/>
        </w:rPr>
        <w:t>The main idea of AFDs purification is primarily related to reducing the number of inorganic impurities (nanoparticles of titanium and silicon oxides), even considering the losses of the main componen</w:t>
      </w:r>
      <w:bookmarkEnd w:id="2"/>
      <w:r w:rsidRPr="002E1DED">
        <w:rPr>
          <w:color w:val="000000" w:themeColor="text1"/>
        </w:rPr>
        <w:t xml:space="preserve">t. Contamination of AFDs is associated with metal-carbon interactions </w:t>
      </w:r>
      <w:r w:rsidRPr="002E1DED">
        <w:rPr>
          <w:color w:val="000000" w:themeColor="text1"/>
        </w:rPr>
        <w:fldChar w:fldCharType="begin"/>
      </w:r>
      <w:r w:rsidR="00D70A86" w:rsidRPr="002E1DED">
        <w:rPr>
          <w:color w:val="000000" w:themeColor="text1"/>
        </w:rPr>
        <w:instrText xml:space="preserve"> ADDIN EN.CITE &lt;EndNote&gt;&lt;Cite&gt;&lt;Author&gt;Kiciński&lt;/Author&gt;&lt;Year&gt;2020&lt;/Year&gt;&lt;RecNum&gt;36&lt;/RecNum&gt;&lt;DisplayText&gt;&lt;style size="10"&gt;[5]&lt;/style&gt;&lt;/DisplayText&gt;&lt;record&gt;&lt;rec-number&gt;36&lt;/rec-number&gt;&lt;foreign-keys&gt;&lt;key app="EN" db-id="te5eszts5wz5ahepve95exxpxaad5tpaf2p9" timestamp="1617611666"&gt;36&lt;/key&gt;&lt;/foreign-keys&gt;&lt;ref-type name="Journal Article"&gt;17&lt;/ref-type&gt;&lt;contributors&gt;&lt;authors&gt;&lt;author&gt;Kiciński, Wojciech&lt;/author&gt;&lt;author&gt;Dyjak, Sławomir&lt;/author&gt;&lt;/authors&gt;&lt;/contributors&gt;&lt;titles&gt;&lt;title&gt;Transition metal impurities in carbon-based materials: Pitfalls, artifacts and deleterious effects&lt;/title&gt;&lt;secondary-title&gt;Carbon&lt;/secondary-title&gt;&lt;/titles&gt;&lt;periodical&gt;&lt;full-title&gt;Carbon&lt;/full-title&gt;&lt;/periodical&gt;&lt;pages&gt;748-845&lt;/pages&gt;&lt;volume&gt;168&lt;/volume&gt;&lt;dates&gt;&lt;year&gt;2020&lt;/year&gt;&lt;pub-dates&gt;&lt;date&gt;2020/10/30/&lt;/date&gt;&lt;/pub-dates&gt;&lt;/dates&gt;&lt;isbn&gt;0008-6223&lt;/isbn&gt;&lt;urls&gt;&lt;related-urls&gt;&lt;url&gt;https://www.sciencedirect.com/science/article/pii/S0008622320305558&lt;/url&gt;&lt;/related-urls&gt;&lt;/urls&gt;&lt;electronic-resource-num&gt;https://doi.org/10.1016/j.carbon.2020.06.004&lt;/electronic-resource-num&gt;&lt;/record&gt;&lt;/Cite&gt;&lt;/EndNote&gt;</w:instrText>
      </w:r>
      <w:r w:rsidRPr="002E1DED">
        <w:rPr>
          <w:color w:val="000000" w:themeColor="text1"/>
        </w:rPr>
        <w:fldChar w:fldCharType="separate"/>
      </w:r>
      <w:r w:rsidR="00D70A86" w:rsidRPr="002E1DED">
        <w:rPr>
          <w:noProof/>
          <w:color w:val="000000" w:themeColor="text1"/>
        </w:rPr>
        <w:t>[5]</w:t>
      </w:r>
      <w:r w:rsidRPr="002E1DED">
        <w:rPr>
          <w:color w:val="000000" w:themeColor="text1"/>
        </w:rPr>
        <w:fldChar w:fldCharType="end"/>
      </w:r>
      <w:bookmarkStart w:id="3" w:name="_Hlk68512244"/>
      <w:r w:rsidRPr="002E1DED">
        <w:rPr>
          <w:color w:val="000000" w:themeColor="text1"/>
        </w:rPr>
        <w:t>. It is essential to choose the correct filter system. We used commercially available syringe PVDF membrane filters of 0.22 or 0.45 μm. As for TiO</w:t>
      </w:r>
      <w:r w:rsidRPr="002E1DED">
        <w:rPr>
          <w:color w:val="000000" w:themeColor="text1"/>
          <w:vertAlign w:val="subscript"/>
        </w:rPr>
        <w:t>2</w:t>
      </w:r>
      <w:r w:rsidRPr="002E1DED">
        <w:rPr>
          <w:color w:val="000000" w:themeColor="text1"/>
        </w:rPr>
        <w:t xml:space="preserve"> NPs purification, a PV</w:t>
      </w:r>
      <w:bookmarkEnd w:id="3"/>
      <w:r w:rsidRPr="002E1DED">
        <w:rPr>
          <w:color w:val="000000" w:themeColor="text1"/>
        </w:rPr>
        <w:t>DF membrane can be used due to the high affinity of TiO</w:t>
      </w:r>
      <w:r w:rsidRPr="002E1DED">
        <w:rPr>
          <w:color w:val="000000" w:themeColor="text1"/>
          <w:vertAlign w:val="subscript"/>
        </w:rPr>
        <w:t>2</w:t>
      </w:r>
      <w:r w:rsidRPr="002E1DED">
        <w:rPr>
          <w:color w:val="000000" w:themeColor="text1"/>
        </w:rPr>
        <w:t xml:space="preserve"> for water </w:t>
      </w:r>
      <w:r w:rsidRPr="002E1DED">
        <w:rPr>
          <w:color w:val="000000" w:themeColor="text1"/>
        </w:rPr>
        <w:fldChar w:fldCharType="begin"/>
      </w:r>
      <w:r w:rsidR="00D70A86" w:rsidRPr="002E1DED">
        <w:rPr>
          <w:color w:val="000000" w:themeColor="text1"/>
        </w:rPr>
        <w:instrText xml:space="preserve"> ADDIN EN.CITE &lt;EndNote&gt;&lt;Cite&gt;&lt;Author&gt;Martins&lt;/Author&gt;&lt;Year&gt;2016&lt;/Year&gt;&lt;RecNum&gt;31&lt;/RecNum&gt;&lt;DisplayText&gt;&lt;style size="10"&gt;[6]&lt;/style&gt;&lt;/DisplayText&gt;&lt;record&gt;&lt;rec-number&gt;31&lt;/rec-number&gt;&lt;foreign-keys&gt;&lt;key app="EN" db-id="te5eszts5wz5ahepve95exxpxaad5tpaf2p9" timestamp="1617606512"&gt;31&lt;/key&gt;&lt;/foreign-keys&gt;&lt;ref-type name="Journal Article"&gt;17&lt;/ref-type&gt;&lt;contributors&gt;&lt;authors&gt;&lt;author&gt;Martins, P. M.&lt;/author&gt;&lt;author&gt;Miranda, R.&lt;/author&gt;&lt;author&gt;Marques, J.&lt;/author&gt;&lt;author&gt;Tavares, Carlos J.&lt;/author&gt;&lt;author&gt;Botelho, G.&lt;/author&gt;&lt;author&gt;Lanceros-Mendez, S.&lt;/author&gt;&lt;/authors&gt;&lt;/contributors&gt;&lt;titles&gt;&lt;title&gt;Comparative efficiency of TiO2 nanoparticles in suspension vs. immobilization into P(VDF–TrFE) porous membranes&lt;/title&gt;&lt;secondary-title&gt;RSC Advances&lt;/secondary-title&gt;&lt;/titles&gt;&lt;periodical&gt;&lt;full-title&gt;RSC Advances&lt;/full-title&gt;&lt;/periodical&gt;&lt;pages&gt;12708-12716&lt;/pages&gt;&lt;volume&gt;6&lt;/volume&gt;&lt;number&gt;15&lt;/number&gt;&lt;dates&gt;&lt;year&gt;2016&lt;/year&gt;&lt;/dates&gt;&lt;publisher&gt;The Royal Society of Chemistry&lt;/publisher&gt;&lt;work-type&gt;10.1039/C5RA25385C&lt;/work-type&gt;&lt;urls&gt;&lt;related-urls&gt;&lt;url&gt;http://dx.doi.org/10.1039/C5RA25385C&lt;/url&gt;&lt;/related-urls&gt;&lt;/urls&gt;&lt;electronic-resource-num&gt;10.1039/C5RA25385C&lt;/electronic-resource-num&gt;&lt;/record&gt;&lt;/Cite&gt;&lt;/EndNote&gt;</w:instrText>
      </w:r>
      <w:r w:rsidRPr="002E1DED">
        <w:rPr>
          <w:color w:val="000000" w:themeColor="text1"/>
        </w:rPr>
        <w:fldChar w:fldCharType="separate"/>
      </w:r>
      <w:r w:rsidR="00D70A86" w:rsidRPr="002E1DED">
        <w:rPr>
          <w:noProof/>
          <w:color w:val="000000" w:themeColor="text1"/>
        </w:rPr>
        <w:t>[6]</w:t>
      </w:r>
      <w:r w:rsidRPr="002E1DED">
        <w:rPr>
          <w:color w:val="000000" w:themeColor="text1"/>
        </w:rPr>
        <w:fldChar w:fldCharType="end"/>
      </w:r>
      <w:r w:rsidRPr="002E1DED">
        <w:rPr>
          <w:color w:val="000000" w:themeColor="text1"/>
        </w:rPr>
        <w:t>; the presence of hydroxyl moieties from TiO</w:t>
      </w:r>
      <w:r w:rsidRPr="002E1DED">
        <w:rPr>
          <w:color w:val="000000" w:themeColor="text1"/>
          <w:vertAlign w:val="subscript"/>
        </w:rPr>
        <w:t>2</w:t>
      </w:r>
      <w:r w:rsidRPr="002E1DED">
        <w:rPr>
          <w:color w:val="000000" w:themeColor="text1"/>
        </w:rPr>
        <w:t xml:space="preserve"> NPs contributed to improving the hydrophilicity, thereby improving the water ﬂux </w:t>
      </w:r>
      <w:r w:rsidRPr="002E1DED">
        <w:rPr>
          <w:color w:val="000000" w:themeColor="text1"/>
        </w:rPr>
        <w:fldChar w:fldCharType="begin"/>
      </w:r>
      <w:r w:rsidR="00D70A86" w:rsidRPr="002E1DED">
        <w:rPr>
          <w:color w:val="000000" w:themeColor="text1"/>
        </w:rPr>
        <w:instrText xml:space="preserve"> ADDIN EN.CITE &lt;EndNote&gt;&lt;Cite&gt;&lt;Author&gt;Samree&lt;/Author&gt;&lt;Year&gt;2020&lt;/Year&gt;&lt;RecNum&gt;32&lt;/RecNum&gt;&lt;DisplayText&gt;&lt;style size="10"&gt;[7]&lt;/style&gt;&lt;/DisplayText&gt;&lt;record&gt;&lt;rec-number&gt;32&lt;/rec-number&gt;&lt;foreign-keys&gt;&lt;key app="EN" db-id="te5eszts5wz5ahepve95exxpxaad5tpaf2p9" timestamp="1617606928"&gt;32&lt;/key&gt;&lt;/foreign-keys&gt;&lt;ref-type name="Journal Article"&gt;17&lt;/ref-type&gt;&lt;contributors&gt;&lt;authors&gt;&lt;author&gt;Samree, Kajeephan&lt;/author&gt;&lt;author&gt;Srithai, Pen-umpai&lt;/author&gt;&lt;author&gt;Kotchaplai, Panaya&lt;/author&gt;&lt;author&gt;Thuptimdang, Pumis&lt;/author&gt;&lt;author&gt;Painmanakul, Pisut&lt;/author&gt;&lt;author&gt;Hunsom, Mali&lt;/author&gt;&lt;author&gt;Sairiam, Sermpong&lt;/author&gt;&lt;/authors&gt;&lt;/contributors&gt;&lt;titles&gt;&lt;title&gt;Enhancing the Antibacterial Properties of PVDF Membrane by Hydrophilic Surface Modification Using Titanium Dioxide and Silver Nanoparticles&lt;/title&gt;&lt;secondary-title&gt;Membranes&lt;/secondary-title&gt;&lt;/titles&gt;&lt;periodical&gt;&lt;full-title&gt;Membranes&lt;/full-title&gt;&lt;/periodical&gt;&lt;pages&gt;289&lt;/pages&gt;&lt;volume&gt;10&lt;/volume&gt;&lt;number&gt;10&lt;/number&gt;&lt;dates&gt;&lt;year&gt;2020&lt;/year&gt;&lt;/dates&gt;&lt;isbn&gt;2077-0375&lt;/isbn&gt;&lt;accession-num&gt;doi:10.3390/membranes10100289&lt;/accession-num&gt;&lt;urls&gt;&lt;related-urls&gt;&lt;url&gt;https://www.mdpi.com/2077-0375/10/10/289&lt;/url&gt;&lt;/related-urls&gt;&lt;/urls&gt;&lt;/record&gt;&lt;/Cite&gt;&lt;/EndNote&gt;</w:instrText>
      </w:r>
      <w:r w:rsidRPr="002E1DED">
        <w:rPr>
          <w:color w:val="000000" w:themeColor="text1"/>
        </w:rPr>
        <w:fldChar w:fldCharType="separate"/>
      </w:r>
      <w:r w:rsidR="00D70A86" w:rsidRPr="002E1DED">
        <w:rPr>
          <w:noProof/>
          <w:color w:val="000000" w:themeColor="text1"/>
        </w:rPr>
        <w:t>[7]</w:t>
      </w:r>
      <w:r w:rsidRPr="002E1DED">
        <w:rPr>
          <w:color w:val="000000" w:themeColor="text1"/>
        </w:rPr>
        <w:fldChar w:fldCharType="end"/>
      </w:r>
      <w:r w:rsidRPr="002E1DED">
        <w:rPr>
          <w:color w:val="000000" w:themeColor="text1"/>
        </w:rPr>
        <w:t xml:space="preserve">. As shown in </w:t>
      </w:r>
      <w:r w:rsidR="00C873D8" w:rsidRPr="002E1DED">
        <w:rPr>
          <w:color w:val="000000" w:themeColor="text1"/>
        </w:rPr>
        <w:t>Table S1</w:t>
      </w:r>
      <w:r w:rsidRPr="002E1DED">
        <w:rPr>
          <w:color w:val="000000" w:themeColor="text1"/>
        </w:rPr>
        <w:t>, filtration with a 0.22 or 0.45 μm PVDF filter completely removes TiO</w:t>
      </w:r>
      <w:r w:rsidRPr="002E1DED">
        <w:rPr>
          <w:color w:val="000000" w:themeColor="text1"/>
          <w:vertAlign w:val="subscript"/>
        </w:rPr>
        <w:t>2</w:t>
      </w:r>
      <w:r w:rsidRPr="002E1DED">
        <w:rPr>
          <w:color w:val="000000" w:themeColor="text1"/>
        </w:rPr>
        <w:t xml:space="preserve"> NPs fullerene dispersions.</w:t>
      </w:r>
    </w:p>
    <w:p w14:paraId="340C1752" w14:textId="1B1CDF38" w:rsidR="000A0DF2" w:rsidRPr="002E1DED" w:rsidRDefault="000A0DF2" w:rsidP="00C873D8">
      <w:pPr>
        <w:pStyle w:val="MDPI35textbeforelist"/>
        <w:ind w:left="0" w:firstLine="567"/>
        <w:rPr>
          <w:color w:val="000000" w:themeColor="text1"/>
        </w:rPr>
      </w:pPr>
      <w:r w:rsidRPr="002E1DED">
        <w:rPr>
          <w:color w:val="000000" w:themeColor="text1"/>
        </w:rPr>
        <w:t>Moreover, a 0.2 μm PTFE filter has low filtration efficiency toward titanium due to redox reactions between TiO</w:t>
      </w:r>
      <w:r w:rsidRPr="002E1DED">
        <w:rPr>
          <w:color w:val="000000" w:themeColor="text1"/>
          <w:vertAlign w:val="subscript"/>
        </w:rPr>
        <w:t>2</w:t>
      </w:r>
      <w:r w:rsidRPr="002E1DED">
        <w:rPr>
          <w:color w:val="000000" w:themeColor="text1"/>
        </w:rPr>
        <w:t xml:space="preserve"> NPs and Pu(III)/Pu(IV) at low </w:t>
      </w:r>
      <w:proofErr w:type="spellStart"/>
      <w:r w:rsidRPr="002E1DED">
        <w:rPr>
          <w:color w:val="000000" w:themeColor="text1"/>
        </w:rPr>
        <w:t>pHs</w:t>
      </w:r>
      <w:proofErr w:type="spellEnd"/>
      <w:r w:rsidRPr="002E1DED">
        <w:rPr>
          <w:color w:val="000000" w:themeColor="text1"/>
        </w:rPr>
        <w:t xml:space="preserve"> </w:t>
      </w:r>
      <w:r w:rsidRPr="002E1DED">
        <w:rPr>
          <w:color w:val="000000" w:themeColor="text1"/>
        </w:rPr>
        <w:fldChar w:fldCharType="begin"/>
      </w:r>
      <w:r w:rsidR="00D70A86" w:rsidRPr="002E1DED">
        <w:rPr>
          <w:color w:val="000000" w:themeColor="text1"/>
        </w:rPr>
        <w:instrText xml:space="preserve"> ADDIN EN.CITE &lt;EndNote&gt;&lt;Cite&gt;&lt;Author&gt;Virot&lt;/Author&gt;&lt;Year&gt;2015&lt;/Year&gt;&lt;RecNum&gt;33&lt;/RecNum&gt;&lt;DisplayText&gt;&lt;style size="10"&gt;[3]&lt;/style&gt;&lt;/DisplayText&gt;&lt;record&gt;&lt;rec-number&gt;33&lt;/rec-number&gt;&lt;foreign-keys&gt;&lt;key app="EN" db-id="te5eszts5wz5ahepve95exxpxaad5tpaf2p9" timestamp="1617608362"&gt;33&lt;/key&gt;&lt;/foreign-keys&gt;&lt;ref-type name="Journal Article"&gt;17&lt;/ref-type&gt;&lt;contributors&gt;&lt;authors&gt;&lt;author&gt;Virot, Matthieu&lt;/author&gt;&lt;author&gt;Venault, Laurent&lt;/author&gt;&lt;author&gt;Moisy, Philippe&lt;/author&gt;&lt;author&gt;Nikitenko, Sergey I.&lt;/author&gt;&lt;/authors&gt;&lt;/contributors&gt;&lt;titles&gt;&lt;title&gt;Sonochemical redox reactions of Pu(iii) and Pu(iv) in aqueous nitric solutions&lt;/title&gt;&lt;secondary-title&gt;Dalton Transactions&lt;/secondary-title&gt;&lt;/titles&gt;&lt;periodical&gt;&lt;full-title&gt;Dalton Transactions&lt;/full-title&gt;&lt;/periodical&gt;&lt;pages&gt;2567-2574&lt;/pages&gt;&lt;volume&gt;44&lt;/volume&gt;&lt;number&gt;6&lt;/number&gt;&lt;dates&gt;&lt;year&gt;2015&lt;/year&gt;&lt;/dates&gt;&lt;publisher&gt;The Royal Society of Chemistry&lt;/publisher&gt;&lt;isbn&gt;1477-9226&lt;/isbn&gt;&lt;work-type&gt;10.1039/C4DT02330G&lt;/work-type&gt;&lt;urls&gt;&lt;related-urls&gt;&lt;url&gt;http://dx.doi.org/10.1039/C4DT02330G&lt;/url&gt;&lt;/related-urls&gt;&lt;/urls&gt;&lt;electronic-resource-num&gt;10.1039/C4DT02330G&lt;/electronic-resource-num&gt;&lt;/record&gt;&lt;/Cite&gt;&lt;/EndNote&gt;</w:instrText>
      </w:r>
      <w:r w:rsidRPr="002E1DED">
        <w:rPr>
          <w:color w:val="000000" w:themeColor="text1"/>
        </w:rPr>
        <w:fldChar w:fldCharType="separate"/>
      </w:r>
      <w:r w:rsidR="00D70A86" w:rsidRPr="002E1DED">
        <w:rPr>
          <w:noProof/>
          <w:color w:val="000000" w:themeColor="text1"/>
        </w:rPr>
        <w:t>[3]</w:t>
      </w:r>
      <w:r w:rsidRPr="002E1DED">
        <w:rPr>
          <w:color w:val="000000" w:themeColor="text1"/>
        </w:rPr>
        <w:fldChar w:fldCharType="end"/>
      </w:r>
      <w:r w:rsidRPr="002E1DED">
        <w:rPr>
          <w:color w:val="000000" w:themeColor="text1"/>
        </w:rPr>
        <w:t xml:space="preserve">. However, for practically neutral AFDs </w:t>
      </w:r>
      <w:r w:rsidR="00097192" w:rsidRPr="002E1DED">
        <w:rPr>
          <w:color w:val="000000" w:themeColor="text1"/>
        </w:rPr>
        <w:t>Table S1</w:t>
      </w:r>
      <w:r w:rsidRPr="002E1DED">
        <w:rPr>
          <w:color w:val="000000" w:themeColor="text1"/>
        </w:rPr>
        <w:t>, the efficiency of PVDF filters is high. The presence of impurities can reduce or increase the effectiveness of antioxidants. The ability of TiO</w:t>
      </w:r>
      <w:r w:rsidRPr="002E1DED">
        <w:rPr>
          <w:color w:val="000000" w:themeColor="text1"/>
          <w:vertAlign w:val="subscript"/>
        </w:rPr>
        <w:t>2</w:t>
      </w:r>
      <w:r w:rsidRPr="002E1DED">
        <w:rPr>
          <w:color w:val="000000" w:themeColor="text1"/>
        </w:rPr>
        <w:t xml:space="preserve"> NPs to enhance the production of SAR and alter the antioxidant system in human osteoblast cells is shown </w:t>
      </w:r>
      <w:r w:rsidRPr="002E1DED">
        <w:rPr>
          <w:color w:val="000000" w:themeColor="text1"/>
        </w:rPr>
        <w:fldChar w:fldCharType="begin">
          <w:fldData xml:space="preserve">PEVuZE5vdGU+PENpdGU+PEF1dGhvcj5OaXNrYTwvQXV0aG9yPjxZZWFyPjIwMTU8L1llYXI+PFJl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</w:fldData>
        </w:fldChar>
      </w:r>
      <w:r w:rsidR="00D70A86" w:rsidRPr="002E1DED">
        <w:rPr>
          <w:color w:val="000000" w:themeColor="text1"/>
        </w:rPr>
        <w:instrText xml:space="preserve"> ADDIN EN.CITE </w:instrText>
      </w:r>
      <w:r w:rsidR="00D70A86" w:rsidRPr="002E1DED">
        <w:rPr>
          <w:color w:val="000000" w:themeColor="text1"/>
        </w:rPr>
        <w:fldChar w:fldCharType="begin">
          <w:fldData xml:space="preserve">PEVuZE5vdGU+PENpdGU+PEF1dGhvcj5OaXNrYTwvQXV0aG9yPjxZZWFyPjIwMTU8L1llYXI+PFJl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</w:fldData>
        </w:fldChar>
      </w:r>
      <w:r w:rsidR="00D70A86" w:rsidRPr="002E1DED">
        <w:rPr>
          <w:color w:val="000000" w:themeColor="text1"/>
        </w:rPr>
        <w:instrText xml:space="preserve"> ADDIN EN.CITE.DATA </w:instrText>
      </w:r>
      <w:r w:rsidR="00D70A86" w:rsidRPr="002E1DED">
        <w:rPr>
          <w:color w:val="000000" w:themeColor="text1"/>
        </w:rPr>
      </w:r>
      <w:r w:rsidR="00D70A86" w:rsidRPr="002E1DED">
        <w:rPr>
          <w:color w:val="000000" w:themeColor="text1"/>
        </w:rPr>
        <w:fldChar w:fldCharType="end"/>
      </w:r>
      <w:r w:rsidRPr="002E1DED">
        <w:rPr>
          <w:color w:val="000000" w:themeColor="text1"/>
        </w:rPr>
      </w:r>
      <w:r w:rsidRPr="002E1DED">
        <w:rPr>
          <w:color w:val="000000" w:themeColor="text1"/>
        </w:rPr>
        <w:fldChar w:fldCharType="separate"/>
      </w:r>
      <w:r w:rsidR="00D70A86" w:rsidRPr="002E1DED">
        <w:rPr>
          <w:noProof/>
          <w:color w:val="000000" w:themeColor="text1"/>
        </w:rPr>
        <w:t>[8]</w:t>
      </w:r>
      <w:r w:rsidRPr="002E1DED">
        <w:rPr>
          <w:color w:val="000000" w:themeColor="text1"/>
        </w:rPr>
        <w:fldChar w:fldCharType="end"/>
      </w:r>
      <w:r w:rsidRPr="002E1DED">
        <w:rPr>
          <w:color w:val="000000" w:themeColor="text1"/>
        </w:rPr>
        <w:t xml:space="preserve">. Impurities may also adversely affect the reproducibility of results </w:t>
      </w:r>
      <w:r w:rsidRPr="002E1DED">
        <w:rPr>
          <w:color w:val="000000" w:themeColor="text1"/>
        </w:rPr>
        <w:fldChar w:fldCharType="begin"/>
      </w:r>
      <w:r w:rsidR="00D70A86" w:rsidRPr="002E1DED">
        <w:rPr>
          <w:color w:val="000000" w:themeColor="text1"/>
        </w:rPr>
        <w:instrText xml:space="preserve"> ADDIN EN.CITE &lt;EndNote&gt;&lt;Cite&gt;&lt;Author&gt;Apak&lt;/Author&gt;&lt;Year&gt;2016&lt;/Year&gt;&lt;RecNum&gt;35&lt;/RecNum&gt;&lt;DisplayText&gt;&lt;style size="10"&gt;[9]&lt;/style&gt;&lt;/DisplayText&gt;&lt;record&gt;&lt;rec-number&gt;35&lt;/rec-number&gt;&lt;foreign-keys&gt;&lt;key app="EN" db-id="te5eszts5wz5ahepve95exxpxaad5tpaf2p9" timestamp="1617610981"&gt;35&lt;/key&gt;&lt;/foreign-keys&gt;&lt;ref-type name="Journal Article"&gt;17&lt;/ref-type&gt;&lt;contributors&gt;&lt;authors&gt;&lt;author&gt;Apak, Reşat&lt;/author&gt;&lt;author&gt;Özyürek, Mustafa&lt;/author&gt;&lt;author&gt;Güçlü, Kubilay&lt;/author&gt;&lt;author&gt;Çapanoğlu, Esra&lt;/author&gt;&lt;/authors&gt;&lt;/contributors&gt;&lt;titles&gt;&lt;title&gt;Antioxidant Activity/Capacity Measurement. 1. Classification, Physicochemical Principles, Mechanisms, and Electron Transfer (ET)-Based Assays&lt;/title&gt;&lt;secondary-title&gt;Journal of Agricultural and Food Chemistry&lt;/secondary-title&gt;&lt;/titles&gt;&lt;periodical&gt;&lt;full-title&gt;Journal of Agricultural and Food Chemistry&lt;/full-title&gt;&lt;/periodical&gt;&lt;pages&gt;997-1027&lt;/pages&gt;&lt;volume&gt;64&lt;/volume&gt;&lt;number&gt;5&lt;/number&gt;&lt;dates&gt;&lt;year&gt;2016&lt;/year&gt;&lt;pub-dates&gt;&lt;date&gt;2016/02/10&lt;/date&gt;&lt;/pub-dates&gt;&lt;/dates&gt;&lt;publisher&gt;American Chemical Society&lt;/publisher&gt;&lt;isbn&gt;0021-8561&lt;/isbn&gt;&lt;urls&gt;&lt;related-urls&gt;&lt;url&gt;https://doi.org/10.1021/acs.jafc.5b04739&lt;/url&gt;&lt;/related-urls&gt;&lt;/urls&gt;&lt;electronic-resource-num&gt;10.1021/acs.jafc.5b04739&lt;/electronic-resource-num&gt;&lt;/record&gt;&lt;/Cite&gt;&lt;/EndNote&gt;</w:instrText>
      </w:r>
      <w:r w:rsidRPr="002E1DED">
        <w:rPr>
          <w:color w:val="000000" w:themeColor="text1"/>
        </w:rPr>
        <w:fldChar w:fldCharType="separate"/>
      </w:r>
      <w:r w:rsidR="00D70A86" w:rsidRPr="002E1DED">
        <w:rPr>
          <w:noProof/>
          <w:color w:val="000000" w:themeColor="text1"/>
        </w:rPr>
        <w:t>[9]</w:t>
      </w:r>
      <w:r w:rsidRPr="002E1DED">
        <w:rPr>
          <w:color w:val="000000" w:themeColor="text1"/>
        </w:rPr>
        <w:fldChar w:fldCharType="end"/>
      </w:r>
      <w:r w:rsidRPr="002E1DED">
        <w:rPr>
          <w:color w:val="000000" w:themeColor="text1"/>
        </w:rPr>
        <w:t>. To evaluate the efficiency of fullerene antioxidant capacity, preparation of pure dispersion is an essential item.</w:t>
      </w:r>
    </w:p>
    <w:p w14:paraId="4EE76AB2" w14:textId="4212B5A6" w:rsidR="000A0DF2" w:rsidRPr="002E1DED" w:rsidRDefault="000A0DF2" w:rsidP="00C873D8">
      <w:pPr>
        <w:pStyle w:val="MDPI35textbeforelist"/>
        <w:ind w:left="0" w:firstLine="567"/>
        <w:rPr>
          <w:color w:val="000000" w:themeColor="text1"/>
        </w:rPr>
      </w:pPr>
      <w:r w:rsidRPr="002E1DED">
        <w:rPr>
          <w:color w:val="000000" w:themeColor="text1"/>
        </w:rPr>
        <w:t>As the AFD concentration after the combination of filters (prefilter 0.45 μm and primary filter 0.22 μm) is higher than after each filter alone (0.45 or 0.22 μm) (</w:t>
      </w:r>
      <w:r w:rsidR="00097192" w:rsidRPr="002E1DED">
        <w:rPr>
          <w:color w:val="000000" w:themeColor="text1"/>
        </w:rPr>
        <w:t>Table S1</w:t>
      </w:r>
      <w:r w:rsidRPr="002E1DED">
        <w:rPr>
          <w:color w:val="000000" w:themeColor="text1"/>
        </w:rPr>
        <w:t xml:space="preserve">). Indeed, small pores (0.22 μm) clog faster, thereby reducing the filtration efficiency and, as a consequence, lowering the concentration of the target component </w:t>
      </w:r>
      <w:r w:rsidRPr="002E1DED">
        <w:rPr>
          <w:color w:val="000000" w:themeColor="text1"/>
        </w:rPr>
        <w:fldChar w:fldCharType="begin"/>
      </w:r>
      <w:r w:rsidR="00D70A86" w:rsidRPr="002E1DED">
        <w:rPr>
          <w:color w:val="000000" w:themeColor="text1"/>
        </w:rPr>
        <w:instrText xml:space="preserve"> ADDIN EN.CITE &lt;EndNote&gt;&lt;Cite&gt;&lt;Author&gt;Japuntich&lt;/Author&gt;&lt;Year&gt;1997&lt;/Year&gt;&lt;RecNum&gt;81&lt;/RecNum&gt;&lt;DisplayText&gt;&lt;style size="10"&gt;[10]&lt;/style&gt;&lt;/DisplayText&gt;&lt;record&gt;&lt;rec-number&gt;81&lt;/rec-number&gt;&lt;foreign-keys&gt;&lt;key app="EN" db-id="te5eszts5wz5ahepve95exxpxaad5tpaf2p9" timestamp="1620746064"&gt;81&lt;/key&gt;&lt;/foreign-keys&gt;&lt;ref-type name="Journal Article"&gt;17&lt;/ref-type&gt;&lt;contributors&gt;&lt;authors&gt;&lt;author&gt;Japuntich, D. A.&lt;/author&gt;&lt;author&gt;Stenhouse, J. I. T.&lt;/author&gt;&lt;author&gt;Liu, B. Y. H.&lt;/author&gt;&lt;/authors&gt;&lt;/contributors&gt;&lt;titles&gt;&lt;title&gt;Effective pore diameter and monodisperse particle clogging of fibrous filters&lt;/title&gt;&lt;secondary-title&gt;Journal of Aerosol Science&lt;/secondary-title&gt;&lt;/titles&gt;&lt;periodical&gt;&lt;full-title&gt;Journal of Aerosol Science&lt;/full-title&gt;&lt;/periodical&gt;&lt;pages&gt;147-158&lt;/pages&gt;&lt;volume&gt;28&lt;/volume&gt;&lt;number&gt;1&lt;/number&gt;&lt;dates&gt;&lt;year&gt;1997&lt;/year&gt;&lt;pub-dates&gt;&lt;date&gt;1997/01/01/&lt;/date&gt;&lt;/pub-dates&gt;&lt;/dates&gt;&lt;isbn&gt;0021-8502&lt;/isbn&gt;&lt;urls&gt;&lt;related-urls&gt;&lt;url&gt;https://www.sciencedirect.com/science/article/pii/S002185029600064X&lt;/url&gt;&lt;/related-urls&gt;&lt;/urls&gt;&lt;electronic-resource-num&gt;https://doi.org/10.1016/S0021-8502(96)00064-X&lt;/electronic-resource-num&gt;&lt;/record&gt;&lt;/Cite&gt;&lt;/EndNote&gt;</w:instrText>
      </w:r>
      <w:r w:rsidRPr="002E1DED">
        <w:rPr>
          <w:color w:val="000000" w:themeColor="text1"/>
        </w:rPr>
        <w:fldChar w:fldCharType="separate"/>
      </w:r>
      <w:r w:rsidR="00D70A86" w:rsidRPr="002E1DED">
        <w:rPr>
          <w:noProof/>
          <w:color w:val="000000" w:themeColor="text1"/>
        </w:rPr>
        <w:t>[10]</w:t>
      </w:r>
      <w:r w:rsidRPr="002E1DED">
        <w:rPr>
          <w:color w:val="000000" w:themeColor="text1"/>
        </w:rPr>
        <w:fldChar w:fldCharType="end"/>
      </w:r>
      <w:r w:rsidRPr="002E1DED">
        <w:rPr>
          <w:color w:val="000000" w:themeColor="text1"/>
        </w:rPr>
        <w:t>. Using prefiltration to increase filter life removes several significant limitations associated with losing fullerenes or endofullerenes</w:t>
      </w:r>
      <w:bookmarkStart w:id="4" w:name="_Hlk71649760"/>
      <w:r w:rsidRPr="002E1DED">
        <w:rPr>
          <w:color w:val="000000" w:themeColor="text1"/>
        </w:rPr>
        <w:t xml:space="preserve">. Prefiltration is widely used chromatography good laboratory practice </w:t>
      </w:r>
      <w:r w:rsidRPr="002E1DED">
        <w:rPr>
          <w:color w:val="000000" w:themeColor="text1"/>
        </w:rPr>
        <w:fldChar w:fldCharType="begin"/>
      </w:r>
      <w:r w:rsidR="00D70A86" w:rsidRPr="002E1DED">
        <w:rPr>
          <w:color w:val="000000" w:themeColor="text1"/>
        </w:rPr>
        <w:instrText xml:space="preserve"> ADDIN EN.CITE &lt;EndNote&gt;&lt;Cite&gt;&lt;Author&gt;Moldoveanu&lt;/Author&gt;&lt;Year&gt;2021&lt;/Year&gt;&lt;RecNum&gt;82&lt;/RecNum&gt;&lt;DisplayText&gt;&lt;style size="10"&gt;[11]&lt;/style&gt;&lt;/DisplayText&gt;&lt;record&gt;&lt;rec-number&gt;82&lt;/rec-number&gt;&lt;foreign-keys&gt;&lt;key app="EN" db-id="te5eszts5wz5ahepve95exxpxaad5tpaf2p9" timestamp="1620746526"&gt;82&lt;/key&gt;&lt;/foreign-keys&gt;&lt;ref-type name="Book"&gt;6&lt;/ref-type&gt;&lt;contributors&gt;&lt;authors&gt;&lt;author&gt;Moldoveanu, S.&lt;/author&gt;&lt;author&gt;David, V.&lt;/author&gt;&lt;/authors&gt;&lt;/contributors&gt;&lt;titles&gt;&lt;title&gt;Modern Sample Preparation for Chromatography&lt;/title&gt;&lt;/titles&gt;&lt;dates&gt;&lt;year&gt;2021&lt;/year&gt;&lt;/dates&gt;&lt;publisher&gt;Elsevier Science&lt;/publisher&gt;&lt;isbn&gt;9780323898201&lt;/isbn&gt;&lt;urls&gt;&lt;related-urls&gt;&lt;url&gt;https://books.google.ru/books?id=xBkIEAAAQBAJ&lt;/url&gt;&lt;/related-urls&gt;&lt;/urls&gt;&lt;/record&gt;&lt;/Cite&gt;&lt;/EndNote&gt;</w:instrText>
      </w:r>
      <w:r w:rsidRPr="002E1DED">
        <w:rPr>
          <w:color w:val="000000" w:themeColor="text1"/>
        </w:rPr>
        <w:fldChar w:fldCharType="separate"/>
      </w:r>
      <w:r w:rsidR="00D70A86" w:rsidRPr="002E1DED">
        <w:rPr>
          <w:noProof/>
          <w:color w:val="000000" w:themeColor="text1"/>
        </w:rPr>
        <w:t>[11]</w:t>
      </w:r>
      <w:r w:rsidRPr="002E1DED">
        <w:rPr>
          <w:color w:val="000000" w:themeColor="text1"/>
        </w:rPr>
        <w:fldChar w:fldCharType="end"/>
      </w:r>
      <w:bookmarkEnd w:id="4"/>
      <w:r w:rsidRPr="002E1DED">
        <w:rPr>
          <w:color w:val="000000" w:themeColor="text1"/>
        </w:rPr>
        <w:t>.</w:t>
      </w:r>
    </w:p>
    <w:p w14:paraId="1EF51A90" w14:textId="04B92C4F" w:rsidR="000A0DF2" w:rsidRPr="002E1DED" w:rsidRDefault="000A0DF2" w:rsidP="00C873D8">
      <w:pPr>
        <w:pStyle w:val="MDPI35textbeforelist"/>
        <w:ind w:left="0" w:firstLine="567"/>
        <w:rPr>
          <w:color w:val="000000" w:themeColor="text1"/>
        </w:rPr>
      </w:pPr>
      <w:r w:rsidRPr="002E1DED">
        <w:rPr>
          <w:color w:val="000000" w:themeColor="text1"/>
        </w:rPr>
        <w:t>As for SiO</w:t>
      </w:r>
      <w:r w:rsidRPr="002E1DED">
        <w:rPr>
          <w:color w:val="000000" w:themeColor="text1"/>
          <w:vertAlign w:val="subscript"/>
        </w:rPr>
        <w:t>2</w:t>
      </w:r>
      <w:r w:rsidRPr="002E1DED">
        <w:rPr>
          <w:color w:val="000000" w:themeColor="text1"/>
        </w:rPr>
        <w:t xml:space="preserve"> NPs purification, they remain in solution (approximately 65%, </w:t>
      </w:r>
      <w:r w:rsidR="00097192" w:rsidRPr="002E1DED">
        <w:rPr>
          <w:color w:val="000000" w:themeColor="text1"/>
        </w:rPr>
        <w:t>Table S1</w:t>
      </w:r>
      <w:r w:rsidRPr="002E1DED">
        <w:rPr>
          <w:color w:val="000000" w:themeColor="text1"/>
        </w:rPr>
        <w:t xml:space="preserve">) after PVDF filters. </w:t>
      </w:r>
      <w:bookmarkStart w:id="5" w:name="_Hlk68531260"/>
      <w:r w:rsidRPr="002E1DED">
        <w:rPr>
          <w:color w:val="000000" w:themeColor="text1"/>
        </w:rPr>
        <w:t>SiO</w:t>
      </w:r>
      <w:r w:rsidRPr="002E1DED">
        <w:rPr>
          <w:color w:val="000000" w:themeColor="text1"/>
          <w:vertAlign w:val="subscript"/>
        </w:rPr>
        <w:t>2</w:t>
      </w:r>
      <w:r w:rsidRPr="002E1DED">
        <w:rPr>
          <w:color w:val="000000" w:themeColor="text1"/>
        </w:rPr>
        <w:t xml:space="preserve"> NPs </w:t>
      </w:r>
      <w:bookmarkEnd w:id="5"/>
      <w:r w:rsidRPr="002E1DED">
        <w:rPr>
          <w:color w:val="000000" w:themeColor="text1"/>
        </w:rPr>
        <w:t xml:space="preserve">pass through the membrane during ﬁltering with polytetraﬂuoroethylene (PTFE) membranes in a range of 0.1–1.0 μm of pore size </w:t>
      </w:r>
      <w:r w:rsidRPr="002E1DED">
        <w:rPr>
          <w:color w:val="000000" w:themeColor="text1"/>
        </w:rPr>
        <w:fldChar w:fldCharType="begin"/>
      </w:r>
      <w:r w:rsidR="00D70A86" w:rsidRPr="002E1DED">
        <w:rPr>
          <w:color w:val="000000" w:themeColor="text1"/>
        </w:rPr>
        <w:instrText xml:space="preserve"> ADDIN EN.CITE &lt;EndNote&gt;&lt;Cite&gt;&lt;Author&gt;Ullmann&lt;/Author&gt;&lt;Year&gt;2019&lt;/Year&gt;&lt;RecNum&gt;37&lt;/RecNum&gt;&lt;DisplayText&gt;&lt;style size="10"&gt;[12]&lt;/style&gt;&lt;/DisplayText&gt;&lt;record&gt;&lt;rec-number&gt;37&lt;/rec-number&gt;&lt;foreign-keys&gt;&lt;key app="EN" db-id="te5eszts5wz5ahepve95exxpxaad5tpaf2p9" timestamp="1617626798"&gt;37&lt;/key&gt;&lt;/foreign-keys&gt;&lt;ref-type name="Journal Article"&gt;17&lt;/ref-type&gt;&lt;contributors&gt;&lt;authors&gt;&lt;author&gt;Ullmann, Christian&lt;/author&gt;&lt;author&gt;Babick, Frank&lt;/author&gt;&lt;author&gt;Stintz, Michael&lt;/author&gt;&lt;/authors&gt;&lt;/contributors&gt;&lt;titles&gt;&lt;title&gt;Microfiltration of Submicron-Sized and Nano-Sized Suspensions for Particle Size Determination by Dynamic Light Scattering&lt;/title&gt;&lt;secondary-title&gt;Nanomaterials&lt;/secondary-title&gt;&lt;/titles&gt;&lt;periodical&gt;&lt;full-title&gt;Nanomaterials&lt;/full-title&gt;&lt;/periodical&gt;&lt;pages&gt;829&lt;/pages&gt;&lt;volume&gt;9&lt;/volume&gt;&lt;number&gt;6&lt;/number&gt;&lt;dates&gt;&lt;year&gt;2019&lt;/year&gt;&lt;/dates&gt;&lt;isbn&gt;2079-4991&lt;/isbn&gt;&lt;accession-num&gt;doi:10.3390/nano9060829&lt;/accession-num&gt;&lt;urls&gt;&lt;related-urls&gt;&lt;url&gt;https://www.mdpi.com/2079-4991/9/6/829&lt;/url&gt;&lt;/related-urls&gt;&lt;/urls&gt;&lt;/record&gt;&lt;/Cite&gt;&lt;/EndNote&gt;</w:instrText>
      </w:r>
      <w:r w:rsidRPr="002E1DED">
        <w:rPr>
          <w:color w:val="000000" w:themeColor="text1"/>
        </w:rPr>
        <w:fldChar w:fldCharType="separate"/>
      </w:r>
      <w:r w:rsidR="00D70A86" w:rsidRPr="002E1DED">
        <w:rPr>
          <w:noProof/>
          <w:color w:val="000000" w:themeColor="text1"/>
        </w:rPr>
        <w:t>[12]</w:t>
      </w:r>
      <w:r w:rsidRPr="002E1DED">
        <w:rPr>
          <w:color w:val="000000" w:themeColor="text1"/>
        </w:rPr>
        <w:fldChar w:fldCharType="end"/>
      </w:r>
      <w:r w:rsidRPr="002E1DED">
        <w:rPr>
          <w:color w:val="000000" w:themeColor="text1"/>
        </w:rPr>
        <w:t>. In our opinion, we find a residual silica as typically silica SiO</w:t>
      </w:r>
      <w:r w:rsidRPr="002E1DED">
        <w:rPr>
          <w:color w:val="000000" w:themeColor="text1"/>
          <w:vertAlign w:val="subscript"/>
        </w:rPr>
        <w:t>2</w:t>
      </w:r>
      <w:r w:rsidRPr="002E1DED">
        <w:rPr>
          <w:color w:val="000000" w:themeColor="text1"/>
        </w:rPr>
        <w:t xml:space="preserve"> NPs can be formed with less than 220 nm in diameter </w:t>
      </w:r>
      <w:r w:rsidRPr="002E1DED">
        <w:rPr>
          <w:color w:val="000000" w:themeColor="text1"/>
        </w:rPr>
        <w:fldChar w:fldCharType="begin"/>
      </w:r>
      <w:r w:rsidR="00D70A86" w:rsidRPr="002E1DED">
        <w:rPr>
          <w:color w:val="000000" w:themeColor="text1"/>
        </w:rPr>
        <w:instrText xml:space="preserve"> ADDIN EN.CITE &lt;EndNote&gt;&lt;Cite&gt;&lt;Author&gt;Kimoto&lt;/Author&gt;&lt;Year&gt;2017&lt;/Year&gt;&lt;RecNum&gt;41&lt;/RecNum&gt;&lt;DisplayText&gt;&lt;style size="10"&gt;[13]&lt;/style&gt;&lt;/DisplayText&gt;&lt;record&gt;&lt;rec-number&gt;41&lt;/rec-number&gt;&lt;foreign-keys&gt;&lt;key app="EN" db-id="te5eszts5wz5ahepve95exxpxaad5tpaf2p9" timestamp="1617688773"&gt;41&lt;/key&gt;&lt;/foreign-keys&gt;&lt;ref-type name="Journal Article"&gt;17&lt;/ref-type&gt;&lt;contributors&gt;&lt;authors&gt;&lt;author&gt;Kimoto, Shigeru&lt;/author&gt;&lt;author&gt;Dick, William D.&lt;/author&gt;&lt;author&gt;Hunt, Ben&lt;/author&gt;&lt;author&gt;Szymanski, Wladyslaw W.&lt;/author&gt;&lt;author&gt;McMurry, Peter H.&lt;/author&gt;&lt;author&gt;Roberts, Daryl L.&lt;/author&gt;&lt;author&gt;Pui, David Y. H.&lt;/author&gt;&lt;/authors&gt;&lt;/contributors&gt;&lt;titles&gt;&lt;title&gt;Characterization of nanosized silica size standards&lt;/title&gt;&lt;secondary-title&gt;Aerosol Science and Technology&lt;/secondary-title&gt;&lt;/titles&gt;&lt;periodical&gt;&lt;full-title&gt;Aerosol Science and Technology&lt;/full-title&gt;&lt;/periodical&gt;&lt;pages&gt;936-945&lt;/pages&gt;&lt;volume&gt;51&lt;/volume&gt;&lt;number&gt;8&lt;/number&gt;&lt;dates&gt;&lt;year&gt;2017&lt;/year&gt;&lt;pub-dates&gt;&lt;date&gt;2017/08/03&lt;/date&gt;&lt;/pub-dates&gt;&lt;/dates&gt;&lt;publisher&gt;Taylor &amp;amp; Francis&lt;/publisher&gt;&lt;isbn&gt;0278-6826&lt;/isbn&gt;&lt;urls&gt;&lt;related-urls&gt;&lt;url&gt;https://doi.org/10.1080/02786826.2017.1335388&lt;/url&gt;&lt;/related-urls&gt;&lt;/urls&gt;&lt;electronic-resource-num&gt;10.1080/02786826.2017.1335388&lt;/electronic-resource-num&gt;&lt;/record&gt;&lt;/Cite&gt;&lt;/EndNote&gt;</w:instrText>
      </w:r>
      <w:r w:rsidRPr="002E1DED">
        <w:rPr>
          <w:color w:val="000000" w:themeColor="text1"/>
        </w:rPr>
        <w:fldChar w:fldCharType="separate"/>
      </w:r>
      <w:r w:rsidR="00D70A86" w:rsidRPr="002E1DED">
        <w:rPr>
          <w:noProof/>
          <w:color w:val="000000" w:themeColor="text1"/>
        </w:rPr>
        <w:t>[13]</w:t>
      </w:r>
      <w:r w:rsidRPr="002E1DED">
        <w:rPr>
          <w:color w:val="000000" w:themeColor="text1"/>
        </w:rPr>
        <w:fldChar w:fldCharType="end"/>
      </w:r>
      <w:r w:rsidRPr="002E1DED">
        <w:rPr>
          <w:color w:val="000000" w:themeColor="text1"/>
        </w:rPr>
        <w:t xml:space="preserve">. Also, intermolecular and intramolecular interactions deal with probable silica surface with an adsorbed fullerene monolayer </w:t>
      </w:r>
      <w:r w:rsidRPr="002E1DED">
        <w:rPr>
          <w:color w:val="000000" w:themeColor="text1"/>
        </w:rPr>
        <w:fldChar w:fldCharType="begin"/>
      </w:r>
      <w:r w:rsidR="00D70A86" w:rsidRPr="002E1DED">
        <w:rPr>
          <w:color w:val="000000" w:themeColor="text1"/>
        </w:rPr>
        <w:instrText xml:space="preserve"> ADDIN EN.CITE &lt;EndNote&gt;&lt;Cite&gt;&lt;Author&gt;Davydov&lt;/Author&gt;&lt;Year&gt;2002&lt;/Year&gt;&lt;RecNum&gt;40&lt;/RecNum&gt;&lt;DisplayText&gt;&lt;style size="10"&gt;[14]&lt;/style&gt;&lt;/DisplayText&gt;&lt;record&gt;&lt;rec-number&gt;40&lt;/rec-number&gt;&lt;foreign-keys&gt;&lt;key app="EN" db-id="te5eszts5wz5ahepve95exxpxaad5tpaf2p9" timestamp="1617687932"&gt;40&lt;/key&gt;&lt;/foreign-keys&gt;&lt;ref-type name="Journal Article"&gt;17&lt;/ref-type&gt;&lt;contributors&gt;&lt;authors&gt;&lt;author&gt;Davydov, V. Ya&lt;/author&gt;&lt;author&gt;Sheppard, N.&lt;/author&gt;&lt;author&gt;Osawa, E.&lt;/author&gt;&lt;/authors&gt;&lt;/contributors&gt;&lt;titles&gt;&lt;title&gt;An Infrared Spectroscopic Study of the Hydrogenation and Dehydrogenation of the Complexes of Aromatic Compounds and of Fullerene C60 with Silica-Supported Platinum&lt;/title&gt;&lt;secondary-title&gt;Journal of Catalysis&lt;/secondary-title&gt;&lt;/titles&gt;&lt;periodical&gt;&lt;full-title&gt;Journal of Catalysis&lt;/full-title&gt;&lt;/periodical&gt;&lt;pages&gt;42-52&lt;/pages&gt;&lt;volume&gt;211&lt;/volume&gt;&lt;number&gt;1&lt;/number&gt;&lt;dates&gt;&lt;year&gt;2002&lt;/year&gt;&lt;pub-dates&gt;&lt;date&gt;2002/10/01/&lt;/date&gt;&lt;/pub-dates&gt;&lt;/dates&gt;&lt;isbn&gt;0021-9517&lt;/isbn&gt;&lt;urls&gt;&lt;related-urls&gt;&lt;url&gt;https://www.sciencedirect.com/science/article/pii/S0021951702936948&lt;/url&gt;&lt;/related-urls&gt;&lt;/urls&gt;&lt;electronic-resource-num&gt;https://doi.org/10.1006/jcat.2002.3694&lt;/electronic-resource-num&gt;&lt;/record&gt;&lt;/Cite&gt;&lt;/EndNote&gt;</w:instrText>
      </w:r>
      <w:r w:rsidRPr="002E1DED">
        <w:rPr>
          <w:color w:val="000000" w:themeColor="text1"/>
        </w:rPr>
        <w:fldChar w:fldCharType="separate"/>
      </w:r>
      <w:r w:rsidR="00D70A86" w:rsidRPr="002E1DED">
        <w:rPr>
          <w:noProof/>
          <w:color w:val="000000" w:themeColor="text1"/>
        </w:rPr>
        <w:t>[14]</w:t>
      </w:r>
      <w:r w:rsidRPr="002E1DED">
        <w:rPr>
          <w:color w:val="000000" w:themeColor="text1"/>
        </w:rPr>
        <w:fldChar w:fldCharType="end"/>
      </w:r>
      <w:r w:rsidRPr="002E1DED">
        <w:rPr>
          <w:color w:val="000000" w:themeColor="text1"/>
        </w:rPr>
        <w:t xml:space="preserve"> and sorption of SiO</w:t>
      </w:r>
      <w:r w:rsidRPr="002E1DED">
        <w:rPr>
          <w:color w:val="000000" w:themeColor="text1"/>
          <w:vertAlign w:val="subscript"/>
        </w:rPr>
        <w:t>2</w:t>
      </w:r>
      <w:r w:rsidRPr="002E1DED">
        <w:rPr>
          <w:color w:val="000000" w:themeColor="text1"/>
        </w:rPr>
        <w:t xml:space="preserve"> NPs on the surface of fullerene clusters </w:t>
      </w:r>
      <w:r w:rsidRPr="002E1DED">
        <w:rPr>
          <w:color w:val="000000" w:themeColor="text1"/>
        </w:rPr>
        <w:fldChar w:fldCharType="begin"/>
      </w:r>
      <w:r w:rsidR="00D70A86" w:rsidRPr="002E1DED">
        <w:rPr>
          <w:color w:val="000000" w:themeColor="text1"/>
        </w:rPr>
        <w:instrText xml:space="preserve"> ADDIN EN.CITE &lt;EndNote&gt;&lt;Cite&gt;&lt;Author&gt;Chen&lt;/Author&gt;&lt;Year&gt;2008&lt;/Year&gt;&lt;RecNum&gt;38&lt;/RecNum&gt;&lt;DisplayText&gt;&lt;style size="10"&gt;[15]&lt;/style&gt;&lt;/DisplayText&gt;&lt;record&gt;&lt;rec-number&gt;38&lt;/rec-number&gt;&lt;foreign-keys&gt;&lt;key app="EN" db-id="te5eszts5wz5ahepve95exxpxaad5tpaf2p9" timestamp="1617628083"&gt;38&lt;/key&gt;&lt;/foreign-keys&gt;&lt;ref-type name="Journal Article"&gt;17&lt;/ref-type&gt;&lt;contributors&gt;&lt;authors&gt;&lt;author&gt;Chen, Kai Loon&lt;/author&gt;&lt;author&gt;Elimelech, Menachem&lt;/author&gt;&lt;/authors&gt;&lt;/contributors&gt;&lt;titles&gt;&lt;title&gt;Interaction of Fullerene (C60) Nanoparticles with Humic Acid and Alginate Coated Silica Surfaces: Measurements, Mechanisms, and Environmental Implications&lt;/title&gt;&lt;secondary-title&gt;Environmental Science &amp;amp; Technology&lt;/secondary-title&gt;&lt;/titles&gt;&lt;periodical&gt;&lt;full-title&gt;Environmental Science &amp;amp; Technology&lt;/full-title&gt;&lt;/periodical&gt;&lt;pages&gt;7607-7614&lt;/pages&gt;&lt;volume&gt;42&lt;/volume&gt;&lt;number&gt;20&lt;/number&gt;&lt;dates&gt;&lt;year&gt;2008&lt;/year&gt;&lt;pub-dates&gt;&lt;date&gt;2008/10/15&lt;/date&gt;&lt;/pub-dates&gt;&lt;/dates&gt;&lt;publisher&gt;American Chemical Society&lt;/publisher&gt;&lt;isbn&gt;0013-936X&lt;/isbn&gt;&lt;urls&gt;&lt;related-urls&gt;&lt;url&gt;https://doi.org/10.1021/es8012062&lt;/url&gt;&lt;/related-urls&gt;&lt;/urls&gt;&lt;electronic-resource-num&gt;10.1021/es8012062&lt;/electronic-resource-num&gt;&lt;/record&gt;&lt;/Cite&gt;&lt;/EndNote&gt;</w:instrText>
      </w:r>
      <w:r w:rsidRPr="002E1DED">
        <w:rPr>
          <w:color w:val="000000" w:themeColor="text1"/>
        </w:rPr>
        <w:fldChar w:fldCharType="separate"/>
      </w:r>
      <w:r w:rsidR="00D70A86" w:rsidRPr="002E1DED">
        <w:rPr>
          <w:noProof/>
          <w:color w:val="000000" w:themeColor="text1"/>
        </w:rPr>
        <w:t>[15]</w:t>
      </w:r>
      <w:r w:rsidRPr="002E1DED">
        <w:rPr>
          <w:color w:val="000000" w:themeColor="text1"/>
        </w:rPr>
        <w:fldChar w:fldCharType="end"/>
      </w:r>
      <w:r w:rsidRPr="002E1DED">
        <w:rPr>
          <w:color w:val="000000" w:themeColor="text1"/>
        </w:rPr>
        <w:t>. SiO</w:t>
      </w:r>
      <w:r w:rsidRPr="002E1DED">
        <w:rPr>
          <w:color w:val="000000" w:themeColor="text1"/>
          <w:vertAlign w:val="subscript"/>
        </w:rPr>
        <w:t>2</w:t>
      </w:r>
      <w:r w:rsidRPr="002E1DED">
        <w:rPr>
          <w:color w:val="000000" w:themeColor="text1"/>
        </w:rPr>
        <w:t xml:space="preserve"> NPs increased the capacity of the antioxidant enzymes superoxide dismutase (SOD), catalase (CAT), glutathione reductase (GR), and phenylalanine ammonia-lyase (PAL) in plants </w:t>
      </w:r>
      <w:r w:rsidRPr="002E1DED">
        <w:rPr>
          <w:color w:val="000000" w:themeColor="text1"/>
        </w:rPr>
        <w:fldChar w:fldCharType="begin"/>
      </w:r>
      <w:r w:rsidR="00D70A86" w:rsidRPr="002E1DED">
        <w:rPr>
          <w:color w:val="000000" w:themeColor="text1"/>
        </w:rPr>
        <w:instrText xml:space="preserve"> ADDIN EN.CITE &lt;EndNote&gt;&lt;Cite&gt;&lt;Author&gt;Emamverdian&lt;/Author&gt;&lt;Year&gt;2020&lt;/Year&gt;&lt;RecNum&gt;39&lt;/RecNum&gt;&lt;DisplayText&gt;&lt;style size="10"&gt;[16]&lt;/style&gt;&lt;/DisplayText&gt;&lt;record&gt;&lt;rec-number&gt;39&lt;/rec-number&gt;&lt;foreign-keys&gt;&lt;key app="EN" db-id="te5eszts5wz5ahepve95exxpxaad5tpaf2p9" timestamp="1617628249"&gt;39&lt;/key&gt;&lt;/foreign-keys&gt;&lt;ref-type name="Journal Article"&gt;17&lt;/ref-type&gt;&lt;contributors&gt;&lt;authors&gt;&lt;author&gt;Emamverdian, Abolghassem&lt;/author&gt;&lt;author&gt;Ding, Yulong&lt;/author&gt;&lt;author&gt;Mokhberdoran, Farzad&lt;/author&gt;&lt;author&gt;Xie, Yinfeng&lt;/author&gt;&lt;author&gt;Zheng, Xiao&lt;/author&gt;&lt;author&gt;Wang, Yujun&lt;/author&gt;&lt;/authors&gt;&lt;/contributors&gt;&lt;titles&gt;&lt;title&gt;Silicon dioxide nanoparticles improve plant growth by enhancing antioxidant enzyme capacity in bamboo (Pleioblastus pygmaeus) under lead toxicity&lt;/title&gt;&lt;secondary-title&gt;Trees&lt;/secondary-title&gt;&lt;/titles&gt;&lt;periodical&gt;&lt;full-title&gt;Trees&lt;/full-title&gt;&lt;/periodical&gt;&lt;pages&gt;469-481&lt;/pages&gt;&lt;volume&gt;34&lt;/volume&gt;&lt;number&gt;2&lt;/number&gt;&lt;dates&gt;&lt;year&gt;2020&lt;/year&gt;&lt;pub-dates&gt;&lt;date&gt;2020/04/01&lt;/date&gt;&lt;/pub-dates&gt;&lt;/dates&gt;&lt;isbn&gt;1432-2285&lt;/isbn&gt;&lt;urls&gt;&lt;related-urls&gt;&lt;url&gt;https://doi.org/10.1007/s00468-019-01929-z&lt;/url&gt;&lt;/related-urls&gt;&lt;/urls&gt;&lt;electronic-resource-num&gt;10.1007/s00468-019-01929-z&lt;/electronic-resource-num&gt;&lt;/record&gt;&lt;/Cite&gt;&lt;/EndNote&gt;</w:instrText>
      </w:r>
      <w:r w:rsidRPr="002E1DED">
        <w:rPr>
          <w:color w:val="000000" w:themeColor="text1"/>
        </w:rPr>
        <w:fldChar w:fldCharType="separate"/>
      </w:r>
      <w:r w:rsidR="00D70A86" w:rsidRPr="002E1DED">
        <w:rPr>
          <w:noProof/>
          <w:color w:val="000000" w:themeColor="text1"/>
        </w:rPr>
        <w:t>[16]</w:t>
      </w:r>
      <w:r w:rsidRPr="002E1DED">
        <w:rPr>
          <w:color w:val="000000" w:themeColor="text1"/>
        </w:rPr>
        <w:fldChar w:fldCharType="end"/>
      </w:r>
      <w:r w:rsidRPr="002E1DED">
        <w:rPr>
          <w:color w:val="000000" w:themeColor="text1"/>
        </w:rPr>
        <w:t xml:space="preserve">. </w:t>
      </w:r>
    </w:p>
    <w:p w14:paraId="3C08CF5E" w14:textId="1E26887A" w:rsidR="000A0DF2" w:rsidRPr="002E1DED" w:rsidRDefault="000A0DF2" w:rsidP="00C873D8">
      <w:pPr>
        <w:pStyle w:val="MDPI35textbeforelist"/>
        <w:ind w:left="0" w:firstLine="567"/>
        <w:rPr>
          <w:color w:val="000000" w:themeColor="text1"/>
        </w:rPr>
      </w:pPr>
      <w:r w:rsidRPr="002E1DED">
        <w:rPr>
          <w:color w:val="000000" w:themeColor="text1"/>
        </w:rPr>
        <w:t>Thus, the total content of SiO</w:t>
      </w:r>
      <w:r w:rsidRPr="002E1DED">
        <w:rPr>
          <w:color w:val="000000" w:themeColor="text1"/>
          <w:vertAlign w:val="subscript"/>
        </w:rPr>
        <w:t>2</w:t>
      </w:r>
      <w:r w:rsidRPr="002E1DED">
        <w:rPr>
          <w:color w:val="000000" w:themeColor="text1"/>
        </w:rPr>
        <w:t xml:space="preserve"> NPs is less than the total fullerene content ratio in the stock solution by 10 to 170 times, which remains diluted. Therefore, it should not affect the measurements of antioxidant potential. </w:t>
      </w:r>
    </w:p>
    <w:p w14:paraId="27186816" w14:textId="77777777" w:rsidR="00C873D8" w:rsidRPr="002E1DED" w:rsidRDefault="00C873D8">
      <w:pPr>
        <w:spacing w:line="259" w:lineRule="auto"/>
        <w:rPr>
          <w:rFonts w:ascii="Palatino Linotype" w:hAnsi="Palatino Linotype"/>
          <w:color w:val="000000" w:themeColor="text1"/>
          <w:lang w:val="en-US"/>
        </w:rPr>
      </w:pPr>
    </w:p>
    <w:p w14:paraId="34A83220" w14:textId="77C04B5F" w:rsidR="00097192" w:rsidRPr="002E1DED" w:rsidRDefault="00097192">
      <w:pPr>
        <w:spacing w:line="259" w:lineRule="auto"/>
        <w:rPr>
          <w:rFonts w:ascii="Palatino Linotype" w:hAnsi="Palatino Linotype"/>
          <w:color w:val="000000" w:themeColor="text1"/>
          <w:lang w:val="en-US"/>
        </w:rPr>
        <w:sectPr w:rsidR="00097192" w:rsidRPr="002E1DED" w:rsidSect="00A956E7">
          <w:footerReference w:type="default" r:id="rId8"/>
          <w:pgSz w:w="11906" w:h="16838"/>
          <w:pgMar w:top="1134" w:right="567" w:bottom="1134" w:left="1701" w:header="709" w:footer="709" w:gutter="0"/>
          <w:cols w:space="708"/>
          <w:docGrid w:linePitch="360"/>
        </w:sectPr>
      </w:pPr>
    </w:p>
    <w:p w14:paraId="2676CDDA" w14:textId="4561950A" w:rsidR="000A0DF2" w:rsidRPr="002E1DED" w:rsidRDefault="00C873D8" w:rsidP="00C873D8">
      <w:pPr>
        <w:pStyle w:val="MDPI41tablecaption"/>
        <w:ind w:left="0"/>
        <w:rPr>
          <w:color w:val="000000" w:themeColor="text1"/>
        </w:rPr>
      </w:pPr>
      <w:bookmarkStart w:id="6" w:name="_Hlk72519967"/>
      <w:r w:rsidRPr="002E1DED">
        <w:rPr>
          <w:color w:val="000000" w:themeColor="text1"/>
        </w:rPr>
        <w:lastRenderedPageBreak/>
        <w:t>T</w:t>
      </w:r>
      <w:r w:rsidR="000A0DF2" w:rsidRPr="002E1DED">
        <w:rPr>
          <w:color w:val="000000" w:themeColor="text1"/>
        </w:rPr>
        <w:t>able</w:t>
      </w:r>
      <w:r w:rsidRPr="002E1DED">
        <w:rPr>
          <w:color w:val="000000" w:themeColor="text1"/>
        </w:rPr>
        <w:t xml:space="preserve"> S1</w:t>
      </w:r>
      <w:r w:rsidR="000A0DF2" w:rsidRPr="002E1DED">
        <w:rPr>
          <w:color w:val="000000" w:themeColor="text1"/>
        </w:rPr>
        <w:t xml:space="preserve">. Elemental composition of fullerene dispersions after preparation by direct ultrasound probe sonication (during 5h short-time duty) by inductively coupled plasma atomic emission spectroscopy (ICP-OES). </w:t>
      </w:r>
      <w:bookmarkEnd w:id="6"/>
      <w:r w:rsidR="000A0DF2" w:rsidRPr="002E1DED">
        <w:rPr>
          <w:color w:val="000000" w:themeColor="text1"/>
        </w:rPr>
        <w:t xml:space="preserve">Slurry sampling introduction in ICP-OES spectrometer. The uncertainty </w:t>
      </w:r>
      <w:r w:rsidRPr="002E1DED">
        <w:rPr>
          <w:color w:val="000000" w:themeColor="text1"/>
        </w:rPr>
        <w:t>i</w:t>
      </w:r>
      <w:r w:rsidR="000A0DF2" w:rsidRPr="002E1DED">
        <w:rPr>
          <w:color w:val="000000" w:themeColor="text1"/>
        </w:rPr>
        <w:t xml:space="preserve">s ± 15%.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1405"/>
        <w:gridCol w:w="1348"/>
        <w:gridCol w:w="660"/>
        <w:gridCol w:w="483"/>
        <w:gridCol w:w="516"/>
        <w:gridCol w:w="461"/>
        <w:gridCol w:w="516"/>
        <w:gridCol w:w="449"/>
        <w:gridCol w:w="566"/>
        <w:gridCol w:w="566"/>
        <w:gridCol w:w="472"/>
        <w:gridCol w:w="439"/>
        <w:gridCol w:w="483"/>
        <w:gridCol w:w="428"/>
        <w:gridCol w:w="416"/>
        <w:gridCol w:w="539"/>
        <w:gridCol w:w="528"/>
        <w:gridCol w:w="450"/>
        <w:gridCol w:w="461"/>
        <w:gridCol w:w="616"/>
        <w:gridCol w:w="516"/>
        <w:gridCol w:w="466"/>
        <w:gridCol w:w="472"/>
      </w:tblGrid>
      <w:tr w:rsidR="002E1DED" w:rsidRPr="002E1DED" w14:paraId="484F9D31" w14:textId="77777777" w:rsidTr="00C873D8">
        <w:trPr>
          <w:trHeight w:val="72"/>
        </w:trPr>
        <w:tc>
          <w:tcPr>
            <w:tcW w:w="0" w:type="auto"/>
            <w:vMerge w:val="restart"/>
            <w:tcBorders>
              <w:top w:val="single" w:sz="12" w:space="0" w:color="auto"/>
              <w:bottom w:val="nil"/>
            </w:tcBorders>
            <w:vAlign w:val="center"/>
          </w:tcPr>
          <w:p w14:paraId="36C3E11D" w14:textId="77777777" w:rsidR="000A0DF2" w:rsidRPr="002E1DED" w:rsidRDefault="000A0DF2" w:rsidP="00A072CB">
            <w:pPr>
              <w:pStyle w:val="MDPI42tablebody"/>
              <w:rPr>
                <w:b/>
                <w:bCs/>
                <w:color w:val="000000" w:themeColor="text1"/>
              </w:rPr>
            </w:pPr>
            <w:r w:rsidRPr="002E1DED">
              <w:rPr>
                <w:b/>
                <w:bCs/>
                <w:color w:val="000000" w:themeColor="text1"/>
              </w:rPr>
              <w:t>Type of AFD or number of compounds</w:t>
            </w:r>
          </w:p>
        </w:tc>
        <w:tc>
          <w:tcPr>
            <w:tcW w:w="0" w:type="auto"/>
            <w:vMerge w:val="restart"/>
            <w:tcBorders>
              <w:top w:val="single" w:sz="12" w:space="0" w:color="auto"/>
              <w:bottom w:val="nil"/>
            </w:tcBorders>
            <w:vAlign w:val="center"/>
          </w:tcPr>
          <w:p w14:paraId="139FE2DD" w14:textId="77777777" w:rsidR="000A0DF2" w:rsidRPr="002E1DED" w:rsidRDefault="000A0DF2" w:rsidP="00A072CB">
            <w:pPr>
              <w:pStyle w:val="MDPI42tablebody"/>
              <w:rPr>
                <w:b/>
                <w:bCs/>
                <w:color w:val="000000" w:themeColor="text1"/>
              </w:rPr>
            </w:pPr>
            <w:r w:rsidRPr="002E1DED">
              <w:rPr>
                <w:b/>
                <w:bCs/>
                <w:color w:val="000000" w:themeColor="text1"/>
              </w:rPr>
              <w:t>Syringe filter type</w:t>
            </w:r>
          </w:p>
        </w:tc>
        <w:tc>
          <w:tcPr>
            <w:tcW w:w="0" w:type="auto"/>
            <w:vMerge w:val="restart"/>
            <w:tcBorders>
              <w:top w:val="single" w:sz="12" w:space="0" w:color="auto"/>
              <w:bottom w:val="nil"/>
            </w:tcBorders>
            <w:vAlign w:val="center"/>
          </w:tcPr>
          <w:p w14:paraId="77CEFD24" w14:textId="33197F1C" w:rsidR="000A0DF2" w:rsidRPr="002E1DED" w:rsidRDefault="00D20528" w:rsidP="00A072CB">
            <w:pPr>
              <w:pStyle w:val="MDPI42tablebody"/>
              <w:rPr>
                <w:b/>
                <w:bCs/>
                <w:color w:val="000000" w:themeColor="text1"/>
                <w:vertAlign w:val="subscript"/>
              </w:rPr>
            </w:pPr>
            <w:proofErr w:type="spellStart"/>
            <w:r w:rsidRPr="002E1DED">
              <w:rPr>
                <w:b/>
                <w:bCs/>
                <w:i/>
                <w:iCs/>
                <w:color w:val="000000" w:themeColor="text1"/>
              </w:rPr>
              <w:t>c</w:t>
            </w:r>
            <w:r w:rsidR="000A0DF2" w:rsidRPr="002E1DED">
              <w:rPr>
                <w:b/>
                <w:bCs/>
                <w:color w:val="000000" w:themeColor="text1"/>
                <w:vertAlign w:val="subscript"/>
              </w:rPr>
              <w:t>Fullerene</w:t>
            </w:r>
            <w:proofErr w:type="spellEnd"/>
            <w:r w:rsidR="000A0DF2" w:rsidRPr="002E1DED">
              <w:rPr>
                <w:b/>
                <w:bCs/>
                <w:i/>
                <w:iCs/>
                <w:color w:val="000000" w:themeColor="text1"/>
              </w:rPr>
              <w:t>,</w:t>
            </w:r>
            <w:r w:rsidR="000A0DF2" w:rsidRPr="002E1DED">
              <w:rPr>
                <w:b/>
                <w:bCs/>
                <w:color w:val="000000" w:themeColor="text1"/>
              </w:rPr>
              <w:t> ppm</w:t>
            </w:r>
          </w:p>
        </w:tc>
        <w:tc>
          <w:tcPr>
            <w:tcW w:w="0" w:type="auto"/>
            <w:vMerge w:val="restart"/>
            <w:tcBorders>
              <w:top w:val="single" w:sz="12" w:space="0" w:color="auto"/>
              <w:bottom w:val="nil"/>
            </w:tcBorders>
            <w:vAlign w:val="center"/>
          </w:tcPr>
          <w:p w14:paraId="5AD24B82" w14:textId="77777777" w:rsidR="000A0DF2" w:rsidRPr="002E1DED" w:rsidRDefault="000A0DF2" w:rsidP="00A072CB">
            <w:pPr>
              <w:pStyle w:val="MDPI42tablebody"/>
              <w:rPr>
                <w:b/>
                <w:bCs/>
                <w:color w:val="000000" w:themeColor="text1"/>
                <w:vertAlign w:val="superscript"/>
              </w:rPr>
            </w:pPr>
            <w:r w:rsidRPr="002E1DED">
              <w:rPr>
                <w:b/>
                <w:bCs/>
                <w:color w:val="000000" w:themeColor="text1"/>
              </w:rPr>
              <w:t>pH</w:t>
            </w:r>
            <w:r w:rsidRPr="002E1DED">
              <w:rPr>
                <w:b/>
                <w:bCs/>
                <w:color w:val="000000" w:themeColor="text1"/>
                <w:vertAlign w:val="superscript"/>
              </w:rPr>
              <w:t>*</w:t>
            </w:r>
          </w:p>
        </w:tc>
        <w:tc>
          <w:tcPr>
            <w:tcW w:w="0" w:type="auto"/>
            <w:gridSpan w:val="20"/>
            <w:tcBorders>
              <w:top w:val="single" w:sz="12" w:space="0" w:color="auto"/>
              <w:bottom w:val="nil"/>
            </w:tcBorders>
            <w:vAlign w:val="center"/>
          </w:tcPr>
          <w:p w14:paraId="50A796C3" w14:textId="77777777" w:rsidR="000A0DF2" w:rsidRPr="002E1DED" w:rsidRDefault="000A0DF2" w:rsidP="00A072CB">
            <w:pPr>
              <w:pStyle w:val="MDPI42tablebody"/>
              <w:rPr>
                <w:b/>
                <w:bCs/>
                <w:color w:val="000000" w:themeColor="text1"/>
              </w:rPr>
            </w:pPr>
            <w:r w:rsidRPr="002E1DED">
              <w:rPr>
                <w:b/>
                <w:bCs/>
                <w:i/>
                <w:iCs/>
                <w:color w:val="000000" w:themeColor="text1"/>
              </w:rPr>
              <w:t>c, </w:t>
            </w:r>
            <w:r w:rsidRPr="002E1DED">
              <w:rPr>
                <w:b/>
                <w:bCs/>
                <w:color w:val="000000" w:themeColor="text1"/>
              </w:rPr>
              <w:t>ppb</w:t>
            </w:r>
          </w:p>
        </w:tc>
      </w:tr>
      <w:tr w:rsidR="002E1DED" w:rsidRPr="002E1DED" w14:paraId="3BD9E4C9" w14:textId="77777777" w:rsidTr="00C873D8">
        <w:trPr>
          <w:trHeight w:val="223"/>
        </w:trPr>
        <w:tc>
          <w:tcPr>
            <w:tcW w:w="0" w:type="auto"/>
            <w:vMerge/>
            <w:tcBorders>
              <w:bottom w:val="single" w:sz="4" w:space="0" w:color="auto"/>
            </w:tcBorders>
            <w:vAlign w:val="center"/>
          </w:tcPr>
          <w:p w14:paraId="314E3F49" w14:textId="77777777" w:rsidR="000A0DF2" w:rsidRPr="002E1DED" w:rsidRDefault="000A0DF2" w:rsidP="00A072CB">
            <w:pPr>
              <w:pStyle w:val="MDPI42tablebody"/>
              <w:rPr>
                <w:b/>
                <w:bCs/>
                <w:color w:val="000000" w:themeColor="text1"/>
              </w:rPr>
            </w:pPr>
          </w:p>
        </w:tc>
        <w:tc>
          <w:tcPr>
            <w:tcW w:w="0" w:type="auto"/>
            <w:vMerge/>
            <w:tcBorders>
              <w:bottom w:val="single" w:sz="4" w:space="0" w:color="auto"/>
            </w:tcBorders>
            <w:vAlign w:val="center"/>
          </w:tcPr>
          <w:p w14:paraId="21DEAF3C" w14:textId="77777777" w:rsidR="000A0DF2" w:rsidRPr="002E1DED" w:rsidRDefault="000A0DF2" w:rsidP="00A072CB">
            <w:pPr>
              <w:pStyle w:val="MDPI42tablebody"/>
              <w:rPr>
                <w:b/>
                <w:bCs/>
                <w:color w:val="000000" w:themeColor="text1"/>
              </w:rPr>
            </w:pPr>
          </w:p>
        </w:tc>
        <w:tc>
          <w:tcPr>
            <w:tcW w:w="0" w:type="auto"/>
            <w:vMerge/>
            <w:tcBorders>
              <w:bottom w:val="single" w:sz="4" w:space="0" w:color="auto"/>
            </w:tcBorders>
            <w:vAlign w:val="center"/>
          </w:tcPr>
          <w:p w14:paraId="76F550DC" w14:textId="77777777" w:rsidR="000A0DF2" w:rsidRPr="002E1DED" w:rsidRDefault="000A0DF2" w:rsidP="00A072CB">
            <w:pPr>
              <w:pStyle w:val="MDPI42tablebody"/>
              <w:rPr>
                <w:b/>
                <w:bCs/>
                <w:color w:val="000000" w:themeColor="text1"/>
              </w:rPr>
            </w:pPr>
          </w:p>
        </w:tc>
        <w:tc>
          <w:tcPr>
            <w:tcW w:w="0" w:type="auto"/>
            <w:vMerge/>
            <w:tcBorders>
              <w:bottom w:val="single" w:sz="4" w:space="0" w:color="auto"/>
            </w:tcBorders>
            <w:vAlign w:val="center"/>
          </w:tcPr>
          <w:p w14:paraId="3C2BED60" w14:textId="77777777" w:rsidR="000A0DF2" w:rsidRPr="002E1DED" w:rsidRDefault="000A0DF2" w:rsidP="00A072CB">
            <w:pPr>
              <w:pStyle w:val="MDPI42tablebody"/>
              <w:rPr>
                <w:b/>
                <w:bCs/>
                <w:color w:val="000000" w:themeColor="text1"/>
              </w:rPr>
            </w:pPr>
          </w:p>
        </w:tc>
        <w:tc>
          <w:tcPr>
            <w:tcW w:w="0" w:type="auto"/>
            <w:tcBorders>
              <w:bottom w:val="single" w:sz="4" w:space="0" w:color="auto"/>
            </w:tcBorders>
            <w:vAlign w:val="center"/>
          </w:tcPr>
          <w:p w14:paraId="7C3E539D" w14:textId="77777777" w:rsidR="000A0DF2" w:rsidRPr="002E1DED" w:rsidRDefault="000A0DF2" w:rsidP="00A072CB">
            <w:pPr>
              <w:pStyle w:val="MDPI42tablebody"/>
              <w:rPr>
                <w:b/>
                <w:bCs/>
                <w:color w:val="000000" w:themeColor="text1"/>
              </w:rPr>
            </w:pPr>
            <w:r w:rsidRPr="002E1DED">
              <w:rPr>
                <w:b/>
                <w:bCs/>
                <w:color w:val="000000" w:themeColor="text1"/>
              </w:rPr>
              <w:t>Ag</w:t>
            </w:r>
          </w:p>
        </w:tc>
        <w:tc>
          <w:tcPr>
            <w:tcW w:w="0" w:type="auto"/>
            <w:tcBorders>
              <w:bottom w:val="single" w:sz="4" w:space="0" w:color="auto"/>
            </w:tcBorders>
            <w:vAlign w:val="center"/>
          </w:tcPr>
          <w:p w14:paraId="7E1AA2C5" w14:textId="77777777" w:rsidR="000A0DF2" w:rsidRPr="002E1DED" w:rsidRDefault="000A0DF2" w:rsidP="00A072CB">
            <w:pPr>
              <w:pStyle w:val="MDPI42tablebody"/>
              <w:rPr>
                <w:b/>
                <w:bCs/>
                <w:color w:val="000000" w:themeColor="text1"/>
              </w:rPr>
            </w:pPr>
            <w:r w:rsidRPr="002E1DED">
              <w:rPr>
                <w:b/>
                <w:bCs/>
                <w:color w:val="000000" w:themeColor="text1"/>
              </w:rPr>
              <w:t>Al</w:t>
            </w:r>
          </w:p>
        </w:tc>
        <w:tc>
          <w:tcPr>
            <w:tcW w:w="0" w:type="auto"/>
            <w:tcBorders>
              <w:bottom w:val="single" w:sz="4" w:space="0" w:color="auto"/>
            </w:tcBorders>
            <w:vAlign w:val="center"/>
          </w:tcPr>
          <w:p w14:paraId="5EE35FC4" w14:textId="77777777" w:rsidR="000A0DF2" w:rsidRPr="002E1DED" w:rsidRDefault="000A0DF2" w:rsidP="00A072CB">
            <w:pPr>
              <w:pStyle w:val="MDPI42tablebody"/>
              <w:rPr>
                <w:b/>
                <w:bCs/>
                <w:color w:val="000000" w:themeColor="text1"/>
              </w:rPr>
            </w:pPr>
            <w:r w:rsidRPr="002E1DED">
              <w:rPr>
                <w:b/>
                <w:bCs/>
                <w:color w:val="000000" w:themeColor="text1"/>
              </w:rPr>
              <w:t>As</w:t>
            </w:r>
          </w:p>
        </w:tc>
        <w:tc>
          <w:tcPr>
            <w:tcW w:w="0" w:type="auto"/>
            <w:tcBorders>
              <w:bottom w:val="single" w:sz="4" w:space="0" w:color="auto"/>
            </w:tcBorders>
            <w:vAlign w:val="center"/>
          </w:tcPr>
          <w:p w14:paraId="53DDDA50" w14:textId="77777777" w:rsidR="000A0DF2" w:rsidRPr="002E1DED" w:rsidRDefault="000A0DF2" w:rsidP="00A072CB">
            <w:pPr>
              <w:pStyle w:val="MDPI42tablebody"/>
              <w:rPr>
                <w:b/>
                <w:bCs/>
                <w:color w:val="000000" w:themeColor="text1"/>
              </w:rPr>
            </w:pPr>
            <w:r w:rsidRPr="002E1DED">
              <w:rPr>
                <w:b/>
                <w:bCs/>
                <w:color w:val="000000" w:themeColor="text1"/>
              </w:rPr>
              <w:t>B</w:t>
            </w:r>
          </w:p>
        </w:tc>
        <w:tc>
          <w:tcPr>
            <w:tcW w:w="0" w:type="auto"/>
            <w:tcBorders>
              <w:bottom w:val="single" w:sz="4" w:space="0" w:color="auto"/>
            </w:tcBorders>
            <w:vAlign w:val="center"/>
          </w:tcPr>
          <w:p w14:paraId="010D0F6D" w14:textId="77777777" w:rsidR="000A0DF2" w:rsidRPr="002E1DED" w:rsidRDefault="000A0DF2" w:rsidP="00A072CB">
            <w:pPr>
              <w:pStyle w:val="MDPI42tablebody"/>
              <w:rPr>
                <w:b/>
                <w:bCs/>
                <w:color w:val="000000" w:themeColor="text1"/>
              </w:rPr>
            </w:pPr>
            <w:r w:rsidRPr="002E1DED">
              <w:rPr>
                <w:b/>
                <w:bCs/>
                <w:color w:val="000000" w:themeColor="text1"/>
              </w:rPr>
              <w:t>Ba</w:t>
            </w:r>
          </w:p>
        </w:tc>
        <w:tc>
          <w:tcPr>
            <w:tcW w:w="0" w:type="auto"/>
            <w:tcBorders>
              <w:bottom w:val="single" w:sz="4" w:space="0" w:color="auto"/>
            </w:tcBorders>
            <w:vAlign w:val="center"/>
          </w:tcPr>
          <w:p w14:paraId="6D156C56" w14:textId="77777777" w:rsidR="000A0DF2" w:rsidRPr="002E1DED" w:rsidRDefault="000A0DF2" w:rsidP="00A072CB">
            <w:pPr>
              <w:pStyle w:val="MDPI42tablebody"/>
              <w:rPr>
                <w:b/>
                <w:bCs/>
                <w:color w:val="000000" w:themeColor="text1"/>
              </w:rPr>
            </w:pPr>
            <w:r w:rsidRPr="002E1DED">
              <w:rPr>
                <w:b/>
                <w:bCs/>
                <w:color w:val="000000" w:themeColor="text1"/>
              </w:rPr>
              <w:t>Be</w:t>
            </w:r>
          </w:p>
        </w:tc>
        <w:tc>
          <w:tcPr>
            <w:tcW w:w="0" w:type="auto"/>
            <w:tcBorders>
              <w:bottom w:val="single" w:sz="4" w:space="0" w:color="auto"/>
            </w:tcBorders>
            <w:vAlign w:val="center"/>
          </w:tcPr>
          <w:p w14:paraId="69EA11BB" w14:textId="77777777" w:rsidR="000A0DF2" w:rsidRPr="002E1DED" w:rsidRDefault="000A0DF2" w:rsidP="00A072CB">
            <w:pPr>
              <w:pStyle w:val="MDPI42tablebody"/>
              <w:rPr>
                <w:b/>
                <w:bCs/>
                <w:color w:val="000000" w:themeColor="text1"/>
              </w:rPr>
            </w:pPr>
            <w:r w:rsidRPr="002E1DED">
              <w:rPr>
                <w:b/>
                <w:bCs/>
                <w:color w:val="000000" w:themeColor="text1"/>
              </w:rPr>
              <w:t>Cd</w:t>
            </w:r>
          </w:p>
        </w:tc>
        <w:tc>
          <w:tcPr>
            <w:tcW w:w="0" w:type="auto"/>
            <w:tcBorders>
              <w:bottom w:val="single" w:sz="4" w:space="0" w:color="auto"/>
            </w:tcBorders>
            <w:vAlign w:val="center"/>
          </w:tcPr>
          <w:p w14:paraId="53B72D4A" w14:textId="77777777" w:rsidR="000A0DF2" w:rsidRPr="002E1DED" w:rsidRDefault="000A0DF2" w:rsidP="00A072CB">
            <w:pPr>
              <w:pStyle w:val="MDPI42tablebody"/>
              <w:rPr>
                <w:b/>
                <w:bCs/>
                <w:color w:val="000000" w:themeColor="text1"/>
              </w:rPr>
            </w:pPr>
            <w:r w:rsidRPr="002E1DED">
              <w:rPr>
                <w:b/>
                <w:bCs/>
                <w:color w:val="000000" w:themeColor="text1"/>
              </w:rPr>
              <w:t>Co</w:t>
            </w:r>
          </w:p>
        </w:tc>
        <w:tc>
          <w:tcPr>
            <w:tcW w:w="0" w:type="auto"/>
            <w:tcBorders>
              <w:bottom w:val="single" w:sz="4" w:space="0" w:color="auto"/>
            </w:tcBorders>
            <w:vAlign w:val="center"/>
          </w:tcPr>
          <w:p w14:paraId="3551617A" w14:textId="77777777" w:rsidR="000A0DF2" w:rsidRPr="002E1DED" w:rsidRDefault="000A0DF2" w:rsidP="00A072CB">
            <w:pPr>
              <w:pStyle w:val="MDPI42tablebody"/>
              <w:rPr>
                <w:b/>
                <w:bCs/>
                <w:color w:val="000000" w:themeColor="text1"/>
              </w:rPr>
            </w:pPr>
            <w:r w:rsidRPr="002E1DED">
              <w:rPr>
                <w:b/>
                <w:bCs/>
                <w:color w:val="000000" w:themeColor="text1"/>
              </w:rPr>
              <w:t>Cr</w:t>
            </w:r>
          </w:p>
        </w:tc>
        <w:tc>
          <w:tcPr>
            <w:tcW w:w="0" w:type="auto"/>
            <w:tcBorders>
              <w:bottom w:val="single" w:sz="4" w:space="0" w:color="auto"/>
            </w:tcBorders>
            <w:vAlign w:val="center"/>
          </w:tcPr>
          <w:p w14:paraId="0E1546E3" w14:textId="77777777" w:rsidR="000A0DF2" w:rsidRPr="002E1DED" w:rsidRDefault="000A0DF2" w:rsidP="00A072CB">
            <w:pPr>
              <w:pStyle w:val="MDPI42tablebody"/>
              <w:rPr>
                <w:b/>
                <w:bCs/>
                <w:color w:val="000000" w:themeColor="text1"/>
              </w:rPr>
            </w:pPr>
            <w:r w:rsidRPr="002E1DED">
              <w:rPr>
                <w:b/>
                <w:bCs/>
                <w:color w:val="000000" w:themeColor="text1"/>
              </w:rPr>
              <w:t>Cu</w:t>
            </w:r>
          </w:p>
        </w:tc>
        <w:tc>
          <w:tcPr>
            <w:tcW w:w="0" w:type="auto"/>
            <w:tcBorders>
              <w:bottom w:val="single" w:sz="4" w:space="0" w:color="auto"/>
            </w:tcBorders>
            <w:vAlign w:val="center"/>
          </w:tcPr>
          <w:p w14:paraId="614D2377" w14:textId="77777777" w:rsidR="000A0DF2" w:rsidRPr="002E1DED" w:rsidRDefault="000A0DF2" w:rsidP="00A072CB">
            <w:pPr>
              <w:pStyle w:val="MDPI42tablebody"/>
              <w:rPr>
                <w:b/>
                <w:bCs/>
                <w:color w:val="000000" w:themeColor="text1"/>
              </w:rPr>
            </w:pPr>
            <w:r w:rsidRPr="002E1DED">
              <w:rPr>
                <w:b/>
                <w:bCs/>
                <w:color w:val="000000" w:themeColor="text1"/>
              </w:rPr>
              <w:t>Fe</w:t>
            </w:r>
          </w:p>
        </w:tc>
        <w:tc>
          <w:tcPr>
            <w:tcW w:w="0" w:type="auto"/>
            <w:tcBorders>
              <w:bottom w:val="single" w:sz="4" w:space="0" w:color="auto"/>
            </w:tcBorders>
            <w:vAlign w:val="center"/>
          </w:tcPr>
          <w:p w14:paraId="6756847D" w14:textId="77777777" w:rsidR="000A0DF2" w:rsidRPr="002E1DED" w:rsidRDefault="000A0DF2" w:rsidP="00A072CB">
            <w:pPr>
              <w:pStyle w:val="MDPI42tablebody"/>
              <w:rPr>
                <w:b/>
                <w:bCs/>
                <w:color w:val="000000" w:themeColor="text1"/>
              </w:rPr>
            </w:pPr>
            <w:r w:rsidRPr="002E1DED">
              <w:rPr>
                <w:b/>
                <w:bCs/>
                <w:color w:val="000000" w:themeColor="text1"/>
              </w:rPr>
              <w:t>Li</w:t>
            </w:r>
          </w:p>
        </w:tc>
        <w:tc>
          <w:tcPr>
            <w:tcW w:w="0" w:type="auto"/>
            <w:tcBorders>
              <w:bottom w:val="single" w:sz="4" w:space="0" w:color="auto"/>
            </w:tcBorders>
            <w:vAlign w:val="center"/>
          </w:tcPr>
          <w:p w14:paraId="7D259DB4" w14:textId="77777777" w:rsidR="000A0DF2" w:rsidRPr="002E1DED" w:rsidRDefault="000A0DF2" w:rsidP="00A072CB">
            <w:pPr>
              <w:pStyle w:val="MDPI42tablebody"/>
              <w:rPr>
                <w:b/>
                <w:bCs/>
                <w:color w:val="000000" w:themeColor="text1"/>
              </w:rPr>
            </w:pPr>
            <w:r w:rsidRPr="002E1DED">
              <w:rPr>
                <w:b/>
                <w:bCs/>
                <w:color w:val="000000" w:themeColor="text1"/>
              </w:rPr>
              <w:t>Mn</w:t>
            </w:r>
          </w:p>
        </w:tc>
        <w:tc>
          <w:tcPr>
            <w:tcW w:w="0" w:type="auto"/>
            <w:tcBorders>
              <w:bottom w:val="single" w:sz="4" w:space="0" w:color="auto"/>
            </w:tcBorders>
            <w:vAlign w:val="center"/>
          </w:tcPr>
          <w:p w14:paraId="271FEA9E" w14:textId="77777777" w:rsidR="000A0DF2" w:rsidRPr="002E1DED" w:rsidRDefault="000A0DF2" w:rsidP="00A072CB">
            <w:pPr>
              <w:pStyle w:val="MDPI42tablebody"/>
              <w:rPr>
                <w:b/>
                <w:bCs/>
                <w:color w:val="000000" w:themeColor="text1"/>
              </w:rPr>
            </w:pPr>
            <w:r w:rsidRPr="002E1DED">
              <w:rPr>
                <w:b/>
                <w:bCs/>
                <w:color w:val="000000" w:themeColor="text1"/>
              </w:rPr>
              <w:t>Mo</w:t>
            </w:r>
          </w:p>
        </w:tc>
        <w:tc>
          <w:tcPr>
            <w:tcW w:w="0" w:type="auto"/>
            <w:tcBorders>
              <w:bottom w:val="single" w:sz="4" w:space="0" w:color="auto"/>
            </w:tcBorders>
            <w:vAlign w:val="center"/>
          </w:tcPr>
          <w:p w14:paraId="0E787C5A" w14:textId="77777777" w:rsidR="000A0DF2" w:rsidRPr="002E1DED" w:rsidRDefault="000A0DF2" w:rsidP="00A072CB">
            <w:pPr>
              <w:pStyle w:val="MDPI42tablebody"/>
              <w:rPr>
                <w:b/>
                <w:bCs/>
                <w:color w:val="000000" w:themeColor="text1"/>
              </w:rPr>
            </w:pPr>
            <w:r w:rsidRPr="002E1DED">
              <w:rPr>
                <w:b/>
                <w:bCs/>
                <w:color w:val="000000" w:themeColor="text1"/>
              </w:rPr>
              <w:t>Ni</w:t>
            </w:r>
          </w:p>
        </w:tc>
        <w:tc>
          <w:tcPr>
            <w:tcW w:w="0" w:type="auto"/>
            <w:tcBorders>
              <w:bottom w:val="single" w:sz="4" w:space="0" w:color="auto"/>
            </w:tcBorders>
            <w:vAlign w:val="center"/>
          </w:tcPr>
          <w:p w14:paraId="3F475114" w14:textId="77777777" w:rsidR="000A0DF2" w:rsidRPr="002E1DED" w:rsidRDefault="000A0DF2" w:rsidP="00A072CB">
            <w:pPr>
              <w:pStyle w:val="MDPI42tablebody"/>
              <w:rPr>
                <w:b/>
                <w:bCs/>
                <w:color w:val="000000" w:themeColor="text1"/>
              </w:rPr>
            </w:pPr>
            <w:r w:rsidRPr="002E1DED">
              <w:rPr>
                <w:b/>
                <w:bCs/>
                <w:color w:val="000000" w:themeColor="text1"/>
              </w:rPr>
              <w:t>Pb</w:t>
            </w:r>
          </w:p>
        </w:tc>
        <w:tc>
          <w:tcPr>
            <w:tcW w:w="0" w:type="auto"/>
            <w:tcBorders>
              <w:bottom w:val="single" w:sz="4" w:space="0" w:color="auto"/>
            </w:tcBorders>
            <w:vAlign w:val="center"/>
          </w:tcPr>
          <w:p w14:paraId="2DFE3193" w14:textId="77777777" w:rsidR="000A0DF2" w:rsidRPr="002E1DED" w:rsidRDefault="000A0DF2" w:rsidP="00A072CB">
            <w:pPr>
              <w:pStyle w:val="MDPI42tablebody"/>
              <w:rPr>
                <w:b/>
                <w:bCs/>
                <w:color w:val="000000" w:themeColor="text1"/>
              </w:rPr>
            </w:pPr>
            <w:r w:rsidRPr="002E1DED">
              <w:rPr>
                <w:b/>
                <w:bCs/>
                <w:color w:val="000000" w:themeColor="text1"/>
              </w:rPr>
              <w:t>Si</w:t>
            </w:r>
          </w:p>
        </w:tc>
        <w:tc>
          <w:tcPr>
            <w:tcW w:w="0" w:type="auto"/>
            <w:tcBorders>
              <w:bottom w:val="single" w:sz="4" w:space="0" w:color="auto"/>
            </w:tcBorders>
            <w:vAlign w:val="center"/>
          </w:tcPr>
          <w:p w14:paraId="0BC0AEEB" w14:textId="77777777" w:rsidR="000A0DF2" w:rsidRPr="002E1DED" w:rsidRDefault="000A0DF2" w:rsidP="00A072CB">
            <w:pPr>
              <w:pStyle w:val="MDPI42tablebody"/>
              <w:rPr>
                <w:b/>
                <w:bCs/>
                <w:color w:val="000000" w:themeColor="text1"/>
              </w:rPr>
            </w:pPr>
            <w:proofErr w:type="spellStart"/>
            <w:r w:rsidRPr="002E1DED">
              <w:rPr>
                <w:b/>
                <w:bCs/>
                <w:color w:val="000000" w:themeColor="text1"/>
              </w:rPr>
              <w:t>Ti</w:t>
            </w:r>
            <w:proofErr w:type="spellEnd"/>
          </w:p>
        </w:tc>
        <w:tc>
          <w:tcPr>
            <w:tcW w:w="0" w:type="auto"/>
            <w:tcBorders>
              <w:bottom w:val="single" w:sz="4" w:space="0" w:color="auto"/>
            </w:tcBorders>
            <w:vAlign w:val="center"/>
          </w:tcPr>
          <w:p w14:paraId="7A033107" w14:textId="77777777" w:rsidR="000A0DF2" w:rsidRPr="002E1DED" w:rsidRDefault="000A0DF2" w:rsidP="00A072CB">
            <w:pPr>
              <w:pStyle w:val="MDPI42tablebody"/>
              <w:rPr>
                <w:b/>
                <w:bCs/>
                <w:color w:val="000000" w:themeColor="text1"/>
              </w:rPr>
            </w:pPr>
            <w:r w:rsidRPr="002E1DED">
              <w:rPr>
                <w:b/>
                <w:bCs/>
                <w:color w:val="000000" w:themeColor="text1"/>
              </w:rPr>
              <w:t>V</w:t>
            </w:r>
          </w:p>
        </w:tc>
        <w:tc>
          <w:tcPr>
            <w:tcW w:w="0" w:type="auto"/>
            <w:tcBorders>
              <w:bottom w:val="single" w:sz="4" w:space="0" w:color="auto"/>
            </w:tcBorders>
            <w:vAlign w:val="center"/>
          </w:tcPr>
          <w:p w14:paraId="677CDA91" w14:textId="77777777" w:rsidR="000A0DF2" w:rsidRPr="002E1DED" w:rsidRDefault="000A0DF2" w:rsidP="00A072CB">
            <w:pPr>
              <w:pStyle w:val="MDPI42tablebody"/>
              <w:rPr>
                <w:b/>
                <w:bCs/>
                <w:color w:val="000000" w:themeColor="text1"/>
              </w:rPr>
            </w:pPr>
            <w:r w:rsidRPr="002E1DED">
              <w:rPr>
                <w:b/>
                <w:bCs/>
                <w:color w:val="000000" w:themeColor="text1"/>
              </w:rPr>
              <w:t>Zn</w:t>
            </w:r>
          </w:p>
        </w:tc>
      </w:tr>
      <w:tr w:rsidR="002E1DED" w:rsidRPr="002E1DED" w14:paraId="19CF4024" w14:textId="77777777" w:rsidTr="00C873D8">
        <w:trPr>
          <w:trHeight w:val="72"/>
        </w:trPr>
        <w:tc>
          <w:tcPr>
            <w:tcW w:w="0" w:type="auto"/>
            <w:vMerge w:val="restart"/>
            <w:tcBorders>
              <w:top w:val="single" w:sz="4" w:space="0" w:color="auto"/>
              <w:bottom w:val="nil"/>
            </w:tcBorders>
            <w:vAlign w:val="center"/>
          </w:tcPr>
          <w:p w14:paraId="312AD361" w14:textId="77777777" w:rsidR="000A0DF2" w:rsidRPr="002E1DED" w:rsidRDefault="000A0DF2" w:rsidP="00A072CB">
            <w:pPr>
              <w:pStyle w:val="MDPI42tablebody"/>
              <w:rPr>
                <w:color w:val="000000" w:themeColor="text1"/>
              </w:rPr>
            </w:pPr>
            <w:r w:rsidRPr="002E1DED">
              <w:rPr>
                <w:color w:val="000000" w:themeColor="text1"/>
              </w:rPr>
              <w:t>C</w:t>
            </w:r>
            <w:r w:rsidRPr="002E1DED">
              <w:rPr>
                <w:color w:val="000000" w:themeColor="text1"/>
                <w:vertAlign w:val="subscript"/>
              </w:rPr>
              <w:t>60</w:t>
            </w:r>
          </w:p>
        </w:tc>
        <w:tc>
          <w:tcPr>
            <w:tcW w:w="0" w:type="auto"/>
            <w:tcBorders>
              <w:top w:val="single" w:sz="4" w:space="0" w:color="auto"/>
              <w:bottom w:val="nil"/>
            </w:tcBorders>
            <w:vAlign w:val="center"/>
          </w:tcPr>
          <w:p w14:paraId="52FBFA57" w14:textId="77777777" w:rsidR="000A0DF2" w:rsidRPr="002E1DED" w:rsidRDefault="000A0DF2" w:rsidP="00A072CB">
            <w:pPr>
              <w:pStyle w:val="MDPI42tablebody"/>
              <w:rPr>
                <w:color w:val="000000" w:themeColor="text1"/>
              </w:rPr>
            </w:pPr>
            <w:r w:rsidRPr="002E1DED">
              <w:rPr>
                <w:color w:val="000000" w:themeColor="text1"/>
              </w:rPr>
              <w:t>Pristine AFD (no filter using)</w:t>
            </w:r>
          </w:p>
        </w:tc>
        <w:tc>
          <w:tcPr>
            <w:tcW w:w="0" w:type="auto"/>
            <w:tcBorders>
              <w:top w:val="single" w:sz="4" w:space="0" w:color="auto"/>
              <w:bottom w:val="nil"/>
            </w:tcBorders>
            <w:vAlign w:val="center"/>
          </w:tcPr>
          <w:p w14:paraId="27BFCE19" w14:textId="77777777" w:rsidR="000A0DF2" w:rsidRPr="002E1DED" w:rsidRDefault="000A0DF2" w:rsidP="00A072CB">
            <w:pPr>
              <w:pStyle w:val="MDPI42tablebody"/>
              <w:rPr>
                <w:color w:val="000000" w:themeColor="text1"/>
              </w:rPr>
            </w:pPr>
            <w:r w:rsidRPr="002E1DED">
              <w:rPr>
                <w:color w:val="000000" w:themeColor="text1"/>
              </w:rPr>
              <w:t>1210 ± 50</w:t>
            </w:r>
          </w:p>
        </w:tc>
        <w:tc>
          <w:tcPr>
            <w:tcW w:w="0" w:type="auto"/>
            <w:tcBorders>
              <w:top w:val="single" w:sz="4" w:space="0" w:color="auto"/>
              <w:bottom w:val="nil"/>
            </w:tcBorders>
            <w:vAlign w:val="center"/>
          </w:tcPr>
          <w:p w14:paraId="04525D8B" w14:textId="77777777" w:rsidR="000A0DF2" w:rsidRPr="002E1DED" w:rsidRDefault="000A0DF2" w:rsidP="00A072CB">
            <w:pPr>
              <w:pStyle w:val="MDPI42tablebody"/>
              <w:rPr>
                <w:color w:val="000000" w:themeColor="text1"/>
              </w:rPr>
            </w:pPr>
            <w:r w:rsidRPr="002E1DED">
              <w:rPr>
                <w:color w:val="000000" w:themeColor="text1"/>
              </w:rPr>
              <w:t>7.35</w:t>
            </w:r>
          </w:p>
        </w:tc>
        <w:tc>
          <w:tcPr>
            <w:tcW w:w="0" w:type="auto"/>
            <w:tcBorders>
              <w:top w:val="single" w:sz="4" w:space="0" w:color="auto"/>
              <w:bottom w:val="nil"/>
            </w:tcBorders>
            <w:vAlign w:val="center"/>
          </w:tcPr>
          <w:p w14:paraId="66DB4368" w14:textId="77777777" w:rsidR="000A0DF2" w:rsidRPr="002E1DED" w:rsidRDefault="000A0DF2" w:rsidP="00A072CB">
            <w:pPr>
              <w:pStyle w:val="MDPI42tablebody"/>
              <w:rPr>
                <w:color w:val="000000" w:themeColor="text1"/>
              </w:rPr>
            </w:pPr>
            <w:r w:rsidRPr="002E1DED">
              <w:rPr>
                <w:color w:val="000000" w:themeColor="text1"/>
              </w:rPr>
              <w:t>&lt;5</w:t>
            </w:r>
          </w:p>
        </w:tc>
        <w:tc>
          <w:tcPr>
            <w:tcW w:w="0" w:type="auto"/>
            <w:tcBorders>
              <w:top w:val="single" w:sz="4" w:space="0" w:color="auto"/>
              <w:bottom w:val="nil"/>
            </w:tcBorders>
            <w:vAlign w:val="center"/>
          </w:tcPr>
          <w:p w14:paraId="04B5E98A" w14:textId="77777777" w:rsidR="000A0DF2" w:rsidRPr="002E1DED" w:rsidRDefault="000A0DF2" w:rsidP="00A072CB">
            <w:pPr>
              <w:pStyle w:val="MDPI42tablebody"/>
              <w:rPr>
                <w:color w:val="000000" w:themeColor="text1"/>
              </w:rPr>
            </w:pPr>
            <w:r w:rsidRPr="002E1DED">
              <w:rPr>
                <w:color w:val="000000" w:themeColor="text1"/>
              </w:rPr>
              <w:t>290</w:t>
            </w:r>
          </w:p>
        </w:tc>
        <w:tc>
          <w:tcPr>
            <w:tcW w:w="0" w:type="auto"/>
            <w:tcBorders>
              <w:top w:val="single" w:sz="4" w:space="0" w:color="auto"/>
              <w:bottom w:val="nil"/>
            </w:tcBorders>
            <w:vAlign w:val="center"/>
          </w:tcPr>
          <w:p w14:paraId="51CD172B" w14:textId="77777777" w:rsidR="000A0DF2" w:rsidRPr="002E1DED" w:rsidRDefault="000A0DF2" w:rsidP="00A072CB">
            <w:pPr>
              <w:pStyle w:val="MDPI42tablebody"/>
              <w:rPr>
                <w:color w:val="000000" w:themeColor="text1"/>
              </w:rPr>
            </w:pPr>
            <w:r w:rsidRPr="002E1DED">
              <w:rPr>
                <w:color w:val="000000" w:themeColor="text1"/>
              </w:rPr>
              <w:t>&lt;5</w:t>
            </w:r>
          </w:p>
        </w:tc>
        <w:tc>
          <w:tcPr>
            <w:tcW w:w="0" w:type="auto"/>
            <w:tcBorders>
              <w:top w:val="single" w:sz="4" w:space="0" w:color="auto"/>
              <w:bottom w:val="nil"/>
            </w:tcBorders>
            <w:vAlign w:val="center"/>
          </w:tcPr>
          <w:p w14:paraId="43FEA3C3" w14:textId="77777777" w:rsidR="000A0DF2" w:rsidRPr="002E1DED" w:rsidRDefault="000A0DF2" w:rsidP="00A072CB">
            <w:pPr>
              <w:pStyle w:val="MDPI42tablebody"/>
              <w:rPr>
                <w:color w:val="000000" w:themeColor="text1"/>
              </w:rPr>
            </w:pPr>
            <w:r w:rsidRPr="002E1DED">
              <w:rPr>
                <w:color w:val="000000" w:themeColor="text1"/>
              </w:rPr>
              <w:t>320</w:t>
            </w:r>
          </w:p>
        </w:tc>
        <w:tc>
          <w:tcPr>
            <w:tcW w:w="0" w:type="auto"/>
            <w:tcBorders>
              <w:top w:val="single" w:sz="4" w:space="0" w:color="auto"/>
              <w:bottom w:val="nil"/>
            </w:tcBorders>
            <w:vAlign w:val="center"/>
          </w:tcPr>
          <w:p w14:paraId="1ADD5333" w14:textId="77777777" w:rsidR="000A0DF2" w:rsidRPr="002E1DED" w:rsidRDefault="000A0DF2" w:rsidP="00A072CB">
            <w:pPr>
              <w:pStyle w:val="MDPI42tablebody"/>
              <w:rPr>
                <w:color w:val="000000" w:themeColor="text1"/>
              </w:rPr>
            </w:pPr>
            <w:r w:rsidRPr="002E1DED">
              <w:rPr>
                <w:color w:val="000000" w:themeColor="text1"/>
              </w:rPr>
              <w:t>17</w:t>
            </w:r>
          </w:p>
        </w:tc>
        <w:tc>
          <w:tcPr>
            <w:tcW w:w="0" w:type="auto"/>
            <w:tcBorders>
              <w:top w:val="single" w:sz="4" w:space="0" w:color="auto"/>
              <w:bottom w:val="nil"/>
            </w:tcBorders>
            <w:vAlign w:val="center"/>
          </w:tcPr>
          <w:p w14:paraId="37CD7976" w14:textId="77777777" w:rsidR="000A0DF2" w:rsidRPr="002E1DED" w:rsidRDefault="000A0DF2" w:rsidP="00A072CB">
            <w:pPr>
              <w:pStyle w:val="MDPI42tablebody"/>
              <w:rPr>
                <w:color w:val="000000" w:themeColor="text1"/>
              </w:rPr>
            </w:pPr>
            <w:r w:rsidRPr="002E1DED">
              <w:rPr>
                <w:color w:val="000000" w:themeColor="text1"/>
              </w:rPr>
              <w:t>&lt;0.1</w:t>
            </w:r>
          </w:p>
        </w:tc>
        <w:tc>
          <w:tcPr>
            <w:tcW w:w="0" w:type="auto"/>
            <w:tcBorders>
              <w:top w:val="single" w:sz="4" w:space="0" w:color="auto"/>
              <w:bottom w:val="nil"/>
            </w:tcBorders>
            <w:vAlign w:val="center"/>
          </w:tcPr>
          <w:p w14:paraId="60B9649B" w14:textId="77777777" w:rsidR="000A0DF2" w:rsidRPr="002E1DED" w:rsidRDefault="000A0DF2" w:rsidP="00A072CB">
            <w:pPr>
              <w:pStyle w:val="MDPI42tablebody"/>
              <w:rPr>
                <w:color w:val="000000" w:themeColor="text1"/>
              </w:rPr>
            </w:pPr>
            <w:r w:rsidRPr="002E1DED">
              <w:rPr>
                <w:color w:val="000000" w:themeColor="text1"/>
              </w:rPr>
              <w:t>25</w:t>
            </w:r>
          </w:p>
        </w:tc>
        <w:tc>
          <w:tcPr>
            <w:tcW w:w="0" w:type="auto"/>
            <w:tcBorders>
              <w:top w:val="single" w:sz="4" w:space="0" w:color="auto"/>
              <w:bottom w:val="nil"/>
            </w:tcBorders>
            <w:vAlign w:val="center"/>
          </w:tcPr>
          <w:p w14:paraId="435565C0"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top w:val="single" w:sz="4" w:space="0" w:color="auto"/>
              <w:bottom w:val="nil"/>
            </w:tcBorders>
            <w:vAlign w:val="center"/>
          </w:tcPr>
          <w:p w14:paraId="3E2D4F9E"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top w:val="single" w:sz="4" w:space="0" w:color="auto"/>
              <w:bottom w:val="nil"/>
            </w:tcBorders>
            <w:vAlign w:val="center"/>
          </w:tcPr>
          <w:p w14:paraId="6B542435" w14:textId="77777777" w:rsidR="000A0DF2" w:rsidRPr="002E1DED" w:rsidRDefault="000A0DF2" w:rsidP="00A072CB">
            <w:pPr>
              <w:pStyle w:val="MDPI42tablebody"/>
              <w:rPr>
                <w:color w:val="000000" w:themeColor="text1"/>
              </w:rPr>
            </w:pPr>
            <w:r w:rsidRPr="002E1DED">
              <w:rPr>
                <w:color w:val="000000" w:themeColor="text1"/>
              </w:rPr>
              <w:t>80</w:t>
            </w:r>
          </w:p>
        </w:tc>
        <w:tc>
          <w:tcPr>
            <w:tcW w:w="0" w:type="auto"/>
            <w:tcBorders>
              <w:top w:val="single" w:sz="4" w:space="0" w:color="auto"/>
              <w:bottom w:val="nil"/>
            </w:tcBorders>
            <w:vAlign w:val="center"/>
          </w:tcPr>
          <w:p w14:paraId="15FDEDDB" w14:textId="77777777" w:rsidR="000A0DF2" w:rsidRPr="002E1DED" w:rsidRDefault="000A0DF2" w:rsidP="00A072CB">
            <w:pPr>
              <w:pStyle w:val="MDPI42tablebody"/>
              <w:rPr>
                <w:color w:val="000000" w:themeColor="text1"/>
              </w:rPr>
            </w:pPr>
            <w:r w:rsidRPr="002E1DED">
              <w:rPr>
                <w:color w:val="000000" w:themeColor="text1"/>
              </w:rPr>
              <w:t>75</w:t>
            </w:r>
          </w:p>
        </w:tc>
        <w:tc>
          <w:tcPr>
            <w:tcW w:w="0" w:type="auto"/>
            <w:tcBorders>
              <w:top w:val="single" w:sz="4" w:space="0" w:color="auto"/>
              <w:bottom w:val="nil"/>
            </w:tcBorders>
            <w:vAlign w:val="center"/>
          </w:tcPr>
          <w:p w14:paraId="499AB3EA" w14:textId="77777777" w:rsidR="000A0DF2" w:rsidRPr="002E1DED" w:rsidRDefault="000A0DF2" w:rsidP="00A072CB">
            <w:pPr>
              <w:pStyle w:val="MDPI42tablebody"/>
              <w:rPr>
                <w:color w:val="000000" w:themeColor="text1"/>
              </w:rPr>
            </w:pPr>
            <w:r w:rsidRPr="002E1DED">
              <w:rPr>
                <w:color w:val="000000" w:themeColor="text1"/>
              </w:rPr>
              <w:t>16</w:t>
            </w:r>
          </w:p>
        </w:tc>
        <w:tc>
          <w:tcPr>
            <w:tcW w:w="0" w:type="auto"/>
            <w:tcBorders>
              <w:top w:val="single" w:sz="4" w:space="0" w:color="auto"/>
              <w:bottom w:val="nil"/>
            </w:tcBorders>
            <w:vAlign w:val="center"/>
          </w:tcPr>
          <w:p w14:paraId="4EF4EB2D" w14:textId="77777777" w:rsidR="000A0DF2" w:rsidRPr="002E1DED" w:rsidRDefault="000A0DF2" w:rsidP="00A072CB">
            <w:pPr>
              <w:pStyle w:val="MDPI42tablebody"/>
              <w:rPr>
                <w:color w:val="000000" w:themeColor="text1"/>
              </w:rPr>
            </w:pPr>
            <w:r w:rsidRPr="002E1DED">
              <w:rPr>
                <w:color w:val="000000" w:themeColor="text1"/>
              </w:rPr>
              <w:t>45</w:t>
            </w:r>
          </w:p>
        </w:tc>
        <w:tc>
          <w:tcPr>
            <w:tcW w:w="0" w:type="auto"/>
            <w:tcBorders>
              <w:top w:val="single" w:sz="4" w:space="0" w:color="auto"/>
              <w:bottom w:val="nil"/>
            </w:tcBorders>
            <w:vAlign w:val="center"/>
          </w:tcPr>
          <w:p w14:paraId="24EF0F04" w14:textId="77777777" w:rsidR="000A0DF2" w:rsidRPr="002E1DED" w:rsidRDefault="000A0DF2" w:rsidP="00A072CB">
            <w:pPr>
              <w:pStyle w:val="MDPI42tablebody"/>
              <w:rPr>
                <w:color w:val="000000" w:themeColor="text1"/>
              </w:rPr>
            </w:pPr>
            <w:r w:rsidRPr="002E1DED">
              <w:rPr>
                <w:color w:val="000000" w:themeColor="text1"/>
              </w:rPr>
              <w:t>273</w:t>
            </w:r>
          </w:p>
        </w:tc>
        <w:tc>
          <w:tcPr>
            <w:tcW w:w="0" w:type="auto"/>
            <w:tcBorders>
              <w:top w:val="single" w:sz="4" w:space="0" w:color="auto"/>
              <w:bottom w:val="nil"/>
            </w:tcBorders>
            <w:vAlign w:val="center"/>
          </w:tcPr>
          <w:p w14:paraId="021FD4FD" w14:textId="77777777" w:rsidR="000A0DF2" w:rsidRPr="002E1DED" w:rsidRDefault="000A0DF2" w:rsidP="00A072CB">
            <w:pPr>
              <w:pStyle w:val="MDPI42tablebody"/>
              <w:rPr>
                <w:color w:val="000000" w:themeColor="text1"/>
              </w:rPr>
            </w:pPr>
            <w:r w:rsidRPr="002E1DED">
              <w:rPr>
                <w:color w:val="000000" w:themeColor="text1"/>
              </w:rPr>
              <w:t>60</w:t>
            </w:r>
          </w:p>
        </w:tc>
        <w:tc>
          <w:tcPr>
            <w:tcW w:w="0" w:type="auto"/>
            <w:tcBorders>
              <w:top w:val="single" w:sz="4" w:space="0" w:color="auto"/>
              <w:bottom w:val="nil"/>
            </w:tcBorders>
            <w:vAlign w:val="center"/>
          </w:tcPr>
          <w:p w14:paraId="1A3A9ACB"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top w:val="single" w:sz="4" w:space="0" w:color="auto"/>
              <w:bottom w:val="nil"/>
            </w:tcBorders>
            <w:vAlign w:val="center"/>
          </w:tcPr>
          <w:p w14:paraId="55513005" w14:textId="77777777" w:rsidR="000A0DF2" w:rsidRPr="002E1DED" w:rsidRDefault="000A0DF2" w:rsidP="00A072CB">
            <w:pPr>
              <w:pStyle w:val="MDPI42tablebody"/>
              <w:rPr>
                <w:color w:val="000000" w:themeColor="text1"/>
              </w:rPr>
            </w:pPr>
            <w:r w:rsidRPr="002E1DED">
              <w:rPr>
                <w:color w:val="000000" w:themeColor="text1"/>
              </w:rPr>
              <w:t>2530</w:t>
            </w:r>
          </w:p>
        </w:tc>
        <w:tc>
          <w:tcPr>
            <w:tcW w:w="0" w:type="auto"/>
            <w:tcBorders>
              <w:top w:val="single" w:sz="4" w:space="0" w:color="auto"/>
              <w:bottom w:val="nil"/>
            </w:tcBorders>
            <w:vAlign w:val="center"/>
          </w:tcPr>
          <w:p w14:paraId="26AC0B3B" w14:textId="77777777" w:rsidR="000A0DF2" w:rsidRPr="002E1DED" w:rsidRDefault="000A0DF2" w:rsidP="00A072CB">
            <w:pPr>
              <w:pStyle w:val="MDPI42tablebody"/>
              <w:rPr>
                <w:color w:val="000000" w:themeColor="text1"/>
              </w:rPr>
            </w:pPr>
            <w:r w:rsidRPr="002E1DED">
              <w:rPr>
                <w:color w:val="000000" w:themeColor="text1"/>
              </w:rPr>
              <w:t>595</w:t>
            </w:r>
          </w:p>
        </w:tc>
        <w:tc>
          <w:tcPr>
            <w:tcW w:w="0" w:type="auto"/>
            <w:tcBorders>
              <w:top w:val="single" w:sz="4" w:space="0" w:color="auto"/>
              <w:bottom w:val="nil"/>
            </w:tcBorders>
            <w:vAlign w:val="center"/>
          </w:tcPr>
          <w:p w14:paraId="3137A0FD" w14:textId="77777777" w:rsidR="000A0DF2" w:rsidRPr="002E1DED" w:rsidRDefault="000A0DF2" w:rsidP="00A072CB">
            <w:pPr>
              <w:pStyle w:val="MDPI42tablebody"/>
              <w:rPr>
                <w:color w:val="000000" w:themeColor="text1"/>
              </w:rPr>
            </w:pPr>
            <w:r w:rsidRPr="002E1DED">
              <w:rPr>
                <w:color w:val="000000" w:themeColor="text1"/>
              </w:rPr>
              <w:t>32</w:t>
            </w:r>
          </w:p>
        </w:tc>
        <w:tc>
          <w:tcPr>
            <w:tcW w:w="0" w:type="auto"/>
            <w:tcBorders>
              <w:top w:val="single" w:sz="4" w:space="0" w:color="auto"/>
              <w:bottom w:val="nil"/>
            </w:tcBorders>
            <w:vAlign w:val="center"/>
          </w:tcPr>
          <w:p w14:paraId="3E27D97C" w14:textId="77777777" w:rsidR="000A0DF2" w:rsidRPr="002E1DED" w:rsidRDefault="000A0DF2" w:rsidP="00A072CB">
            <w:pPr>
              <w:pStyle w:val="MDPI42tablebody"/>
              <w:rPr>
                <w:color w:val="000000" w:themeColor="text1"/>
              </w:rPr>
            </w:pPr>
            <w:r w:rsidRPr="002E1DED">
              <w:rPr>
                <w:color w:val="000000" w:themeColor="text1"/>
              </w:rPr>
              <w:t>29</w:t>
            </w:r>
          </w:p>
        </w:tc>
      </w:tr>
      <w:tr w:rsidR="002E1DED" w:rsidRPr="002E1DED" w14:paraId="4CEA11DA" w14:textId="77777777" w:rsidTr="00C873D8">
        <w:trPr>
          <w:trHeight w:val="75"/>
        </w:trPr>
        <w:tc>
          <w:tcPr>
            <w:tcW w:w="0" w:type="auto"/>
            <w:vMerge/>
            <w:tcBorders>
              <w:bottom w:val="nil"/>
            </w:tcBorders>
            <w:vAlign w:val="center"/>
          </w:tcPr>
          <w:p w14:paraId="3EDC739A" w14:textId="77777777" w:rsidR="000A0DF2" w:rsidRPr="002E1DED" w:rsidRDefault="000A0DF2" w:rsidP="00A072CB">
            <w:pPr>
              <w:pStyle w:val="MDPI42tablebody"/>
              <w:rPr>
                <w:color w:val="000000" w:themeColor="text1"/>
              </w:rPr>
            </w:pPr>
          </w:p>
        </w:tc>
        <w:tc>
          <w:tcPr>
            <w:tcW w:w="0" w:type="auto"/>
            <w:tcBorders>
              <w:bottom w:val="nil"/>
            </w:tcBorders>
            <w:vAlign w:val="center"/>
          </w:tcPr>
          <w:p w14:paraId="2A4BC293" w14:textId="77777777" w:rsidR="000A0DF2" w:rsidRPr="002E1DED" w:rsidRDefault="000A0DF2" w:rsidP="00A072CB">
            <w:pPr>
              <w:pStyle w:val="MDPI42tablebody"/>
              <w:rPr>
                <w:color w:val="000000" w:themeColor="text1"/>
              </w:rPr>
            </w:pPr>
            <w:r w:rsidRPr="002E1DED">
              <w:rPr>
                <w:color w:val="000000" w:themeColor="text1"/>
              </w:rPr>
              <w:t>450 nm</w:t>
            </w:r>
          </w:p>
        </w:tc>
        <w:tc>
          <w:tcPr>
            <w:tcW w:w="0" w:type="auto"/>
            <w:tcBorders>
              <w:bottom w:val="nil"/>
            </w:tcBorders>
            <w:vAlign w:val="center"/>
          </w:tcPr>
          <w:p w14:paraId="37743CE5" w14:textId="77777777" w:rsidR="000A0DF2" w:rsidRPr="002E1DED" w:rsidRDefault="000A0DF2" w:rsidP="00A072CB">
            <w:pPr>
              <w:pStyle w:val="MDPI42tablebody"/>
              <w:rPr>
                <w:color w:val="000000" w:themeColor="text1"/>
              </w:rPr>
            </w:pPr>
            <w:r w:rsidRPr="002E1DED">
              <w:rPr>
                <w:color w:val="000000" w:themeColor="text1"/>
              </w:rPr>
              <w:t>260 ± 20</w:t>
            </w:r>
          </w:p>
        </w:tc>
        <w:tc>
          <w:tcPr>
            <w:tcW w:w="0" w:type="auto"/>
            <w:tcBorders>
              <w:bottom w:val="nil"/>
            </w:tcBorders>
            <w:vAlign w:val="center"/>
          </w:tcPr>
          <w:p w14:paraId="0150FF94" w14:textId="77777777" w:rsidR="000A0DF2" w:rsidRPr="002E1DED" w:rsidRDefault="000A0DF2" w:rsidP="00A072CB">
            <w:pPr>
              <w:pStyle w:val="MDPI42tablebody"/>
              <w:rPr>
                <w:color w:val="000000" w:themeColor="text1"/>
              </w:rPr>
            </w:pPr>
            <w:r w:rsidRPr="002E1DED">
              <w:rPr>
                <w:color w:val="000000" w:themeColor="text1"/>
              </w:rPr>
              <w:t>7.44</w:t>
            </w:r>
          </w:p>
        </w:tc>
        <w:tc>
          <w:tcPr>
            <w:tcW w:w="0" w:type="auto"/>
            <w:tcBorders>
              <w:bottom w:val="nil"/>
            </w:tcBorders>
            <w:vAlign w:val="center"/>
          </w:tcPr>
          <w:p w14:paraId="1B6970D6" w14:textId="77777777" w:rsidR="000A0DF2" w:rsidRPr="002E1DED" w:rsidRDefault="000A0DF2" w:rsidP="00A072CB">
            <w:pPr>
              <w:pStyle w:val="MDPI42tablebody"/>
              <w:rPr>
                <w:color w:val="000000" w:themeColor="text1"/>
              </w:rPr>
            </w:pPr>
            <w:r w:rsidRPr="002E1DED">
              <w:rPr>
                <w:color w:val="000000" w:themeColor="text1"/>
              </w:rPr>
              <w:t>&lt;5</w:t>
            </w:r>
          </w:p>
        </w:tc>
        <w:tc>
          <w:tcPr>
            <w:tcW w:w="0" w:type="auto"/>
            <w:tcBorders>
              <w:bottom w:val="nil"/>
            </w:tcBorders>
            <w:vAlign w:val="center"/>
          </w:tcPr>
          <w:p w14:paraId="371A91B1" w14:textId="77777777" w:rsidR="000A0DF2" w:rsidRPr="002E1DED" w:rsidRDefault="000A0DF2" w:rsidP="00A072CB">
            <w:pPr>
              <w:pStyle w:val="MDPI42tablebody"/>
              <w:rPr>
                <w:color w:val="000000" w:themeColor="text1"/>
              </w:rPr>
            </w:pPr>
            <w:r w:rsidRPr="002E1DED">
              <w:rPr>
                <w:color w:val="000000" w:themeColor="text1"/>
              </w:rPr>
              <w:t>&lt;10</w:t>
            </w:r>
          </w:p>
        </w:tc>
        <w:tc>
          <w:tcPr>
            <w:tcW w:w="0" w:type="auto"/>
            <w:tcBorders>
              <w:bottom w:val="nil"/>
            </w:tcBorders>
            <w:vAlign w:val="center"/>
          </w:tcPr>
          <w:p w14:paraId="11541160" w14:textId="77777777" w:rsidR="000A0DF2" w:rsidRPr="002E1DED" w:rsidRDefault="000A0DF2" w:rsidP="00A072CB">
            <w:pPr>
              <w:pStyle w:val="MDPI42tablebody"/>
              <w:rPr>
                <w:color w:val="000000" w:themeColor="text1"/>
              </w:rPr>
            </w:pPr>
            <w:r w:rsidRPr="002E1DED">
              <w:rPr>
                <w:color w:val="000000" w:themeColor="text1"/>
              </w:rPr>
              <w:t>&lt;5</w:t>
            </w:r>
          </w:p>
        </w:tc>
        <w:tc>
          <w:tcPr>
            <w:tcW w:w="0" w:type="auto"/>
            <w:tcBorders>
              <w:bottom w:val="nil"/>
            </w:tcBorders>
            <w:vAlign w:val="center"/>
          </w:tcPr>
          <w:p w14:paraId="612B5867" w14:textId="77777777" w:rsidR="000A0DF2" w:rsidRPr="002E1DED" w:rsidRDefault="000A0DF2" w:rsidP="00A072CB">
            <w:pPr>
              <w:pStyle w:val="MDPI42tablebody"/>
              <w:rPr>
                <w:color w:val="000000" w:themeColor="text1"/>
              </w:rPr>
            </w:pPr>
            <w:r w:rsidRPr="002E1DED">
              <w:rPr>
                <w:color w:val="000000" w:themeColor="text1"/>
              </w:rPr>
              <w:t>105</w:t>
            </w:r>
          </w:p>
        </w:tc>
        <w:tc>
          <w:tcPr>
            <w:tcW w:w="0" w:type="auto"/>
            <w:tcBorders>
              <w:bottom w:val="nil"/>
            </w:tcBorders>
            <w:vAlign w:val="center"/>
          </w:tcPr>
          <w:p w14:paraId="56EB6107"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bottom w:val="nil"/>
            </w:tcBorders>
            <w:vAlign w:val="center"/>
          </w:tcPr>
          <w:p w14:paraId="1EF61BD1" w14:textId="77777777" w:rsidR="000A0DF2" w:rsidRPr="002E1DED" w:rsidRDefault="000A0DF2" w:rsidP="00A072CB">
            <w:pPr>
              <w:pStyle w:val="MDPI42tablebody"/>
              <w:rPr>
                <w:color w:val="000000" w:themeColor="text1"/>
              </w:rPr>
            </w:pPr>
            <w:r w:rsidRPr="002E1DED">
              <w:rPr>
                <w:color w:val="000000" w:themeColor="text1"/>
              </w:rPr>
              <w:t>&lt;0.1</w:t>
            </w:r>
          </w:p>
        </w:tc>
        <w:tc>
          <w:tcPr>
            <w:tcW w:w="0" w:type="auto"/>
            <w:tcBorders>
              <w:bottom w:val="nil"/>
            </w:tcBorders>
            <w:vAlign w:val="center"/>
          </w:tcPr>
          <w:p w14:paraId="6295E555" w14:textId="77777777" w:rsidR="000A0DF2" w:rsidRPr="002E1DED" w:rsidRDefault="000A0DF2" w:rsidP="00A072CB">
            <w:pPr>
              <w:pStyle w:val="MDPI42tablebody"/>
              <w:rPr>
                <w:color w:val="000000" w:themeColor="text1"/>
              </w:rPr>
            </w:pPr>
            <w:r w:rsidRPr="002E1DED">
              <w:rPr>
                <w:color w:val="000000" w:themeColor="text1"/>
              </w:rPr>
              <w:t>&lt;0.5</w:t>
            </w:r>
          </w:p>
        </w:tc>
        <w:tc>
          <w:tcPr>
            <w:tcW w:w="0" w:type="auto"/>
            <w:tcBorders>
              <w:bottom w:val="nil"/>
            </w:tcBorders>
            <w:vAlign w:val="center"/>
          </w:tcPr>
          <w:p w14:paraId="2B8BE7DD"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bottom w:val="nil"/>
            </w:tcBorders>
            <w:vAlign w:val="center"/>
          </w:tcPr>
          <w:p w14:paraId="314AD809"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bottom w:val="nil"/>
            </w:tcBorders>
            <w:vAlign w:val="center"/>
          </w:tcPr>
          <w:p w14:paraId="1F4EA770" w14:textId="77777777" w:rsidR="000A0DF2" w:rsidRPr="002E1DED" w:rsidRDefault="000A0DF2" w:rsidP="00A072CB">
            <w:pPr>
              <w:pStyle w:val="MDPI42tablebody"/>
              <w:rPr>
                <w:color w:val="000000" w:themeColor="text1"/>
              </w:rPr>
            </w:pPr>
            <w:r w:rsidRPr="002E1DED">
              <w:rPr>
                <w:color w:val="000000" w:themeColor="text1"/>
              </w:rPr>
              <w:t>7</w:t>
            </w:r>
          </w:p>
        </w:tc>
        <w:tc>
          <w:tcPr>
            <w:tcW w:w="0" w:type="auto"/>
            <w:tcBorders>
              <w:bottom w:val="nil"/>
            </w:tcBorders>
            <w:vAlign w:val="center"/>
          </w:tcPr>
          <w:p w14:paraId="277A492F" w14:textId="77777777" w:rsidR="000A0DF2" w:rsidRPr="002E1DED" w:rsidRDefault="000A0DF2" w:rsidP="00A072CB">
            <w:pPr>
              <w:pStyle w:val="MDPI42tablebody"/>
              <w:rPr>
                <w:color w:val="000000" w:themeColor="text1"/>
              </w:rPr>
            </w:pPr>
            <w:r w:rsidRPr="002E1DED">
              <w:rPr>
                <w:color w:val="000000" w:themeColor="text1"/>
              </w:rPr>
              <w:t>7</w:t>
            </w:r>
          </w:p>
        </w:tc>
        <w:tc>
          <w:tcPr>
            <w:tcW w:w="0" w:type="auto"/>
            <w:tcBorders>
              <w:bottom w:val="nil"/>
            </w:tcBorders>
            <w:vAlign w:val="center"/>
          </w:tcPr>
          <w:p w14:paraId="19564D38" w14:textId="77777777" w:rsidR="000A0DF2" w:rsidRPr="002E1DED" w:rsidRDefault="000A0DF2" w:rsidP="00A072CB">
            <w:pPr>
              <w:pStyle w:val="MDPI42tablebody"/>
              <w:rPr>
                <w:color w:val="000000" w:themeColor="text1"/>
              </w:rPr>
            </w:pPr>
            <w:r w:rsidRPr="002E1DED">
              <w:rPr>
                <w:color w:val="000000" w:themeColor="text1"/>
              </w:rPr>
              <w:t>2</w:t>
            </w:r>
          </w:p>
        </w:tc>
        <w:tc>
          <w:tcPr>
            <w:tcW w:w="0" w:type="auto"/>
            <w:tcBorders>
              <w:bottom w:val="nil"/>
            </w:tcBorders>
            <w:vAlign w:val="center"/>
          </w:tcPr>
          <w:p w14:paraId="1EDD1937" w14:textId="77777777" w:rsidR="000A0DF2" w:rsidRPr="002E1DED" w:rsidRDefault="000A0DF2" w:rsidP="00A072CB">
            <w:pPr>
              <w:pStyle w:val="MDPI42tablebody"/>
              <w:rPr>
                <w:color w:val="000000" w:themeColor="text1"/>
              </w:rPr>
            </w:pPr>
            <w:r w:rsidRPr="002E1DED">
              <w:rPr>
                <w:color w:val="000000" w:themeColor="text1"/>
              </w:rPr>
              <w:t>5</w:t>
            </w:r>
          </w:p>
        </w:tc>
        <w:tc>
          <w:tcPr>
            <w:tcW w:w="0" w:type="auto"/>
            <w:tcBorders>
              <w:bottom w:val="nil"/>
            </w:tcBorders>
            <w:vAlign w:val="center"/>
          </w:tcPr>
          <w:p w14:paraId="231D0B7A" w14:textId="77777777" w:rsidR="000A0DF2" w:rsidRPr="002E1DED" w:rsidRDefault="000A0DF2" w:rsidP="00A072CB">
            <w:pPr>
              <w:pStyle w:val="MDPI42tablebody"/>
              <w:rPr>
                <w:color w:val="000000" w:themeColor="text1"/>
              </w:rPr>
            </w:pPr>
            <w:r w:rsidRPr="002E1DED">
              <w:rPr>
                <w:color w:val="000000" w:themeColor="text1"/>
              </w:rPr>
              <w:t>10</w:t>
            </w:r>
          </w:p>
        </w:tc>
        <w:tc>
          <w:tcPr>
            <w:tcW w:w="0" w:type="auto"/>
            <w:tcBorders>
              <w:bottom w:val="nil"/>
            </w:tcBorders>
            <w:vAlign w:val="center"/>
          </w:tcPr>
          <w:p w14:paraId="2C4E1F83"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bottom w:val="nil"/>
            </w:tcBorders>
            <w:vAlign w:val="center"/>
          </w:tcPr>
          <w:p w14:paraId="4C1BB669"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bottom w:val="nil"/>
            </w:tcBorders>
            <w:vAlign w:val="center"/>
          </w:tcPr>
          <w:p w14:paraId="5E31C178" w14:textId="77777777" w:rsidR="000A0DF2" w:rsidRPr="002E1DED" w:rsidRDefault="000A0DF2" w:rsidP="00A072CB">
            <w:pPr>
              <w:pStyle w:val="MDPI42tablebody"/>
              <w:rPr>
                <w:color w:val="000000" w:themeColor="text1"/>
              </w:rPr>
            </w:pPr>
            <w:r w:rsidRPr="002E1DED">
              <w:rPr>
                <w:color w:val="000000" w:themeColor="text1"/>
              </w:rPr>
              <w:t>1620</w:t>
            </w:r>
          </w:p>
        </w:tc>
        <w:tc>
          <w:tcPr>
            <w:tcW w:w="0" w:type="auto"/>
            <w:tcBorders>
              <w:bottom w:val="nil"/>
            </w:tcBorders>
            <w:vAlign w:val="center"/>
          </w:tcPr>
          <w:p w14:paraId="35D804F1"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bottom w:val="nil"/>
            </w:tcBorders>
            <w:vAlign w:val="center"/>
          </w:tcPr>
          <w:p w14:paraId="3B425E0E"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bottom w:val="nil"/>
            </w:tcBorders>
            <w:vAlign w:val="center"/>
          </w:tcPr>
          <w:p w14:paraId="7C1F0404" w14:textId="77777777" w:rsidR="000A0DF2" w:rsidRPr="002E1DED" w:rsidRDefault="000A0DF2" w:rsidP="00A072CB">
            <w:pPr>
              <w:pStyle w:val="MDPI42tablebody"/>
              <w:rPr>
                <w:color w:val="000000" w:themeColor="text1"/>
              </w:rPr>
            </w:pPr>
            <w:r w:rsidRPr="002E1DED">
              <w:rPr>
                <w:color w:val="000000" w:themeColor="text1"/>
              </w:rPr>
              <w:t>6</w:t>
            </w:r>
          </w:p>
        </w:tc>
      </w:tr>
      <w:tr w:rsidR="002E1DED" w:rsidRPr="002E1DED" w14:paraId="1D965B55" w14:textId="77777777" w:rsidTr="00C873D8">
        <w:trPr>
          <w:trHeight w:val="72"/>
        </w:trPr>
        <w:tc>
          <w:tcPr>
            <w:tcW w:w="0" w:type="auto"/>
            <w:vMerge/>
            <w:tcBorders>
              <w:bottom w:val="nil"/>
            </w:tcBorders>
            <w:vAlign w:val="center"/>
          </w:tcPr>
          <w:p w14:paraId="4ABBB089" w14:textId="77777777" w:rsidR="000A0DF2" w:rsidRPr="002E1DED" w:rsidRDefault="000A0DF2" w:rsidP="00A072CB">
            <w:pPr>
              <w:pStyle w:val="MDPI42tablebody"/>
              <w:rPr>
                <w:color w:val="000000" w:themeColor="text1"/>
              </w:rPr>
            </w:pPr>
          </w:p>
        </w:tc>
        <w:tc>
          <w:tcPr>
            <w:tcW w:w="0" w:type="auto"/>
            <w:tcBorders>
              <w:bottom w:val="nil"/>
            </w:tcBorders>
            <w:vAlign w:val="center"/>
          </w:tcPr>
          <w:p w14:paraId="1D705788" w14:textId="77777777" w:rsidR="000A0DF2" w:rsidRPr="002E1DED" w:rsidRDefault="000A0DF2" w:rsidP="00A072CB">
            <w:pPr>
              <w:pStyle w:val="MDPI42tablebody"/>
              <w:rPr>
                <w:color w:val="000000" w:themeColor="text1"/>
              </w:rPr>
            </w:pPr>
            <w:r w:rsidRPr="002E1DED">
              <w:rPr>
                <w:color w:val="000000" w:themeColor="text1"/>
              </w:rPr>
              <w:t>220 nm</w:t>
            </w:r>
          </w:p>
        </w:tc>
        <w:tc>
          <w:tcPr>
            <w:tcW w:w="0" w:type="auto"/>
            <w:tcBorders>
              <w:bottom w:val="nil"/>
            </w:tcBorders>
            <w:vAlign w:val="center"/>
          </w:tcPr>
          <w:p w14:paraId="79DAB520" w14:textId="77777777" w:rsidR="000A0DF2" w:rsidRPr="002E1DED" w:rsidRDefault="000A0DF2" w:rsidP="00A072CB">
            <w:pPr>
              <w:pStyle w:val="MDPI42tablebody"/>
              <w:rPr>
                <w:color w:val="000000" w:themeColor="text1"/>
              </w:rPr>
            </w:pPr>
            <w:r w:rsidRPr="002E1DED">
              <w:rPr>
                <w:color w:val="000000" w:themeColor="text1"/>
              </w:rPr>
              <w:t>90 ± 10</w:t>
            </w:r>
          </w:p>
        </w:tc>
        <w:tc>
          <w:tcPr>
            <w:tcW w:w="0" w:type="auto"/>
            <w:tcBorders>
              <w:bottom w:val="nil"/>
            </w:tcBorders>
            <w:vAlign w:val="center"/>
          </w:tcPr>
          <w:p w14:paraId="566379B8" w14:textId="77777777" w:rsidR="000A0DF2" w:rsidRPr="002E1DED" w:rsidRDefault="000A0DF2" w:rsidP="00A072CB">
            <w:pPr>
              <w:pStyle w:val="MDPI42tablebody"/>
              <w:rPr>
                <w:color w:val="000000" w:themeColor="text1"/>
              </w:rPr>
            </w:pPr>
            <w:r w:rsidRPr="002E1DED">
              <w:rPr>
                <w:color w:val="000000" w:themeColor="text1"/>
              </w:rPr>
              <w:t>7.40</w:t>
            </w:r>
          </w:p>
        </w:tc>
        <w:tc>
          <w:tcPr>
            <w:tcW w:w="0" w:type="auto"/>
            <w:tcBorders>
              <w:bottom w:val="nil"/>
            </w:tcBorders>
            <w:vAlign w:val="center"/>
          </w:tcPr>
          <w:p w14:paraId="414173AA" w14:textId="77777777" w:rsidR="000A0DF2" w:rsidRPr="002E1DED" w:rsidRDefault="000A0DF2" w:rsidP="00A072CB">
            <w:pPr>
              <w:pStyle w:val="MDPI42tablebody"/>
              <w:rPr>
                <w:color w:val="000000" w:themeColor="text1"/>
              </w:rPr>
            </w:pPr>
            <w:r w:rsidRPr="002E1DED">
              <w:rPr>
                <w:color w:val="000000" w:themeColor="text1"/>
              </w:rPr>
              <w:t>&lt;5</w:t>
            </w:r>
          </w:p>
        </w:tc>
        <w:tc>
          <w:tcPr>
            <w:tcW w:w="0" w:type="auto"/>
            <w:tcBorders>
              <w:bottom w:val="nil"/>
            </w:tcBorders>
            <w:vAlign w:val="center"/>
          </w:tcPr>
          <w:p w14:paraId="06FF2936" w14:textId="77777777" w:rsidR="000A0DF2" w:rsidRPr="002E1DED" w:rsidRDefault="000A0DF2" w:rsidP="00A072CB">
            <w:pPr>
              <w:pStyle w:val="MDPI42tablebody"/>
              <w:rPr>
                <w:color w:val="000000" w:themeColor="text1"/>
              </w:rPr>
            </w:pPr>
            <w:r w:rsidRPr="002E1DED">
              <w:rPr>
                <w:color w:val="000000" w:themeColor="text1"/>
              </w:rPr>
              <w:t>&lt;10</w:t>
            </w:r>
          </w:p>
        </w:tc>
        <w:tc>
          <w:tcPr>
            <w:tcW w:w="0" w:type="auto"/>
            <w:tcBorders>
              <w:bottom w:val="nil"/>
            </w:tcBorders>
            <w:vAlign w:val="center"/>
          </w:tcPr>
          <w:p w14:paraId="05DCB80A" w14:textId="77777777" w:rsidR="000A0DF2" w:rsidRPr="002E1DED" w:rsidRDefault="000A0DF2" w:rsidP="00A072CB">
            <w:pPr>
              <w:pStyle w:val="MDPI42tablebody"/>
              <w:rPr>
                <w:color w:val="000000" w:themeColor="text1"/>
              </w:rPr>
            </w:pPr>
            <w:r w:rsidRPr="002E1DED">
              <w:rPr>
                <w:color w:val="000000" w:themeColor="text1"/>
              </w:rPr>
              <w:t>&lt;5</w:t>
            </w:r>
          </w:p>
        </w:tc>
        <w:tc>
          <w:tcPr>
            <w:tcW w:w="0" w:type="auto"/>
            <w:tcBorders>
              <w:bottom w:val="nil"/>
            </w:tcBorders>
            <w:vAlign w:val="center"/>
          </w:tcPr>
          <w:p w14:paraId="7F8D0CAE" w14:textId="77777777" w:rsidR="000A0DF2" w:rsidRPr="002E1DED" w:rsidRDefault="000A0DF2" w:rsidP="00A072CB">
            <w:pPr>
              <w:pStyle w:val="MDPI42tablebody"/>
              <w:rPr>
                <w:color w:val="000000" w:themeColor="text1"/>
              </w:rPr>
            </w:pPr>
            <w:r w:rsidRPr="002E1DED">
              <w:rPr>
                <w:color w:val="000000" w:themeColor="text1"/>
              </w:rPr>
              <w:t>105</w:t>
            </w:r>
          </w:p>
        </w:tc>
        <w:tc>
          <w:tcPr>
            <w:tcW w:w="0" w:type="auto"/>
            <w:tcBorders>
              <w:bottom w:val="nil"/>
            </w:tcBorders>
            <w:vAlign w:val="center"/>
          </w:tcPr>
          <w:p w14:paraId="612C6020"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bottom w:val="nil"/>
            </w:tcBorders>
            <w:vAlign w:val="center"/>
          </w:tcPr>
          <w:p w14:paraId="7E70A1A2" w14:textId="77777777" w:rsidR="000A0DF2" w:rsidRPr="002E1DED" w:rsidRDefault="000A0DF2" w:rsidP="00A072CB">
            <w:pPr>
              <w:pStyle w:val="MDPI42tablebody"/>
              <w:rPr>
                <w:color w:val="000000" w:themeColor="text1"/>
              </w:rPr>
            </w:pPr>
            <w:r w:rsidRPr="002E1DED">
              <w:rPr>
                <w:color w:val="000000" w:themeColor="text1"/>
              </w:rPr>
              <w:t>&lt;0.1</w:t>
            </w:r>
          </w:p>
        </w:tc>
        <w:tc>
          <w:tcPr>
            <w:tcW w:w="0" w:type="auto"/>
            <w:tcBorders>
              <w:bottom w:val="nil"/>
            </w:tcBorders>
            <w:vAlign w:val="center"/>
          </w:tcPr>
          <w:p w14:paraId="41F5C747" w14:textId="77777777" w:rsidR="000A0DF2" w:rsidRPr="002E1DED" w:rsidRDefault="000A0DF2" w:rsidP="00A072CB">
            <w:pPr>
              <w:pStyle w:val="MDPI42tablebody"/>
              <w:rPr>
                <w:color w:val="000000" w:themeColor="text1"/>
              </w:rPr>
            </w:pPr>
            <w:r w:rsidRPr="002E1DED">
              <w:rPr>
                <w:color w:val="000000" w:themeColor="text1"/>
              </w:rPr>
              <w:t>&lt;0.5</w:t>
            </w:r>
          </w:p>
        </w:tc>
        <w:tc>
          <w:tcPr>
            <w:tcW w:w="0" w:type="auto"/>
            <w:tcBorders>
              <w:bottom w:val="nil"/>
            </w:tcBorders>
            <w:vAlign w:val="center"/>
          </w:tcPr>
          <w:p w14:paraId="0CEAB95A"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bottom w:val="nil"/>
            </w:tcBorders>
            <w:vAlign w:val="center"/>
          </w:tcPr>
          <w:p w14:paraId="23D55AE8"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bottom w:val="nil"/>
            </w:tcBorders>
            <w:vAlign w:val="center"/>
          </w:tcPr>
          <w:p w14:paraId="4B0D4C60" w14:textId="77777777" w:rsidR="000A0DF2" w:rsidRPr="002E1DED" w:rsidRDefault="000A0DF2" w:rsidP="00A072CB">
            <w:pPr>
              <w:pStyle w:val="MDPI42tablebody"/>
              <w:rPr>
                <w:color w:val="000000" w:themeColor="text1"/>
              </w:rPr>
            </w:pPr>
            <w:r w:rsidRPr="002E1DED">
              <w:rPr>
                <w:color w:val="000000" w:themeColor="text1"/>
              </w:rPr>
              <w:t>7</w:t>
            </w:r>
          </w:p>
        </w:tc>
        <w:tc>
          <w:tcPr>
            <w:tcW w:w="0" w:type="auto"/>
            <w:tcBorders>
              <w:bottom w:val="nil"/>
            </w:tcBorders>
            <w:vAlign w:val="center"/>
          </w:tcPr>
          <w:p w14:paraId="5837CD66" w14:textId="77777777" w:rsidR="000A0DF2" w:rsidRPr="002E1DED" w:rsidRDefault="000A0DF2" w:rsidP="00A072CB">
            <w:pPr>
              <w:pStyle w:val="MDPI42tablebody"/>
              <w:rPr>
                <w:color w:val="000000" w:themeColor="text1"/>
              </w:rPr>
            </w:pPr>
            <w:r w:rsidRPr="002E1DED">
              <w:rPr>
                <w:color w:val="000000" w:themeColor="text1"/>
              </w:rPr>
              <w:t>7</w:t>
            </w:r>
          </w:p>
        </w:tc>
        <w:tc>
          <w:tcPr>
            <w:tcW w:w="0" w:type="auto"/>
            <w:tcBorders>
              <w:bottom w:val="nil"/>
            </w:tcBorders>
            <w:vAlign w:val="center"/>
          </w:tcPr>
          <w:p w14:paraId="6FCFA9AE" w14:textId="77777777" w:rsidR="000A0DF2" w:rsidRPr="002E1DED" w:rsidRDefault="000A0DF2" w:rsidP="00A072CB">
            <w:pPr>
              <w:pStyle w:val="MDPI42tablebody"/>
              <w:rPr>
                <w:color w:val="000000" w:themeColor="text1"/>
              </w:rPr>
            </w:pPr>
            <w:r w:rsidRPr="002E1DED">
              <w:rPr>
                <w:color w:val="000000" w:themeColor="text1"/>
              </w:rPr>
              <w:t>2</w:t>
            </w:r>
          </w:p>
        </w:tc>
        <w:tc>
          <w:tcPr>
            <w:tcW w:w="0" w:type="auto"/>
            <w:tcBorders>
              <w:bottom w:val="nil"/>
            </w:tcBorders>
            <w:vAlign w:val="center"/>
          </w:tcPr>
          <w:p w14:paraId="0CAD5A12" w14:textId="77777777" w:rsidR="000A0DF2" w:rsidRPr="002E1DED" w:rsidRDefault="000A0DF2" w:rsidP="00A072CB">
            <w:pPr>
              <w:pStyle w:val="MDPI42tablebody"/>
              <w:rPr>
                <w:color w:val="000000" w:themeColor="text1"/>
              </w:rPr>
            </w:pPr>
            <w:r w:rsidRPr="002E1DED">
              <w:rPr>
                <w:color w:val="000000" w:themeColor="text1"/>
              </w:rPr>
              <w:t>4</w:t>
            </w:r>
          </w:p>
        </w:tc>
        <w:tc>
          <w:tcPr>
            <w:tcW w:w="0" w:type="auto"/>
            <w:tcBorders>
              <w:bottom w:val="nil"/>
            </w:tcBorders>
            <w:vAlign w:val="center"/>
          </w:tcPr>
          <w:p w14:paraId="716520B4" w14:textId="77777777" w:rsidR="000A0DF2" w:rsidRPr="002E1DED" w:rsidRDefault="000A0DF2" w:rsidP="00A072CB">
            <w:pPr>
              <w:pStyle w:val="MDPI42tablebody"/>
              <w:rPr>
                <w:color w:val="000000" w:themeColor="text1"/>
              </w:rPr>
            </w:pPr>
            <w:r w:rsidRPr="002E1DED">
              <w:rPr>
                <w:color w:val="000000" w:themeColor="text1"/>
              </w:rPr>
              <w:t>10</w:t>
            </w:r>
          </w:p>
        </w:tc>
        <w:tc>
          <w:tcPr>
            <w:tcW w:w="0" w:type="auto"/>
            <w:tcBorders>
              <w:bottom w:val="nil"/>
            </w:tcBorders>
            <w:vAlign w:val="center"/>
          </w:tcPr>
          <w:p w14:paraId="4FA4941F" w14:textId="77777777" w:rsidR="000A0DF2" w:rsidRPr="002E1DED" w:rsidRDefault="000A0DF2" w:rsidP="00A072CB">
            <w:pPr>
              <w:pStyle w:val="MDPI42tablebody"/>
              <w:rPr>
                <w:color w:val="000000" w:themeColor="text1"/>
              </w:rPr>
            </w:pPr>
            <w:r w:rsidRPr="002E1DED">
              <w:rPr>
                <w:color w:val="000000" w:themeColor="text1"/>
              </w:rPr>
              <w:t>4</w:t>
            </w:r>
          </w:p>
        </w:tc>
        <w:tc>
          <w:tcPr>
            <w:tcW w:w="0" w:type="auto"/>
            <w:tcBorders>
              <w:bottom w:val="nil"/>
            </w:tcBorders>
            <w:vAlign w:val="center"/>
          </w:tcPr>
          <w:p w14:paraId="77D3577A"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bottom w:val="nil"/>
            </w:tcBorders>
            <w:vAlign w:val="center"/>
          </w:tcPr>
          <w:p w14:paraId="01CFEAF2" w14:textId="77777777" w:rsidR="000A0DF2" w:rsidRPr="002E1DED" w:rsidRDefault="000A0DF2" w:rsidP="00A072CB">
            <w:pPr>
              <w:pStyle w:val="MDPI42tablebody"/>
              <w:rPr>
                <w:color w:val="000000" w:themeColor="text1"/>
              </w:rPr>
            </w:pPr>
            <w:r w:rsidRPr="002E1DED">
              <w:rPr>
                <w:color w:val="000000" w:themeColor="text1"/>
              </w:rPr>
              <w:t>1600</w:t>
            </w:r>
          </w:p>
        </w:tc>
        <w:tc>
          <w:tcPr>
            <w:tcW w:w="0" w:type="auto"/>
            <w:tcBorders>
              <w:bottom w:val="nil"/>
            </w:tcBorders>
            <w:vAlign w:val="center"/>
          </w:tcPr>
          <w:p w14:paraId="2074F0B3"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bottom w:val="nil"/>
            </w:tcBorders>
            <w:vAlign w:val="center"/>
          </w:tcPr>
          <w:p w14:paraId="4142D201" w14:textId="77777777" w:rsidR="000A0DF2" w:rsidRPr="002E1DED" w:rsidRDefault="000A0DF2" w:rsidP="00A072CB">
            <w:pPr>
              <w:pStyle w:val="MDPI42tablebody"/>
              <w:rPr>
                <w:color w:val="000000" w:themeColor="text1"/>
              </w:rPr>
            </w:pPr>
            <w:r w:rsidRPr="002E1DED">
              <w:rPr>
                <w:color w:val="000000" w:themeColor="text1"/>
              </w:rPr>
              <w:t>2.4</w:t>
            </w:r>
          </w:p>
        </w:tc>
        <w:tc>
          <w:tcPr>
            <w:tcW w:w="0" w:type="auto"/>
            <w:tcBorders>
              <w:bottom w:val="nil"/>
            </w:tcBorders>
            <w:vAlign w:val="center"/>
          </w:tcPr>
          <w:p w14:paraId="3B7F4C13" w14:textId="77777777" w:rsidR="000A0DF2" w:rsidRPr="002E1DED" w:rsidRDefault="000A0DF2" w:rsidP="00A072CB">
            <w:pPr>
              <w:pStyle w:val="MDPI42tablebody"/>
              <w:rPr>
                <w:color w:val="000000" w:themeColor="text1"/>
              </w:rPr>
            </w:pPr>
            <w:r w:rsidRPr="002E1DED">
              <w:rPr>
                <w:color w:val="000000" w:themeColor="text1"/>
              </w:rPr>
              <w:t>6</w:t>
            </w:r>
          </w:p>
        </w:tc>
      </w:tr>
      <w:tr w:rsidR="002E1DED" w:rsidRPr="002E1DED" w14:paraId="2DEBF43A" w14:textId="77777777" w:rsidTr="00C873D8">
        <w:trPr>
          <w:trHeight w:val="72"/>
        </w:trPr>
        <w:tc>
          <w:tcPr>
            <w:tcW w:w="0" w:type="auto"/>
            <w:vMerge/>
            <w:tcBorders>
              <w:bottom w:val="single" w:sz="4" w:space="0" w:color="auto"/>
            </w:tcBorders>
            <w:vAlign w:val="center"/>
          </w:tcPr>
          <w:p w14:paraId="2C3A8AF8" w14:textId="77777777" w:rsidR="000A0DF2" w:rsidRPr="002E1DED" w:rsidRDefault="000A0DF2" w:rsidP="00A072CB">
            <w:pPr>
              <w:pStyle w:val="MDPI42tablebody"/>
              <w:rPr>
                <w:color w:val="000000" w:themeColor="text1"/>
              </w:rPr>
            </w:pPr>
          </w:p>
        </w:tc>
        <w:tc>
          <w:tcPr>
            <w:tcW w:w="0" w:type="auto"/>
            <w:tcBorders>
              <w:bottom w:val="single" w:sz="4" w:space="0" w:color="auto"/>
            </w:tcBorders>
            <w:vAlign w:val="center"/>
          </w:tcPr>
          <w:p w14:paraId="5CF223AF" w14:textId="77777777" w:rsidR="000A0DF2" w:rsidRPr="002E1DED" w:rsidRDefault="000A0DF2" w:rsidP="00A072CB">
            <w:pPr>
              <w:pStyle w:val="MDPI42tablebody"/>
              <w:rPr>
                <w:color w:val="000000" w:themeColor="text1"/>
              </w:rPr>
            </w:pPr>
            <w:r w:rsidRPr="002E1DED">
              <w:rPr>
                <w:color w:val="000000" w:themeColor="text1"/>
              </w:rPr>
              <w:t>Combination of 450 and 220 nm filters</w:t>
            </w:r>
          </w:p>
        </w:tc>
        <w:tc>
          <w:tcPr>
            <w:tcW w:w="0" w:type="auto"/>
            <w:tcBorders>
              <w:bottom w:val="single" w:sz="4" w:space="0" w:color="auto"/>
            </w:tcBorders>
            <w:vAlign w:val="center"/>
          </w:tcPr>
          <w:p w14:paraId="504FD760" w14:textId="77777777" w:rsidR="000A0DF2" w:rsidRPr="002E1DED" w:rsidRDefault="000A0DF2" w:rsidP="00A072CB">
            <w:pPr>
              <w:pStyle w:val="MDPI42tablebody"/>
              <w:rPr>
                <w:color w:val="000000" w:themeColor="text1"/>
              </w:rPr>
            </w:pPr>
            <w:r w:rsidRPr="002E1DED">
              <w:rPr>
                <w:color w:val="000000" w:themeColor="text1"/>
              </w:rPr>
              <w:t>280 ± 24</w:t>
            </w:r>
          </w:p>
        </w:tc>
        <w:tc>
          <w:tcPr>
            <w:tcW w:w="0" w:type="auto"/>
            <w:tcBorders>
              <w:bottom w:val="single" w:sz="4" w:space="0" w:color="auto"/>
            </w:tcBorders>
            <w:vAlign w:val="center"/>
          </w:tcPr>
          <w:p w14:paraId="22065FCF" w14:textId="77777777" w:rsidR="000A0DF2" w:rsidRPr="002E1DED" w:rsidRDefault="000A0DF2" w:rsidP="00A072CB">
            <w:pPr>
              <w:pStyle w:val="MDPI42tablebody"/>
              <w:rPr>
                <w:color w:val="000000" w:themeColor="text1"/>
              </w:rPr>
            </w:pPr>
            <w:r w:rsidRPr="002E1DED">
              <w:rPr>
                <w:color w:val="000000" w:themeColor="text1"/>
              </w:rPr>
              <w:t>7.45</w:t>
            </w:r>
          </w:p>
        </w:tc>
        <w:tc>
          <w:tcPr>
            <w:tcW w:w="0" w:type="auto"/>
            <w:tcBorders>
              <w:bottom w:val="single" w:sz="4" w:space="0" w:color="auto"/>
            </w:tcBorders>
            <w:vAlign w:val="center"/>
          </w:tcPr>
          <w:p w14:paraId="69964B2F" w14:textId="77777777" w:rsidR="000A0DF2" w:rsidRPr="002E1DED" w:rsidRDefault="000A0DF2" w:rsidP="00A072CB">
            <w:pPr>
              <w:pStyle w:val="MDPI42tablebody"/>
              <w:rPr>
                <w:color w:val="000000" w:themeColor="text1"/>
              </w:rPr>
            </w:pPr>
            <w:r w:rsidRPr="002E1DED">
              <w:rPr>
                <w:color w:val="000000" w:themeColor="text1"/>
              </w:rPr>
              <w:t>&lt;5</w:t>
            </w:r>
          </w:p>
        </w:tc>
        <w:tc>
          <w:tcPr>
            <w:tcW w:w="0" w:type="auto"/>
            <w:tcBorders>
              <w:bottom w:val="single" w:sz="4" w:space="0" w:color="auto"/>
            </w:tcBorders>
            <w:vAlign w:val="center"/>
          </w:tcPr>
          <w:p w14:paraId="45CF32C0" w14:textId="77777777" w:rsidR="000A0DF2" w:rsidRPr="002E1DED" w:rsidRDefault="000A0DF2" w:rsidP="00A072CB">
            <w:pPr>
              <w:pStyle w:val="MDPI42tablebody"/>
              <w:rPr>
                <w:color w:val="000000" w:themeColor="text1"/>
              </w:rPr>
            </w:pPr>
            <w:r w:rsidRPr="002E1DED">
              <w:rPr>
                <w:color w:val="000000" w:themeColor="text1"/>
              </w:rPr>
              <w:t>&lt;10</w:t>
            </w:r>
          </w:p>
        </w:tc>
        <w:tc>
          <w:tcPr>
            <w:tcW w:w="0" w:type="auto"/>
            <w:tcBorders>
              <w:bottom w:val="single" w:sz="4" w:space="0" w:color="auto"/>
            </w:tcBorders>
            <w:vAlign w:val="center"/>
          </w:tcPr>
          <w:p w14:paraId="38DAC013" w14:textId="77777777" w:rsidR="000A0DF2" w:rsidRPr="002E1DED" w:rsidRDefault="000A0DF2" w:rsidP="00A072CB">
            <w:pPr>
              <w:pStyle w:val="MDPI42tablebody"/>
              <w:rPr>
                <w:color w:val="000000" w:themeColor="text1"/>
              </w:rPr>
            </w:pPr>
            <w:r w:rsidRPr="002E1DED">
              <w:rPr>
                <w:color w:val="000000" w:themeColor="text1"/>
              </w:rPr>
              <w:t>&lt;5</w:t>
            </w:r>
          </w:p>
        </w:tc>
        <w:tc>
          <w:tcPr>
            <w:tcW w:w="0" w:type="auto"/>
            <w:tcBorders>
              <w:bottom w:val="single" w:sz="4" w:space="0" w:color="auto"/>
            </w:tcBorders>
            <w:vAlign w:val="center"/>
          </w:tcPr>
          <w:p w14:paraId="3B0767F4" w14:textId="77777777" w:rsidR="000A0DF2" w:rsidRPr="002E1DED" w:rsidRDefault="000A0DF2" w:rsidP="00A072CB">
            <w:pPr>
              <w:pStyle w:val="MDPI42tablebody"/>
              <w:rPr>
                <w:color w:val="000000" w:themeColor="text1"/>
              </w:rPr>
            </w:pPr>
            <w:r w:rsidRPr="002E1DED">
              <w:rPr>
                <w:color w:val="000000" w:themeColor="text1"/>
              </w:rPr>
              <w:t>105</w:t>
            </w:r>
          </w:p>
        </w:tc>
        <w:tc>
          <w:tcPr>
            <w:tcW w:w="0" w:type="auto"/>
            <w:tcBorders>
              <w:bottom w:val="single" w:sz="4" w:space="0" w:color="auto"/>
            </w:tcBorders>
            <w:vAlign w:val="center"/>
          </w:tcPr>
          <w:p w14:paraId="262BC752"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bottom w:val="single" w:sz="4" w:space="0" w:color="auto"/>
            </w:tcBorders>
            <w:vAlign w:val="center"/>
          </w:tcPr>
          <w:p w14:paraId="788A59CB" w14:textId="77777777" w:rsidR="000A0DF2" w:rsidRPr="002E1DED" w:rsidRDefault="000A0DF2" w:rsidP="00A072CB">
            <w:pPr>
              <w:pStyle w:val="MDPI42tablebody"/>
              <w:rPr>
                <w:color w:val="000000" w:themeColor="text1"/>
              </w:rPr>
            </w:pPr>
            <w:r w:rsidRPr="002E1DED">
              <w:rPr>
                <w:color w:val="000000" w:themeColor="text1"/>
              </w:rPr>
              <w:t>&lt;0.1</w:t>
            </w:r>
          </w:p>
        </w:tc>
        <w:tc>
          <w:tcPr>
            <w:tcW w:w="0" w:type="auto"/>
            <w:tcBorders>
              <w:bottom w:val="single" w:sz="4" w:space="0" w:color="auto"/>
            </w:tcBorders>
            <w:vAlign w:val="center"/>
          </w:tcPr>
          <w:p w14:paraId="6EA3CC1C" w14:textId="77777777" w:rsidR="000A0DF2" w:rsidRPr="002E1DED" w:rsidRDefault="000A0DF2" w:rsidP="00A072CB">
            <w:pPr>
              <w:pStyle w:val="MDPI42tablebody"/>
              <w:rPr>
                <w:color w:val="000000" w:themeColor="text1"/>
              </w:rPr>
            </w:pPr>
            <w:r w:rsidRPr="002E1DED">
              <w:rPr>
                <w:color w:val="000000" w:themeColor="text1"/>
              </w:rPr>
              <w:t>&lt;0.5</w:t>
            </w:r>
          </w:p>
        </w:tc>
        <w:tc>
          <w:tcPr>
            <w:tcW w:w="0" w:type="auto"/>
            <w:tcBorders>
              <w:bottom w:val="single" w:sz="4" w:space="0" w:color="auto"/>
            </w:tcBorders>
            <w:vAlign w:val="center"/>
          </w:tcPr>
          <w:p w14:paraId="1CDA48AF"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bottom w:val="single" w:sz="4" w:space="0" w:color="auto"/>
            </w:tcBorders>
            <w:vAlign w:val="center"/>
          </w:tcPr>
          <w:p w14:paraId="7D231472"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bottom w:val="single" w:sz="4" w:space="0" w:color="auto"/>
            </w:tcBorders>
            <w:vAlign w:val="center"/>
          </w:tcPr>
          <w:p w14:paraId="45D4666E" w14:textId="77777777" w:rsidR="000A0DF2" w:rsidRPr="002E1DED" w:rsidRDefault="000A0DF2" w:rsidP="00A072CB">
            <w:pPr>
              <w:pStyle w:val="MDPI42tablebody"/>
              <w:rPr>
                <w:color w:val="000000" w:themeColor="text1"/>
              </w:rPr>
            </w:pPr>
            <w:r w:rsidRPr="002E1DED">
              <w:rPr>
                <w:color w:val="000000" w:themeColor="text1"/>
              </w:rPr>
              <w:t>7</w:t>
            </w:r>
          </w:p>
        </w:tc>
        <w:tc>
          <w:tcPr>
            <w:tcW w:w="0" w:type="auto"/>
            <w:tcBorders>
              <w:bottom w:val="single" w:sz="4" w:space="0" w:color="auto"/>
            </w:tcBorders>
            <w:vAlign w:val="center"/>
          </w:tcPr>
          <w:p w14:paraId="006A5E1C" w14:textId="77777777" w:rsidR="000A0DF2" w:rsidRPr="002E1DED" w:rsidRDefault="000A0DF2" w:rsidP="00A072CB">
            <w:pPr>
              <w:pStyle w:val="MDPI42tablebody"/>
              <w:rPr>
                <w:color w:val="000000" w:themeColor="text1"/>
              </w:rPr>
            </w:pPr>
            <w:r w:rsidRPr="002E1DED">
              <w:rPr>
                <w:color w:val="000000" w:themeColor="text1"/>
              </w:rPr>
              <w:t>7</w:t>
            </w:r>
          </w:p>
        </w:tc>
        <w:tc>
          <w:tcPr>
            <w:tcW w:w="0" w:type="auto"/>
            <w:tcBorders>
              <w:bottom w:val="single" w:sz="4" w:space="0" w:color="auto"/>
            </w:tcBorders>
            <w:vAlign w:val="center"/>
          </w:tcPr>
          <w:p w14:paraId="0BA90AFA" w14:textId="77777777" w:rsidR="000A0DF2" w:rsidRPr="002E1DED" w:rsidRDefault="000A0DF2" w:rsidP="00A072CB">
            <w:pPr>
              <w:pStyle w:val="MDPI42tablebody"/>
              <w:rPr>
                <w:color w:val="000000" w:themeColor="text1"/>
              </w:rPr>
            </w:pPr>
            <w:r w:rsidRPr="002E1DED">
              <w:rPr>
                <w:color w:val="000000" w:themeColor="text1"/>
              </w:rPr>
              <w:t>2</w:t>
            </w:r>
          </w:p>
        </w:tc>
        <w:tc>
          <w:tcPr>
            <w:tcW w:w="0" w:type="auto"/>
            <w:tcBorders>
              <w:bottom w:val="single" w:sz="4" w:space="0" w:color="auto"/>
            </w:tcBorders>
            <w:vAlign w:val="center"/>
          </w:tcPr>
          <w:p w14:paraId="6F16D224" w14:textId="77777777" w:rsidR="000A0DF2" w:rsidRPr="002E1DED" w:rsidRDefault="000A0DF2" w:rsidP="00A072CB">
            <w:pPr>
              <w:pStyle w:val="MDPI42tablebody"/>
              <w:rPr>
                <w:color w:val="000000" w:themeColor="text1"/>
              </w:rPr>
            </w:pPr>
            <w:r w:rsidRPr="002E1DED">
              <w:rPr>
                <w:color w:val="000000" w:themeColor="text1"/>
              </w:rPr>
              <w:t>4</w:t>
            </w:r>
          </w:p>
        </w:tc>
        <w:tc>
          <w:tcPr>
            <w:tcW w:w="0" w:type="auto"/>
            <w:tcBorders>
              <w:bottom w:val="single" w:sz="4" w:space="0" w:color="auto"/>
            </w:tcBorders>
            <w:vAlign w:val="center"/>
          </w:tcPr>
          <w:p w14:paraId="598892B2" w14:textId="77777777" w:rsidR="000A0DF2" w:rsidRPr="002E1DED" w:rsidRDefault="000A0DF2" w:rsidP="00A072CB">
            <w:pPr>
              <w:pStyle w:val="MDPI42tablebody"/>
              <w:rPr>
                <w:color w:val="000000" w:themeColor="text1"/>
              </w:rPr>
            </w:pPr>
            <w:r w:rsidRPr="002E1DED">
              <w:rPr>
                <w:color w:val="000000" w:themeColor="text1"/>
              </w:rPr>
              <w:t>&lt;5</w:t>
            </w:r>
          </w:p>
        </w:tc>
        <w:tc>
          <w:tcPr>
            <w:tcW w:w="0" w:type="auto"/>
            <w:tcBorders>
              <w:bottom w:val="single" w:sz="4" w:space="0" w:color="auto"/>
            </w:tcBorders>
            <w:vAlign w:val="center"/>
          </w:tcPr>
          <w:p w14:paraId="67709034" w14:textId="77777777" w:rsidR="000A0DF2" w:rsidRPr="002E1DED" w:rsidRDefault="000A0DF2" w:rsidP="00A072CB">
            <w:pPr>
              <w:pStyle w:val="MDPI42tablebody"/>
              <w:rPr>
                <w:color w:val="000000" w:themeColor="text1"/>
              </w:rPr>
            </w:pPr>
            <w:r w:rsidRPr="002E1DED">
              <w:rPr>
                <w:color w:val="000000" w:themeColor="text1"/>
              </w:rPr>
              <w:t>3</w:t>
            </w:r>
          </w:p>
        </w:tc>
        <w:tc>
          <w:tcPr>
            <w:tcW w:w="0" w:type="auto"/>
            <w:tcBorders>
              <w:bottom w:val="single" w:sz="4" w:space="0" w:color="auto"/>
            </w:tcBorders>
            <w:vAlign w:val="center"/>
          </w:tcPr>
          <w:p w14:paraId="6458F70D"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bottom w:val="single" w:sz="4" w:space="0" w:color="auto"/>
            </w:tcBorders>
            <w:vAlign w:val="center"/>
          </w:tcPr>
          <w:p w14:paraId="440A9799" w14:textId="77777777" w:rsidR="000A0DF2" w:rsidRPr="002E1DED" w:rsidRDefault="000A0DF2" w:rsidP="00A072CB">
            <w:pPr>
              <w:pStyle w:val="MDPI42tablebody"/>
              <w:rPr>
                <w:color w:val="000000" w:themeColor="text1"/>
              </w:rPr>
            </w:pPr>
            <w:r w:rsidRPr="002E1DED">
              <w:rPr>
                <w:color w:val="000000" w:themeColor="text1"/>
              </w:rPr>
              <w:t>1650</w:t>
            </w:r>
          </w:p>
        </w:tc>
        <w:tc>
          <w:tcPr>
            <w:tcW w:w="0" w:type="auto"/>
            <w:tcBorders>
              <w:bottom w:val="single" w:sz="4" w:space="0" w:color="auto"/>
            </w:tcBorders>
            <w:vAlign w:val="center"/>
          </w:tcPr>
          <w:p w14:paraId="6566954F" w14:textId="77777777" w:rsidR="000A0DF2" w:rsidRPr="002E1DED" w:rsidRDefault="000A0DF2" w:rsidP="00A072CB">
            <w:pPr>
              <w:pStyle w:val="MDPI42tablebody"/>
              <w:rPr>
                <w:color w:val="000000" w:themeColor="text1"/>
              </w:rPr>
            </w:pPr>
            <w:r w:rsidRPr="002E1DED">
              <w:rPr>
                <w:color w:val="000000" w:themeColor="text1"/>
              </w:rPr>
              <w:t>2.3</w:t>
            </w:r>
          </w:p>
        </w:tc>
        <w:tc>
          <w:tcPr>
            <w:tcW w:w="0" w:type="auto"/>
            <w:tcBorders>
              <w:bottom w:val="single" w:sz="4" w:space="0" w:color="auto"/>
            </w:tcBorders>
            <w:vAlign w:val="center"/>
          </w:tcPr>
          <w:p w14:paraId="2B7AD18A"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bottom w:val="single" w:sz="4" w:space="0" w:color="auto"/>
            </w:tcBorders>
            <w:vAlign w:val="center"/>
          </w:tcPr>
          <w:p w14:paraId="21C56CCF" w14:textId="77777777" w:rsidR="000A0DF2" w:rsidRPr="002E1DED" w:rsidRDefault="000A0DF2" w:rsidP="00A072CB">
            <w:pPr>
              <w:pStyle w:val="MDPI42tablebody"/>
              <w:rPr>
                <w:color w:val="000000" w:themeColor="text1"/>
              </w:rPr>
            </w:pPr>
            <w:r w:rsidRPr="002E1DED">
              <w:rPr>
                <w:color w:val="000000" w:themeColor="text1"/>
              </w:rPr>
              <w:t>6</w:t>
            </w:r>
          </w:p>
        </w:tc>
      </w:tr>
      <w:tr w:rsidR="002E1DED" w:rsidRPr="002E1DED" w14:paraId="1ECB01E1" w14:textId="77777777" w:rsidTr="00C873D8">
        <w:trPr>
          <w:trHeight w:val="72"/>
        </w:trPr>
        <w:tc>
          <w:tcPr>
            <w:tcW w:w="0" w:type="auto"/>
            <w:tcBorders>
              <w:top w:val="single" w:sz="4" w:space="0" w:color="auto"/>
              <w:bottom w:val="single" w:sz="4" w:space="0" w:color="auto"/>
            </w:tcBorders>
            <w:vAlign w:val="center"/>
          </w:tcPr>
          <w:p w14:paraId="5005234B" w14:textId="77777777" w:rsidR="000A0DF2" w:rsidRPr="002E1DED" w:rsidRDefault="000A0DF2" w:rsidP="00A072CB">
            <w:pPr>
              <w:pStyle w:val="MDPI42tablebody"/>
              <w:rPr>
                <w:color w:val="000000" w:themeColor="text1"/>
              </w:rPr>
            </w:pPr>
            <w:r w:rsidRPr="002E1DED">
              <w:rPr>
                <w:color w:val="000000" w:themeColor="text1"/>
              </w:rPr>
              <w:t>C</w:t>
            </w:r>
            <w:r w:rsidRPr="002E1DED">
              <w:rPr>
                <w:color w:val="000000" w:themeColor="text1"/>
                <w:vertAlign w:val="subscript"/>
              </w:rPr>
              <w:t>70</w:t>
            </w:r>
          </w:p>
        </w:tc>
        <w:tc>
          <w:tcPr>
            <w:tcW w:w="0" w:type="auto"/>
            <w:tcBorders>
              <w:top w:val="single" w:sz="4" w:space="0" w:color="auto"/>
              <w:bottom w:val="single" w:sz="4" w:space="0" w:color="auto"/>
            </w:tcBorders>
          </w:tcPr>
          <w:p w14:paraId="7027E65C" w14:textId="77777777" w:rsidR="000A0DF2" w:rsidRPr="002E1DED" w:rsidRDefault="000A0DF2" w:rsidP="00A072CB">
            <w:pPr>
              <w:pStyle w:val="MDPI42tablebody"/>
              <w:rPr>
                <w:color w:val="000000" w:themeColor="text1"/>
              </w:rPr>
            </w:pPr>
            <w:r w:rsidRPr="002E1DED">
              <w:rPr>
                <w:color w:val="000000" w:themeColor="text1"/>
              </w:rPr>
              <w:t>450 nm</w:t>
            </w:r>
          </w:p>
        </w:tc>
        <w:tc>
          <w:tcPr>
            <w:tcW w:w="0" w:type="auto"/>
            <w:tcBorders>
              <w:top w:val="single" w:sz="4" w:space="0" w:color="auto"/>
              <w:bottom w:val="single" w:sz="4" w:space="0" w:color="auto"/>
            </w:tcBorders>
            <w:vAlign w:val="center"/>
          </w:tcPr>
          <w:p w14:paraId="45BD49C3" w14:textId="77777777" w:rsidR="000A0DF2" w:rsidRPr="002E1DED" w:rsidRDefault="000A0DF2" w:rsidP="00A072CB">
            <w:pPr>
              <w:pStyle w:val="MDPI42tablebody"/>
              <w:rPr>
                <w:color w:val="000000" w:themeColor="text1"/>
              </w:rPr>
            </w:pPr>
            <w:r w:rsidRPr="002E1DED">
              <w:rPr>
                <w:color w:val="000000" w:themeColor="text1"/>
              </w:rPr>
              <w:t>120 ± 10</w:t>
            </w:r>
          </w:p>
        </w:tc>
        <w:tc>
          <w:tcPr>
            <w:tcW w:w="0" w:type="auto"/>
            <w:tcBorders>
              <w:top w:val="single" w:sz="4" w:space="0" w:color="auto"/>
              <w:bottom w:val="single" w:sz="4" w:space="0" w:color="auto"/>
            </w:tcBorders>
            <w:vAlign w:val="center"/>
          </w:tcPr>
          <w:p w14:paraId="09C39EE0" w14:textId="77777777" w:rsidR="000A0DF2" w:rsidRPr="002E1DED" w:rsidRDefault="000A0DF2" w:rsidP="00A072CB">
            <w:pPr>
              <w:pStyle w:val="MDPI42tablebody"/>
              <w:rPr>
                <w:color w:val="000000" w:themeColor="text1"/>
              </w:rPr>
            </w:pPr>
            <w:r w:rsidRPr="002E1DED">
              <w:rPr>
                <w:color w:val="000000" w:themeColor="text1"/>
              </w:rPr>
              <w:t>7.55</w:t>
            </w:r>
          </w:p>
        </w:tc>
        <w:tc>
          <w:tcPr>
            <w:tcW w:w="0" w:type="auto"/>
            <w:tcBorders>
              <w:top w:val="single" w:sz="4" w:space="0" w:color="auto"/>
              <w:bottom w:val="single" w:sz="4" w:space="0" w:color="auto"/>
            </w:tcBorders>
            <w:vAlign w:val="center"/>
          </w:tcPr>
          <w:p w14:paraId="30B2B378" w14:textId="77777777" w:rsidR="000A0DF2" w:rsidRPr="002E1DED" w:rsidRDefault="000A0DF2" w:rsidP="00A072CB">
            <w:pPr>
              <w:pStyle w:val="MDPI42tablebody"/>
              <w:rPr>
                <w:color w:val="000000" w:themeColor="text1"/>
              </w:rPr>
            </w:pPr>
            <w:r w:rsidRPr="002E1DED">
              <w:rPr>
                <w:color w:val="000000" w:themeColor="text1"/>
              </w:rPr>
              <w:t>&lt;5</w:t>
            </w:r>
          </w:p>
        </w:tc>
        <w:tc>
          <w:tcPr>
            <w:tcW w:w="0" w:type="auto"/>
            <w:tcBorders>
              <w:top w:val="single" w:sz="4" w:space="0" w:color="auto"/>
              <w:bottom w:val="single" w:sz="4" w:space="0" w:color="auto"/>
            </w:tcBorders>
            <w:vAlign w:val="center"/>
          </w:tcPr>
          <w:p w14:paraId="529BCFFE" w14:textId="77777777" w:rsidR="000A0DF2" w:rsidRPr="002E1DED" w:rsidRDefault="000A0DF2" w:rsidP="00A072CB">
            <w:pPr>
              <w:pStyle w:val="MDPI42tablebody"/>
              <w:rPr>
                <w:color w:val="000000" w:themeColor="text1"/>
              </w:rPr>
            </w:pPr>
            <w:r w:rsidRPr="002E1DED">
              <w:rPr>
                <w:color w:val="000000" w:themeColor="text1"/>
              </w:rPr>
              <w:t>&lt;10</w:t>
            </w:r>
          </w:p>
        </w:tc>
        <w:tc>
          <w:tcPr>
            <w:tcW w:w="0" w:type="auto"/>
            <w:tcBorders>
              <w:top w:val="single" w:sz="4" w:space="0" w:color="auto"/>
              <w:bottom w:val="single" w:sz="4" w:space="0" w:color="auto"/>
            </w:tcBorders>
            <w:vAlign w:val="center"/>
          </w:tcPr>
          <w:p w14:paraId="3E873577" w14:textId="77777777" w:rsidR="000A0DF2" w:rsidRPr="002E1DED" w:rsidRDefault="000A0DF2" w:rsidP="00A072CB">
            <w:pPr>
              <w:pStyle w:val="MDPI42tablebody"/>
              <w:rPr>
                <w:color w:val="000000" w:themeColor="text1"/>
              </w:rPr>
            </w:pPr>
            <w:r w:rsidRPr="002E1DED">
              <w:rPr>
                <w:color w:val="000000" w:themeColor="text1"/>
              </w:rPr>
              <w:t>&lt;5</w:t>
            </w:r>
          </w:p>
        </w:tc>
        <w:tc>
          <w:tcPr>
            <w:tcW w:w="0" w:type="auto"/>
            <w:tcBorders>
              <w:top w:val="single" w:sz="4" w:space="0" w:color="auto"/>
              <w:bottom w:val="single" w:sz="4" w:space="0" w:color="auto"/>
            </w:tcBorders>
            <w:vAlign w:val="center"/>
          </w:tcPr>
          <w:p w14:paraId="641AE92D" w14:textId="77777777" w:rsidR="000A0DF2" w:rsidRPr="002E1DED" w:rsidRDefault="000A0DF2" w:rsidP="00A072CB">
            <w:pPr>
              <w:pStyle w:val="MDPI42tablebody"/>
              <w:rPr>
                <w:color w:val="000000" w:themeColor="text1"/>
              </w:rPr>
            </w:pPr>
            <w:r w:rsidRPr="002E1DED">
              <w:rPr>
                <w:color w:val="000000" w:themeColor="text1"/>
              </w:rPr>
              <w:t>90</w:t>
            </w:r>
          </w:p>
        </w:tc>
        <w:tc>
          <w:tcPr>
            <w:tcW w:w="0" w:type="auto"/>
            <w:tcBorders>
              <w:top w:val="single" w:sz="4" w:space="0" w:color="auto"/>
              <w:bottom w:val="single" w:sz="4" w:space="0" w:color="auto"/>
            </w:tcBorders>
            <w:vAlign w:val="center"/>
          </w:tcPr>
          <w:p w14:paraId="7770401B"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top w:val="single" w:sz="4" w:space="0" w:color="auto"/>
              <w:bottom w:val="single" w:sz="4" w:space="0" w:color="auto"/>
            </w:tcBorders>
            <w:vAlign w:val="center"/>
          </w:tcPr>
          <w:p w14:paraId="28584711" w14:textId="77777777" w:rsidR="000A0DF2" w:rsidRPr="002E1DED" w:rsidRDefault="000A0DF2" w:rsidP="00A072CB">
            <w:pPr>
              <w:pStyle w:val="MDPI42tablebody"/>
              <w:rPr>
                <w:color w:val="000000" w:themeColor="text1"/>
              </w:rPr>
            </w:pPr>
            <w:r w:rsidRPr="002E1DED">
              <w:rPr>
                <w:color w:val="000000" w:themeColor="text1"/>
              </w:rPr>
              <w:t>&lt;0.1</w:t>
            </w:r>
          </w:p>
        </w:tc>
        <w:tc>
          <w:tcPr>
            <w:tcW w:w="0" w:type="auto"/>
            <w:tcBorders>
              <w:top w:val="single" w:sz="4" w:space="0" w:color="auto"/>
              <w:bottom w:val="single" w:sz="4" w:space="0" w:color="auto"/>
            </w:tcBorders>
            <w:vAlign w:val="center"/>
          </w:tcPr>
          <w:p w14:paraId="5DAB295F" w14:textId="77777777" w:rsidR="000A0DF2" w:rsidRPr="002E1DED" w:rsidRDefault="000A0DF2" w:rsidP="00A072CB">
            <w:pPr>
              <w:pStyle w:val="MDPI42tablebody"/>
              <w:rPr>
                <w:color w:val="000000" w:themeColor="text1"/>
              </w:rPr>
            </w:pPr>
            <w:r w:rsidRPr="002E1DED">
              <w:rPr>
                <w:color w:val="000000" w:themeColor="text1"/>
              </w:rPr>
              <w:t>&lt;0.5</w:t>
            </w:r>
          </w:p>
        </w:tc>
        <w:tc>
          <w:tcPr>
            <w:tcW w:w="0" w:type="auto"/>
            <w:tcBorders>
              <w:top w:val="single" w:sz="4" w:space="0" w:color="auto"/>
              <w:bottom w:val="single" w:sz="4" w:space="0" w:color="auto"/>
            </w:tcBorders>
            <w:vAlign w:val="center"/>
          </w:tcPr>
          <w:p w14:paraId="0A5F0552"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top w:val="single" w:sz="4" w:space="0" w:color="auto"/>
              <w:bottom w:val="single" w:sz="4" w:space="0" w:color="auto"/>
            </w:tcBorders>
            <w:vAlign w:val="center"/>
          </w:tcPr>
          <w:p w14:paraId="7A5BCC2A"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top w:val="single" w:sz="4" w:space="0" w:color="auto"/>
              <w:bottom w:val="single" w:sz="4" w:space="0" w:color="auto"/>
            </w:tcBorders>
            <w:vAlign w:val="center"/>
          </w:tcPr>
          <w:p w14:paraId="2EB45BFF" w14:textId="77777777" w:rsidR="000A0DF2" w:rsidRPr="002E1DED" w:rsidRDefault="000A0DF2" w:rsidP="00A072CB">
            <w:pPr>
              <w:pStyle w:val="MDPI42tablebody"/>
              <w:rPr>
                <w:color w:val="000000" w:themeColor="text1"/>
              </w:rPr>
            </w:pPr>
            <w:r w:rsidRPr="002E1DED">
              <w:rPr>
                <w:color w:val="000000" w:themeColor="text1"/>
              </w:rPr>
              <w:t>5</w:t>
            </w:r>
          </w:p>
        </w:tc>
        <w:tc>
          <w:tcPr>
            <w:tcW w:w="0" w:type="auto"/>
            <w:tcBorders>
              <w:top w:val="single" w:sz="4" w:space="0" w:color="auto"/>
              <w:bottom w:val="single" w:sz="4" w:space="0" w:color="auto"/>
            </w:tcBorders>
            <w:vAlign w:val="center"/>
          </w:tcPr>
          <w:p w14:paraId="583A1F79" w14:textId="77777777" w:rsidR="000A0DF2" w:rsidRPr="002E1DED" w:rsidRDefault="000A0DF2" w:rsidP="00A072CB">
            <w:pPr>
              <w:pStyle w:val="MDPI42tablebody"/>
              <w:rPr>
                <w:color w:val="000000" w:themeColor="text1"/>
              </w:rPr>
            </w:pPr>
            <w:r w:rsidRPr="002E1DED">
              <w:rPr>
                <w:color w:val="000000" w:themeColor="text1"/>
              </w:rPr>
              <w:t>5</w:t>
            </w:r>
          </w:p>
        </w:tc>
        <w:tc>
          <w:tcPr>
            <w:tcW w:w="0" w:type="auto"/>
            <w:tcBorders>
              <w:top w:val="single" w:sz="4" w:space="0" w:color="auto"/>
              <w:bottom w:val="single" w:sz="4" w:space="0" w:color="auto"/>
            </w:tcBorders>
            <w:vAlign w:val="center"/>
          </w:tcPr>
          <w:p w14:paraId="48D65CFE" w14:textId="77777777" w:rsidR="000A0DF2" w:rsidRPr="002E1DED" w:rsidRDefault="000A0DF2" w:rsidP="00A072CB">
            <w:pPr>
              <w:pStyle w:val="MDPI42tablebody"/>
              <w:rPr>
                <w:color w:val="000000" w:themeColor="text1"/>
              </w:rPr>
            </w:pPr>
            <w:r w:rsidRPr="002E1DED">
              <w:rPr>
                <w:color w:val="000000" w:themeColor="text1"/>
              </w:rPr>
              <w:t>2</w:t>
            </w:r>
          </w:p>
        </w:tc>
        <w:tc>
          <w:tcPr>
            <w:tcW w:w="0" w:type="auto"/>
            <w:tcBorders>
              <w:top w:val="single" w:sz="4" w:space="0" w:color="auto"/>
              <w:bottom w:val="single" w:sz="4" w:space="0" w:color="auto"/>
            </w:tcBorders>
            <w:vAlign w:val="center"/>
          </w:tcPr>
          <w:p w14:paraId="62BA55A9" w14:textId="77777777" w:rsidR="000A0DF2" w:rsidRPr="002E1DED" w:rsidRDefault="000A0DF2" w:rsidP="00A072CB">
            <w:pPr>
              <w:pStyle w:val="MDPI42tablebody"/>
              <w:rPr>
                <w:color w:val="000000" w:themeColor="text1"/>
              </w:rPr>
            </w:pPr>
            <w:r w:rsidRPr="002E1DED">
              <w:rPr>
                <w:color w:val="000000" w:themeColor="text1"/>
              </w:rPr>
              <w:t>2</w:t>
            </w:r>
          </w:p>
        </w:tc>
        <w:tc>
          <w:tcPr>
            <w:tcW w:w="0" w:type="auto"/>
            <w:tcBorders>
              <w:top w:val="single" w:sz="4" w:space="0" w:color="auto"/>
              <w:bottom w:val="single" w:sz="4" w:space="0" w:color="auto"/>
            </w:tcBorders>
            <w:vAlign w:val="center"/>
          </w:tcPr>
          <w:p w14:paraId="217528FC" w14:textId="77777777" w:rsidR="000A0DF2" w:rsidRPr="002E1DED" w:rsidRDefault="000A0DF2" w:rsidP="00A072CB">
            <w:pPr>
              <w:pStyle w:val="MDPI42tablebody"/>
              <w:rPr>
                <w:color w:val="000000" w:themeColor="text1"/>
              </w:rPr>
            </w:pPr>
            <w:r w:rsidRPr="002E1DED">
              <w:rPr>
                <w:color w:val="000000" w:themeColor="text1"/>
              </w:rPr>
              <w:t>&lt;5</w:t>
            </w:r>
          </w:p>
        </w:tc>
        <w:tc>
          <w:tcPr>
            <w:tcW w:w="0" w:type="auto"/>
            <w:tcBorders>
              <w:top w:val="single" w:sz="4" w:space="0" w:color="auto"/>
              <w:bottom w:val="single" w:sz="4" w:space="0" w:color="auto"/>
            </w:tcBorders>
          </w:tcPr>
          <w:p w14:paraId="26B2174D"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top w:val="single" w:sz="4" w:space="0" w:color="auto"/>
              <w:bottom w:val="single" w:sz="4" w:space="0" w:color="auto"/>
            </w:tcBorders>
            <w:vAlign w:val="center"/>
          </w:tcPr>
          <w:p w14:paraId="1934B0F4"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top w:val="single" w:sz="4" w:space="0" w:color="auto"/>
              <w:bottom w:val="single" w:sz="4" w:space="0" w:color="auto"/>
            </w:tcBorders>
          </w:tcPr>
          <w:p w14:paraId="15753B2A" w14:textId="77777777" w:rsidR="000A0DF2" w:rsidRPr="002E1DED" w:rsidRDefault="000A0DF2" w:rsidP="00A072CB">
            <w:pPr>
              <w:pStyle w:val="MDPI42tablebody"/>
              <w:rPr>
                <w:color w:val="000000" w:themeColor="text1"/>
              </w:rPr>
            </w:pPr>
            <w:r w:rsidRPr="002E1DED">
              <w:rPr>
                <w:color w:val="000000" w:themeColor="text1"/>
              </w:rPr>
              <w:t>1520</w:t>
            </w:r>
          </w:p>
        </w:tc>
        <w:tc>
          <w:tcPr>
            <w:tcW w:w="0" w:type="auto"/>
            <w:tcBorders>
              <w:top w:val="single" w:sz="4" w:space="0" w:color="auto"/>
              <w:bottom w:val="single" w:sz="4" w:space="0" w:color="auto"/>
            </w:tcBorders>
          </w:tcPr>
          <w:p w14:paraId="4D6B686A"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top w:val="single" w:sz="4" w:space="0" w:color="auto"/>
              <w:bottom w:val="single" w:sz="4" w:space="0" w:color="auto"/>
            </w:tcBorders>
          </w:tcPr>
          <w:p w14:paraId="2C918027"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top w:val="single" w:sz="4" w:space="0" w:color="auto"/>
              <w:bottom w:val="single" w:sz="4" w:space="0" w:color="auto"/>
            </w:tcBorders>
          </w:tcPr>
          <w:p w14:paraId="64EE233F" w14:textId="77777777" w:rsidR="000A0DF2" w:rsidRPr="002E1DED" w:rsidRDefault="000A0DF2" w:rsidP="00A072CB">
            <w:pPr>
              <w:pStyle w:val="MDPI42tablebody"/>
              <w:rPr>
                <w:color w:val="000000" w:themeColor="text1"/>
              </w:rPr>
            </w:pPr>
            <w:r w:rsidRPr="002E1DED">
              <w:rPr>
                <w:color w:val="000000" w:themeColor="text1"/>
              </w:rPr>
              <w:t>&lt;2</w:t>
            </w:r>
          </w:p>
        </w:tc>
      </w:tr>
      <w:tr w:rsidR="002E1DED" w:rsidRPr="002E1DED" w14:paraId="3EC25ADB" w14:textId="77777777" w:rsidTr="00C873D8">
        <w:trPr>
          <w:trHeight w:val="72"/>
        </w:trPr>
        <w:tc>
          <w:tcPr>
            <w:tcW w:w="0" w:type="auto"/>
            <w:tcBorders>
              <w:top w:val="single" w:sz="4" w:space="0" w:color="auto"/>
            </w:tcBorders>
            <w:vAlign w:val="center"/>
          </w:tcPr>
          <w:p w14:paraId="6D13CDFB" w14:textId="77777777" w:rsidR="000A0DF2" w:rsidRPr="002E1DED" w:rsidRDefault="000A0DF2" w:rsidP="00A072CB">
            <w:pPr>
              <w:pStyle w:val="MDPI42tablebody"/>
              <w:rPr>
                <w:color w:val="000000" w:themeColor="text1"/>
              </w:rPr>
            </w:pPr>
            <w:r w:rsidRPr="002E1DED">
              <w:rPr>
                <w:color w:val="000000" w:themeColor="text1"/>
              </w:rPr>
              <w:t>Gd@C</w:t>
            </w:r>
            <w:r w:rsidRPr="002E1DED">
              <w:rPr>
                <w:color w:val="000000" w:themeColor="text1"/>
                <w:vertAlign w:val="subscript"/>
              </w:rPr>
              <w:t>82</w:t>
            </w:r>
          </w:p>
        </w:tc>
        <w:tc>
          <w:tcPr>
            <w:tcW w:w="0" w:type="auto"/>
            <w:tcBorders>
              <w:top w:val="single" w:sz="4" w:space="0" w:color="auto"/>
            </w:tcBorders>
          </w:tcPr>
          <w:p w14:paraId="2BD20DB2" w14:textId="77777777" w:rsidR="000A0DF2" w:rsidRPr="002E1DED" w:rsidRDefault="000A0DF2" w:rsidP="00A072CB">
            <w:pPr>
              <w:pStyle w:val="MDPI42tablebody"/>
              <w:rPr>
                <w:color w:val="000000" w:themeColor="text1"/>
              </w:rPr>
            </w:pPr>
            <w:r w:rsidRPr="002E1DED">
              <w:rPr>
                <w:color w:val="000000" w:themeColor="text1"/>
              </w:rPr>
              <w:t>450 nm</w:t>
            </w:r>
          </w:p>
        </w:tc>
        <w:tc>
          <w:tcPr>
            <w:tcW w:w="0" w:type="auto"/>
            <w:tcBorders>
              <w:top w:val="single" w:sz="4" w:space="0" w:color="auto"/>
            </w:tcBorders>
            <w:vAlign w:val="center"/>
          </w:tcPr>
          <w:p w14:paraId="346434B7" w14:textId="77777777" w:rsidR="000A0DF2" w:rsidRPr="002E1DED" w:rsidRDefault="000A0DF2" w:rsidP="00A072CB">
            <w:pPr>
              <w:pStyle w:val="MDPI42tablebody"/>
              <w:rPr>
                <w:color w:val="000000" w:themeColor="text1"/>
              </w:rPr>
            </w:pPr>
            <w:r w:rsidRPr="002E1DED">
              <w:rPr>
                <w:color w:val="000000" w:themeColor="text1"/>
              </w:rPr>
              <w:t>20 ± 4</w:t>
            </w:r>
          </w:p>
        </w:tc>
        <w:tc>
          <w:tcPr>
            <w:tcW w:w="0" w:type="auto"/>
            <w:tcBorders>
              <w:top w:val="single" w:sz="4" w:space="0" w:color="auto"/>
            </w:tcBorders>
            <w:vAlign w:val="center"/>
          </w:tcPr>
          <w:p w14:paraId="03471C29" w14:textId="77777777" w:rsidR="000A0DF2" w:rsidRPr="002E1DED" w:rsidRDefault="000A0DF2" w:rsidP="00A072CB">
            <w:pPr>
              <w:pStyle w:val="MDPI42tablebody"/>
              <w:rPr>
                <w:color w:val="000000" w:themeColor="text1"/>
              </w:rPr>
            </w:pPr>
            <w:r w:rsidRPr="002E1DED">
              <w:rPr>
                <w:color w:val="000000" w:themeColor="text1"/>
              </w:rPr>
              <w:t>7.74</w:t>
            </w:r>
            <w:r w:rsidRPr="002E1DED">
              <w:rPr>
                <w:color w:val="000000" w:themeColor="text1"/>
                <w:vertAlign w:val="superscript"/>
              </w:rPr>
              <w:t>**</w:t>
            </w:r>
          </w:p>
        </w:tc>
        <w:tc>
          <w:tcPr>
            <w:tcW w:w="0" w:type="auto"/>
            <w:tcBorders>
              <w:top w:val="single" w:sz="4" w:space="0" w:color="auto"/>
            </w:tcBorders>
            <w:vAlign w:val="center"/>
          </w:tcPr>
          <w:p w14:paraId="5A1015E7" w14:textId="77777777" w:rsidR="000A0DF2" w:rsidRPr="002E1DED" w:rsidRDefault="000A0DF2" w:rsidP="00A072CB">
            <w:pPr>
              <w:pStyle w:val="MDPI42tablebody"/>
              <w:rPr>
                <w:color w:val="000000" w:themeColor="text1"/>
              </w:rPr>
            </w:pPr>
            <w:r w:rsidRPr="002E1DED">
              <w:rPr>
                <w:color w:val="000000" w:themeColor="text1"/>
              </w:rPr>
              <w:t>&lt;5</w:t>
            </w:r>
          </w:p>
        </w:tc>
        <w:tc>
          <w:tcPr>
            <w:tcW w:w="0" w:type="auto"/>
            <w:tcBorders>
              <w:top w:val="single" w:sz="4" w:space="0" w:color="auto"/>
            </w:tcBorders>
            <w:vAlign w:val="center"/>
          </w:tcPr>
          <w:p w14:paraId="362523ED" w14:textId="77777777" w:rsidR="000A0DF2" w:rsidRPr="002E1DED" w:rsidRDefault="000A0DF2" w:rsidP="00A072CB">
            <w:pPr>
              <w:pStyle w:val="MDPI42tablebody"/>
              <w:rPr>
                <w:color w:val="000000" w:themeColor="text1"/>
              </w:rPr>
            </w:pPr>
            <w:r w:rsidRPr="002E1DED">
              <w:rPr>
                <w:color w:val="000000" w:themeColor="text1"/>
              </w:rPr>
              <w:t>&lt;10</w:t>
            </w:r>
          </w:p>
        </w:tc>
        <w:tc>
          <w:tcPr>
            <w:tcW w:w="0" w:type="auto"/>
            <w:tcBorders>
              <w:top w:val="single" w:sz="4" w:space="0" w:color="auto"/>
            </w:tcBorders>
            <w:vAlign w:val="center"/>
          </w:tcPr>
          <w:p w14:paraId="49DFFFE2" w14:textId="77777777" w:rsidR="000A0DF2" w:rsidRPr="002E1DED" w:rsidRDefault="000A0DF2" w:rsidP="00A072CB">
            <w:pPr>
              <w:pStyle w:val="MDPI42tablebody"/>
              <w:rPr>
                <w:color w:val="000000" w:themeColor="text1"/>
              </w:rPr>
            </w:pPr>
            <w:r w:rsidRPr="002E1DED">
              <w:rPr>
                <w:color w:val="000000" w:themeColor="text1"/>
              </w:rPr>
              <w:t>&lt;5</w:t>
            </w:r>
          </w:p>
        </w:tc>
        <w:tc>
          <w:tcPr>
            <w:tcW w:w="0" w:type="auto"/>
            <w:tcBorders>
              <w:top w:val="single" w:sz="4" w:space="0" w:color="auto"/>
            </w:tcBorders>
            <w:vAlign w:val="center"/>
          </w:tcPr>
          <w:p w14:paraId="31685133" w14:textId="77777777" w:rsidR="000A0DF2" w:rsidRPr="002E1DED" w:rsidRDefault="000A0DF2" w:rsidP="00A072CB">
            <w:pPr>
              <w:pStyle w:val="MDPI42tablebody"/>
              <w:rPr>
                <w:color w:val="000000" w:themeColor="text1"/>
              </w:rPr>
            </w:pPr>
            <w:r w:rsidRPr="002E1DED">
              <w:rPr>
                <w:color w:val="000000" w:themeColor="text1"/>
              </w:rPr>
              <w:t>12</w:t>
            </w:r>
          </w:p>
        </w:tc>
        <w:tc>
          <w:tcPr>
            <w:tcW w:w="0" w:type="auto"/>
            <w:tcBorders>
              <w:top w:val="single" w:sz="4" w:space="0" w:color="auto"/>
            </w:tcBorders>
            <w:vAlign w:val="center"/>
          </w:tcPr>
          <w:p w14:paraId="09FFF20A"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top w:val="single" w:sz="4" w:space="0" w:color="auto"/>
            </w:tcBorders>
            <w:vAlign w:val="center"/>
          </w:tcPr>
          <w:p w14:paraId="3AF51B50" w14:textId="77777777" w:rsidR="000A0DF2" w:rsidRPr="002E1DED" w:rsidRDefault="000A0DF2" w:rsidP="00A072CB">
            <w:pPr>
              <w:pStyle w:val="MDPI42tablebody"/>
              <w:rPr>
                <w:color w:val="000000" w:themeColor="text1"/>
              </w:rPr>
            </w:pPr>
            <w:r w:rsidRPr="002E1DED">
              <w:rPr>
                <w:color w:val="000000" w:themeColor="text1"/>
              </w:rPr>
              <w:t>&lt;0.1</w:t>
            </w:r>
          </w:p>
        </w:tc>
        <w:tc>
          <w:tcPr>
            <w:tcW w:w="0" w:type="auto"/>
            <w:tcBorders>
              <w:top w:val="single" w:sz="4" w:space="0" w:color="auto"/>
            </w:tcBorders>
            <w:vAlign w:val="center"/>
          </w:tcPr>
          <w:p w14:paraId="68258FF2" w14:textId="77777777" w:rsidR="000A0DF2" w:rsidRPr="002E1DED" w:rsidRDefault="000A0DF2" w:rsidP="00A072CB">
            <w:pPr>
              <w:pStyle w:val="MDPI42tablebody"/>
              <w:rPr>
                <w:color w:val="000000" w:themeColor="text1"/>
              </w:rPr>
            </w:pPr>
            <w:r w:rsidRPr="002E1DED">
              <w:rPr>
                <w:color w:val="000000" w:themeColor="text1"/>
              </w:rPr>
              <w:t>&lt;0.5</w:t>
            </w:r>
          </w:p>
        </w:tc>
        <w:tc>
          <w:tcPr>
            <w:tcW w:w="0" w:type="auto"/>
            <w:tcBorders>
              <w:top w:val="single" w:sz="4" w:space="0" w:color="auto"/>
            </w:tcBorders>
            <w:vAlign w:val="center"/>
          </w:tcPr>
          <w:p w14:paraId="0410267C"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top w:val="single" w:sz="4" w:space="0" w:color="auto"/>
            </w:tcBorders>
            <w:vAlign w:val="center"/>
          </w:tcPr>
          <w:p w14:paraId="7AA12847"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top w:val="single" w:sz="4" w:space="0" w:color="auto"/>
            </w:tcBorders>
            <w:vAlign w:val="center"/>
          </w:tcPr>
          <w:p w14:paraId="139325B4" w14:textId="77777777" w:rsidR="000A0DF2" w:rsidRPr="002E1DED" w:rsidRDefault="000A0DF2" w:rsidP="00A072CB">
            <w:pPr>
              <w:pStyle w:val="MDPI42tablebody"/>
              <w:rPr>
                <w:color w:val="000000" w:themeColor="text1"/>
              </w:rPr>
            </w:pPr>
            <w:r w:rsidRPr="002E1DED">
              <w:rPr>
                <w:color w:val="000000" w:themeColor="text1"/>
              </w:rPr>
              <w:t>2</w:t>
            </w:r>
          </w:p>
        </w:tc>
        <w:tc>
          <w:tcPr>
            <w:tcW w:w="0" w:type="auto"/>
            <w:tcBorders>
              <w:top w:val="single" w:sz="4" w:space="0" w:color="auto"/>
            </w:tcBorders>
            <w:vAlign w:val="center"/>
          </w:tcPr>
          <w:p w14:paraId="0F1A3240" w14:textId="77777777" w:rsidR="000A0DF2" w:rsidRPr="002E1DED" w:rsidRDefault="000A0DF2" w:rsidP="00A072CB">
            <w:pPr>
              <w:pStyle w:val="MDPI42tablebody"/>
              <w:rPr>
                <w:color w:val="000000" w:themeColor="text1"/>
              </w:rPr>
            </w:pPr>
            <w:r w:rsidRPr="002E1DED">
              <w:rPr>
                <w:color w:val="000000" w:themeColor="text1"/>
              </w:rPr>
              <w:t>8</w:t>
            </w:r>
          </w:p>
        </w:tc>
        <w:tc>
          <w:tcPr>
            <w:tcW w:w="0" w:type="auto"/>
            <w:tcBorders>
              <w:top w:val="single" w:sz="4" w:space="0" w:color="auto"/>
            </w:tcBorders>
            <w:vAlign w:val="center"/>
          </w:tcPr>
          <w:p w14:paraId="7B067C24" w14:textId="77777777" w:rsidR="000A0DF2" w:rsidRPr="002E1DED" w:rsidRDefault="000A0DF2" w:rsidP="00A072CB">
            <w:pPr>
              <w:pStyle w:val="MDPI42tablebody"/>
              <w:rPr>
                <w:color w:val="000000" w:themeColor="text1"/>
              </w:rPr>
            </w:pPr>
            <w:r w:rsidRPr="002E1DED">
              <w:rPr>
                <w:color w:val="000000" w:themeColor="text1"/>
              </w:rPr>
              <w:t>2</w:t>
            </w:r>
          </w:p>
        </w:tc>
        <w:tc>
          <w:tcPr>
            <w:tcW w:w="0" w:type="auto"/>
            <w:tcBorders>
              <w:top w:val="single" w:sz="4" w:space="0" w:color="auto"/>
            </w:tcBorders>
            <w:vAlign w:val="center"/>
          </w:tcPr>
          <w:p w14:paraId="42D56870" w14:textId="77777777" w:rsidR="000A0DF2" w:rsidRPr="002E1DED" w:rsidRDefault="000A0DF2" w:rsidP="00A072CB">
            <w:pPr>
              <w:pStyle w:val="MDPI42tablebody"/>
              <w:rPr>
                <w:color w:val="000000" w:themeColor="text1"/>
              </w:rPr>
            </w:pPr>
            <w:r w:rsidRPr="002E1DED">
              <w:rPr>
                <w:color w:val="000000" w:themeColor="text1"/>
              </w:rPr>
              <w:t>2</w:t>
            </w:r>
          </w:p>
        </w:tc>
        <w:tc>
          <w:tcPr>
            <w:tcW w:w="0" w:type="auto"/>
            <w:tcBorders>
              <w:top w:val="single" w:sz="4" w:space="0" w:color="auto"/>
            </w:tcBorders>
            <w:vAlign w:val="center"/>
          </w:tcPr>
          <w:p w14:paraId="1014782B" w14:textId="77777777" w:rsidR="000A0DF2" w:rsidRPr="002E1DED" w:rsidRDefault="000A0DF2" w:rsidP="00A072CB">
            <w:pPr>
              <w:pStyle w:val="MDPI42tablebody"/>
              <w:rPr>
                <w:color w:val="000000" w:themeColor="text1"/>
              </w:rPr>
            </w:pPr>
            <w:r w:rsidRPr="002E1DED">
              <w:rPr>
                <w:color w:val="000000" w:themeColor="text1"/>
              </w:rPr>
              <w:t>&lt;5</w:t>
            </w:r>
          </w:p>
        </w:tc>
        <w:tc>
          <w:tcPr>
            <w:tcW w:w="0" w:type="auto"/>
            <w:tcBorders>
              <w:top w:val="single" w:sz="4" w:space="0" w:color="auto"/>
            </w:tcBorders>
          </w:tcPr>
          <w:p w14:paraId="7C52B72D"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top w:val="single" w:sz="4" w:space="0" w:color="auto"/>
            </w:tcBorders>
            <w:vAlign w:val="center"/>
          </w:tcPr>
          <w:p w14:paraId="0C4A23F9"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top w:val="single" w:sz="4" w:space="0" w:color="auto"/>
            </w:tcBorders>
          </w:tcPr>
          <w:p w14:paraId="1352CD38" w14:textId="77777777" w:rsidR="000A0DF2" w:rsidRPr="002E1DED" w:rsidRDefault="000A0DF2" w:rsidP="00A072CB">
            <w:pPr>
              <w:pStyle w:val="MDPI42tablebody"/>
              <w:rPr>
                <w:color w:val="000000" w:themeColor="text1"/>
              </w:rPr>
            </w:pPr>
            <w:r w:rsidRPr="002E1DED">
              <w:rPr>
                <w:color w:val="000000" w:themeColor="text1"/>
              </w:rPr>
              <w:t>1450</w:t>
            </w:r>
          </w:p>
        </w:tc>
        <w:tc>
          <w:tcPr>
            <w:tcW w:w="0" w:type="auto"/>
            <w:tcBorders>
              <w:top w:val="single" w:sz="4" w:space="0" w:color="auto"/>
            </w:tcBorders>
          </w:tcPr>
          <w:p w14:paraId="6A9794F0"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top w:val="single" w:sz="4" w:space="0" w:color="auto"/>
            </w:tcBorders>
          </w:tcPr>
          <w:p w14:paraId="5439B2D9" w14:textId="77777777" w:rsidR="000A0DF2" w:rsidRPr="002E1DED" w:rsidRDefault="000A0DF2" w:rsidP="00A072CB">
            <w:pPr>
              <w:pStyle w:val="MDPI42tablebody"/>
              <w:rPr>
                <w:color w:val="000000" w:themeColor="text1"/>
              </w:rPr>
            </w:pPr>
            <w:r w:rsidRPr="002E1DED">
              <w:rPr>
                <w:color w:val="000000" w:themeColor="text1"/>
              </w:rPr>
              <w:t>&lt;1</w:t>
            </w:r>
          </w:p>
        </w:tc>
        <w:tc>
          <w:tcPr>
            <w:tcW w:w="0" w:type="auto"/>
            <w:tcBorders>
              <w:top w:val="single" w:sz="4" w:space="0" w:color="auto"/>
            </w:tcBorders>
          </w:tcPr>
          <w:p w14:paraId="448F0BBE" w14:textId="77777777" w:rsidR="000A0DF2" w:rsidRPr="002E1DED" w:rsidRDefault="000A0DF2" w:rsidP="00A072CB">
            <w:pPr>
              <w:pStyle w:val="MDPI42tablebody"/>
              <w:rPr>
                <w:color w:val="000000" w:themeColor="text1"/>
              </w:rPr>
            </w:pPr>
            <w:r w:rsidRPr="002E1DED">
              <w:rPr>
                <w:color w:val="000000" w:themeColor="text1"/>
              </w:rPr>
              <w:t>&lt;2</w:t>
            </w:r>
          </w:p>
        </w:tc>
      </w:tr>
    </w:tbl>
    <w:p w14:paraId="41244D70" w14:textId="77777777" w:rsidR="000A0DF2" w:rsidRPr="002E1DED" w:rsidRDefault="000A0DF2" w:rsidP="000A0DF2">
      <w:pPr>
        <w:pStyle w:val="MDPI43tablefooter"/>
        <w:rPr>
          <w:color w:val="000000" w:themeColor="text1"/>
        </w:rPr>
      </w:pPr>
      <w:bookmarkStart w:id="7" w:name="_Hlk68361888"/>
      <w:r w:rsidRPr="002E1DED">
        <w:rPr>
          <w:color w:val="000000" w:themeColor="text1"/>
        </w:rPr>
        <w:t xml:space="preserve">*, uncertainty was ± 0.10 pH </w:t>
      </w:r>
      <w:proofErr w:type="gramStart"/>
      <w:r w:rsidRPr="002E1DED">
        <w:rPr>
          <w:color w:val="000000" w:themeColor="text1"/>
        </w:rPr>
        <w:t>units;</w:t>
      </w:r>
      <w:proofErr w:type="gramEnd"/>
    </w:p>
    <w:p w14:paraId="28BB9F46" w14:textId="77777777" w:rsidR="000A0DF2" w:rsidRPr="002E1DED" w:rsidRDefault="000A0DF2" w:rsidP="000A0DF2">
      <w:pPr>
        <w:pStyle w:val="MDPI43tablefooter"/>
        <w:rPr>
          <w:color w:val="000000" w:themeColor="text1"/>
        </w:rPr>
      </w:pPr>
      <w:r w:rsidRPr="002E1DED">
        <w:rPr>
          <w:color w:val="000000" w:themeColor="text1"/>
        </w:rPr>
        <w:t>**, pH of pristine AFD Gd@C</w:t>
      </w:r>
      <w:r w:rsidRPr="002E1DED">
        <w:rPr>
          <w:color w:val="000000" w:themeColor="text1"/>
          <w:vertAlign w:val="subscript"/>
        </w:rPr>
        <w:t>82</w:t>
      </w:r>
      <w:r w:rsidRPr="002E1DED">
        <w:rPr>
          <w:color w:val="000000" w:themeColor="text1"/>
        </w:rPr>
        <w:t xml:space="preserve"> was 7.89.</w:t>
      </w:r>
    </w:p>
    <w:bookmarkEnd w:id="7"/>
    <w:p w14:paraId="474E6B4A" w14:textId="77777777" w:rsidR="000A0DF2" w:rsidRPr="002E1DED" w:rsidRDefault="000A0DF2" w:rsidP="00C873D8">
      <w:pPr>
        <w:pStyle w:val="MDPI31text"/>
        <w:rPr>
          <w:color w:val="000000" w:themeColor="text1"/>
        </w:rPr>
      </w:pPr>
    </w:p>
    <w:p w14:paraId="010164BC" w14:textId="77777777" w:rsidR="00C873D8" w:rsidRPr="002E1DED" w:rsidRDefault="00C873D8">
      <w:pPr>
        <w:spacing w:line="259" w:lineRule="auto"/>
        <w:rPr>
          <w:rFonts w:ascii="Palatino Linotype" w:eastAsiaTheme="majorEastAsia" w:hAnsi="Palatino Linotype" w:cs="Times New Roman"/>
          <w:color w:val="000000" w:themeColor="text1"/>
          <w:szCs w:val="28"/>
          <w:lang w:val="en-US"/>
        </w:rPr>
        <w:sectPr w:rsidR="00C873D8" w:rsidRPr="002E1DED" w:rsidSect="00C873D8">
          <w:pgSz w:w="16838" w:h="11906" w:orient="landscape"/>
          <w:pgMar w:top="1701" w:right="1134" w:bottom="567" w:left="1134" w:header="709" w:footer="709" w:gutter="0"/>
          <w:cols w:space="708"/>
          <w:docGrid w:linePitch="381"/>
        </w:sectPr>
      </w:pPr>
    </w:p>
    <w:p w14:paraId="166F01FC" w14:textId="34119E16" w:rsidR="0099026D" w:rsidRPr="002E1DED" w:rsidRDefault="0099026D" w:rsidP="00C873D8">
      <w:pPr>
        <w:pStyle w:val="Heading1"/>
        <w:rPr>
          <w:rFonts w:ascii="Palatino Linotype" w:hAnsi="Palatino Linotype"/>
          <w:color w:val="000000" w:themeColor="text1"/>
          <w:lang w:val="en-US"/>
        </w:rPr>
      </w:pPr>
      <w:bookmarkStart w:id="8" w:name="_Toc72677637"/>
      <w:r w:rsidRPr="002E1DED">
        <w:rPr>
          <w:rFonts w:ascii="Palatino Linotype" w:hAnsi="Palatino Linotype"/>
          <w:color w:val="000000" w:themeColor="text1"/>
          <w:lang w:val="en-US"/>
        </w:rPr>
        <w:lastRenderedPageBreak/>
        <w:t>Quenching fullerene ability in aqueous media</w:t>
      </w:r>
      <w:bookmarkEnd w:id="8"/>
    </w:p>
    <w:p w14:paraId="5D087F9C" w14:textId="1DED8E4B" w:rsidR="00424906" w:rsidRDefault="00151B0A" w:rsidP="00C873D8">
      <w:pPr>
        <w:pStyle w:val="Heading2"/>
        <w:rPr>
          <w:rFonts w:ascii="Palatino Linotype" w:hAnsi="Palatino Linotype"/>
          <w:color w:val="000000" w:themeColor="text1"/>
          <w:lang w:val="en-US"/>
        </w:rPr>
      </w:pPr>
      <w:bookmarkStart w:id="9" w:name="_Toc72677638"/>
      <w:r w:rsidRPr="002E1DED">
        <w:rPr>
          <w:rFonts w:ascii="Palatino Linotype" w:hAnsi="Palatino Linotype"/>
          <w:color w:val="000000" w:themeColor="text1"/>
          <w:lang w:val="en-US"/>
        </w:rPr>
        <w:t xml:space="preserve">Quenching of </w:t>
      </w:r>
      <w:r w:rsidR="00424906" w:rsidRPr="002E1DED">
        <w:rPr>
          <w:rFonts w:ascii="Palatino Linotype" w:hAnsi="Palatino Linotype"/>
          <w:color w:val="000000" w:themeColor="text1"/>
          <w:lang w:val="en-US"/>
        </w:rPr>
        <w:t>ABAP-Luminol system</w:t>
      </w:r>
      <w:r w:rsidRPr="002E1DED">
        <w:rPr>
          <w:rFonts w:ascii="Palatino Linotype" w:hAnsi="Palatino Linotype"/>
          <w:color w:val="000000" w:themeColor="text1"/>
          <w:lang w:val="en-US"/>
        </w:rPr>
        <w:t xml:space="preserve"> in</w:t>
      </w:r>
      <w:r w:rsidR="0007272A" w:rsidRPr="002E1DED">
        <w:rPr>
          <w:rFonts w:ascii="Palatino Linotype" w:hAnsi="Palatino Linotype"/>
          <w:color w:val="000000" w:themeColor="text1"/>
          <w:lang w:val="en-US"/>
        </w:rPr>
        <w:t xml:space="preserve"> the</w:t>
      </w:r>
      <w:r w:rsidRPr="002E1DED">
        <w:rPr>
          <w:rFonts w:ascii="Palatino Linotype" w:hAnsi="Palatino Linotype"/>
          <w:color w:val="000000" w:themeColor="text1"/>
          <w:lang w:val="en-US"/>
        </w:rPr>
        <w:t xml:space="preserve"> presence </w:t>
      </w:r>
      <w:r w:rsidR="0007272A" w:rsidRPr="002E1DED">
        <w:rPr>
          <w:rFonts w:ascii="Palatino Linotype" w:hAnsi="Palatino Linotype"/>
          <w:color w:val="000000" w:themeColor="text1"/>
          <w:lang w:val="en-US"/>
        </w:rPr>
        <w:t xml:space="preserve">of </w:t>
      </w:r>
      <w:r w:rsidRPr="002E1DED">
        <w:rPr>
          <w:rFonts w:ascii="Palatino Linotype" w:hAnsi="Palatino Linotype"/>
          <w:color w:val="000000" w:themeColor="text1"/>
          <w:lang w:val="en-US"/>
        </w:rPr>
        <w:t>fullerene</w:t>
      </w:r>
      <w:bookmarkEnd w:id="9"/>
      <w:r w:rsidRPr="002E1DED">
        <w:rPr>
          <w:rFonts w:ascii="Palatino Linotype" w:hAnsi="Palatino Linotype"/>
          <w:color w:val="000000" w:themeColor="text1"/>
          <w:lang w:val="en-US"/>
        </w:rPr>
        <w:t xml:space="preserve"> </w:t>
      </w:r>
    </w:p>
    <w:p w14:paraId="3D789A6E" w14:textId="77777777" w:rsidR="002E1DED" w:rsidRPr="002E1DED" w:rsidRDefault="002E1DED" w:rsidP="002E1DED">
      <w:pPr>
        <w:rPr>
          <w:lang w:val="en-US"/>
        </w:rPr>
      </w:pPr>
    </w:p>
    <w:p w14:paraId="6040B997" w14:textId="5304ECD9" w:rsidR="00E3697E" w:rsidRPr="002E1DED" w:rsidRDefault="00E3697E" w:rsidP="00C873D8">
      <w:pPr>
        <w:pStyle w:val="MDPI31text"/>
        <w:rPr>
          <w:color w:val="000000" w:themeColor="text1"/>
        </w:rPr>
      </w:pPr>
      <w:r w:rsidRPr="002E1DED">
        <w:rPr>
          <w:color w:val="000000" w:themeColor="text1"/>
        </w:rPr>
        <w:t xml:space="preserve">Interactions between </w:t>
      </w:r>
      <w:r w:rsidR="00B83DC4" w:rsidRPr="002E1DED">
        <w:rPr>
          <w:color w:val="000000" w:themeColor="text1"/>
        </w:rPr>
        <w:t xml:space="preserve">the </w:t>
      </w:r>
      <w:r w:rsidRPr="002E1DED">
        <w:rPr>
          <w:color w:val="000000" w:themeColor="text1"/>
        </w:rPr>
        <w:t>component</w:t>
      </w:r>
      <w:r w:rsidR="00B83DC4" w:rsidRPr="002E1DED">
        <w:rPr>
          <w:color w:val="000000" w:themeColor="text1"/>
        </w:rPr>
        <w:t>s</w:t>
      </w:r>
      <w:r w:rsidRPr="002E1DED">
        <w:rPr>
          <w:color w:val="000000" w:themeColor="text1"/>
        </w:rPr>
        <w:t xml:space="preserve"> of free-radical systems (ABAP, luminol) and aqueous fullerene dispersions</w:t>
      </w:r>
      <w:r w:rsidR="009435D3" w:rsidRPr="002E1DED">
        <w:rPr>
          <w:color w:val="000000" w:themeColor="text1"/>
        </w:rPr>
        <w:t xml:space="preserve"> (AFD)</w:t>
      </w:r>
      <w:r w:rsidRPr="002E1DED">
        <w:rPr>
          <w:color w:val="000000" w:themeColor="text1"/>
        </w:rPr>
        <w:t xml:space="preserve"> C</w:t>
      </w:r>
      <w:r w:rsidRPr="002E1DED">
        <w:rPr>
          <w:color w:val="000000" w:themeColor="text1"/>
          <w:vertAlign w:val="subscript"/>
        </w:rPr>
        <w:t>60</w:t>
      </w:r>
      <w:r w:rsidRPr="002E1DED">
        <w:rPr>
          <w:color w:val="000000" w:themeColor="text1"/>
        </w:rPr>
        <w:t>, C</w:t>
      </w:r>
      <w:r w:rsidRPr="002E1DED">
        <w:rPr>
          <w:color w:val="000000" w:themeColor="text1"/>
          <w:vertAlign w:val="subscript"/>
        </w:rPr>
        <w:t>70</w:t>
      </w:r>
      <w:r w:rsidRPr="002E1DED">
        <w:rPr>
          <w:color w:val="000000" w:themeColor="text1"/>
        </w:rPr>
        <w:t>, and Gd@C</w:t>
      </w:r>
      <w:r w:rsidRPr="002E1DED">
        <w:rPr>
          <w:color w:val="000000" w:themeColor="text1"/>
          <w:vertAlign w:val="subscript"/>
        </w:rPr>
        <w:t>82</w:t>
      </w:r>
      <w:r w:rsidRPr="002E1DED">
        <w:rPr>
          <w:color w:val="000000" w:themeColor="text1"/>
        </w:rPr>
        <w:t xml:space="preserve"> ha</w:t>
      </w:r>
      <w:r w:rsidR="0007272A" w:rsidRPr="002E1DED">
        <w:rPr>
          <w:color w:val="000000" w:themeColor="text1"/>
        </w:rPr>
        <w:t>ve</w:t>
      </w:r>
      <w:r w:rsidRPr="002E1DED">
        <w:rPr>
          <w:color w:val="000000" w:themeColor="text1"/>
        </w:rPr>
        <w:t xml:space="preserve"> been studied by fluorescent spectroscopy.</w:t>
      </w:r>
      <w:r w:rsidR="009435D3" w:rsidRPr="002E1DED">
        <w:rPr>
          <w:color w:val="000000" w:themeColor="text1"/>
        </w:rPr>
        <w:t xml:space="preserve"> Stern-Volmer approach </w:t>
      </w:r>
      <w:r w:rsidR="0081055F" w:rsidRPr="002E1DED">
        <w:rPr>
          <w:color w:val="000000" w:themeColor="text1"/>
        </w:rPr>
        <w:t>(K</w:t>
      </w:r>
      <w:r w:rsidR="0081055F" w:rsidRPr="002E1DED">
        <w:rPr>
          <w:color w:val="000000" w:themeColor="text1"/>
          <w:vertAlign w:val="subscript"/>
        </w:rPr>
        <w:t>SV</w:t>
      </w:r>
      <w:r w:rsidR="0081055F" w:rsidRPr="002E1DED">
        <w:rPr>
          <w:color w:val="000000" w:themeColor="text1"/>
        </w:rPr>
        <w:t xml:space="preserve">) </w:t>
      </w:r>
      <w:r w:rsidR="009435D3" w:rsidRPr="002E1DED">
        <w:rPr>
          <w:color w:val="000000" w:themeColor="text1"/>
        </w:rPr>
        <w:t>for quenching fluorescence analysis has been applied.</w:t>
      </w:r>
      <w:r w:rsidR="00797BED" w:rsidRPr="002E1DED">
        <w:rPr>
          <w:color w:val="000000" w:themeColor="text1"/>
        </w:rPr>
        <w:t xml:space="preserve"> Quenching </w:t>
      </w:r>
      <w:r w:rsidR="00193E0B" w:rsidRPr="002E1DED">
        <w:rPr>
          <w:color w:val="000000" w:themeColor="text1"/>
        </w:rPr>
        <w:t>occurs in static</w:t>
      </w:r>
      <w:r w:rsidR="00AC5C95" w:rsidRPr="002E1DED">
        <w:rPr>
          <w:color w:val="000000" w:themeColor="text1"/>
        </w:rPr>
        <w:t xml:space="preserve"> (with constant K</w:t>
      </w:r>
      <w:r w:rsidR="00AC5C95" w:rsidRPr="002E1DED">
        <w:rPr>
          <w:color w:val="000000" w:themeColor="text1"/>
          <w:vertAlign w:val="subscript"/>
        </w:rPr>
        <w:t>S</w:t>
      </w:r>
      <w:r w:rsidR="00AC5C95" w:rsidRPr="002E1DED">
        <w:rPr>
          <w:color w:val="000000" w:themeColor="text1"/>
        </w:rPr>
        <w:t>)</w:t>
      </w:r>
      <w:r w:rsidR="00193E0B" w:rsidRPr="002E1DED">
        <w:rPr>
          <w:color w:val="000000" w:themeColor="text1"/>
        </w:rPr>
        <w:t xml:space="preserve"> or dynamic</w:t>
      </w:r>
      <w:r w:rsidR="00AC5C95" w:rsidRPr="002E1DED">
        <w:rPr>
          <w:color w:val="000000" w:themeColor="text1"/>
        </w:rPr>
        <w:t xml:space="preserve"> (with constant K</w:t>
      </w:r>
      <w:r w:rsidR="00AC5C95" w:rsidRPr="002E1DED">
        <w:rPr>
          <w:color w:val="000000" w:themeColor="text1"/>
          <w:vertAlign w:val="subscript"/>
        </w:rPr>
        <w:t>D</w:t>
      </w:r>
      <w:r w:rsidR="00AC5C95" w:rsidRPr="002E1DED">
        <w:rPr>
          <w:color w:val="000000" w:themeColor="text1"/>
        </w:rPr>
        <w:t xml:space="preserve">) </w:t>
      </w:r>
      <w:r w:rsidR="00193E0B" w:rsidRPr="002E1DED">
        <w:rPr>
          <w:color w:val="000000" w:themeColor="text1"/>
        </w:rPr>
        <w:t>interactions mechanism. To more speciation</w:t>
      </w:r>
      <w:r w:rsidR="00AD2448" w:rsidRPr="002E1DED">
        <w:rPr>
          <w:color w:val="000000" w:themeColor="text1"/>
        </w:rPr>
        <w:t>,</w:t>
      </w:r>
      <w:r w:rsidR="00193E0B" w:rsidRPr="002E1DED">
        <w:rPr>
          <w:color w:val="000000" w:themeColor="text1"/>
        </w:rPr>
        <w:t xml:space="preserve"> fluorescence lifetime measurement should be applied. </w:t>
      </w:r>
      <w:r w:rsidR="0007272A" w:rsidRPr="002E1DED">
        <w:rPr>
          <w:color w:val="000000" w:themeColor="text1"/>
        </w:rPr>
        <w:t>The m</w:t>
      </w:r>
      <w:r w:rsidR="00AC5C95" w:rsidRPr="002E1DED">
        <w:rPr>
          <w:color w:val="000000" w:themeColor="text1"/>
        </w:rPr>
        <w:t>agnitude of K</w:t>
      </w:r>
      <w:r w:rsidR="00AC5C95" w:rsidRPr="002E1DED">
        <w:rPr>
          <w:color w:val="000000" w:themeColor="text1"/>
          <w:vertAlign w:val="subscript"/>
        </w:rPr>
        <w:t>S</w:t>
      </w:r>
      <w:r w:rsidR="00AC5C95" w:rsidRPr="002E1DED">
        <w:rPr>
          <w:color w:val="000000" w:themeColor="text1"/>
        </w:rPr>
        <w:t xml:space="preserve"> demonstrate</w:t>
      </w:r>
      <w:r w:rsidR="0007272A" w:rsidRPr="002E1DED">
        <w:rPr>
          <w:color w:val="000000" w:themeColor="text1"/>
        </w:rPr>
        <w:t>s</w:t>
      </w:r>
      <w:r w:rsidR="00AC5C95" w:rsidRPr="002E1DED">
        <w:rPr>
          <w:color w:val="000000" w:themeColor="text1"/>
        </w:rPr>
        <w:t xml:space="preserve"> that dynamic quenching cannot account for the decrease in intensity </w:t>
      </w:r>
      <w:r w:rsidR="00AC5C95" w:rsidRPr="002E1DED">
        <w:rPr>
          <w:color w:val="000000" w:themeColor="text1"/>
        </w:rPr>
        <w:fldChar w:fldCharType="begin"/>
      </w:r>
      <w:r w:rsidR="00D70A86" w:rsidRPr="002E1DED">
        <w:rPr>
          <w:color w:val="000000" w:themeColor="text1"/>
        </w:rPr>
        <w:instrText xml:space="preserve"> ADDIN EN.CITE &lt;EndNote&gt;&lt;Cite&gt;&lt;Author&gt;Lakowicz&lt;/Author&gt;&lt;Year&gt;2007&lt;/Year&gt;&lt;RecNum&gt;55&lt;/RecNum&gt;&lt;DisplayText&gt;&lt;style size="10"&gt;[17]&lt;/style&gt;&lt;/DisplayText&gt;&lt;record&gt;&lt;rec-number&gt;55&lt;/rec-number&gt;&lt;foreign-keys&gt;&lt;key app="EN" db-id="te5eszts5wz5ahepve95exxpxaad5tpaf2p9" timestamp="1618981546"&gt;55&lt;/key&gt;&lt;/foreign-keys&gt;&lt;ref-type name="Book"&gt;6&lt;/ref-type&gt;&lt;contributors&gt;&lt;authors&gt;&lt;author&gt;Lakowicz, J.R.&lt;/author&gt;&lt;/authors&gt;&lt;/contributors&gt;&lt;titles&gt;&lt;title&gt;Principles of Fluorescence Spectroscopy&lt;/title&gt;&lt;/titles&gt;&lt;dates&gt;&lt;year&gt;2007&lt;/year&gt;&lt;/dates&gt;&lt;publisher&gt;Springer US&lt;/publisher&gt;&lt;isbn&gt;9780387463124&lt;/isbn&gt;&lt;urls&gt;&lt;related-urls&gt;&lt;url&gt;https://books.google.ru/books?id=-PSybuLNxcAC&lt;/url&gt;&lt;/related-urls&gt;&lt;/urls&gt;&lt;/record&gt;&lt;/Cite&gt;&lt;/EndNote&gt;</w:instrText>
      </w:r>
      <w:r w:rsidR="00AC5C95" w:rsidRPr="002E1DED">
        <w:rPr>
          <w:color w:val="000000" w:themeColor="text1"/>
        </w:rPr>
        <w:fldChar w:fldCharType="separate"/>
      </w:r>
      <w:r w:rsidR="00D70A86" w:rsidRPr="002E1DED">
        <w:rPr>
          <w:noProof/>
          <w:color w:val="000000" w:themeColor="text1"/>
        </w:rPr>
        <w:t>[17]</w:t>
      </w:r>
      <w:r w:rsidR="00AC5C95" w:rsidRPr="002E1DED">
        <w:rPr>
          <w:color w:val="000000" w:themeColor="text1"/>
        </w:rPr>
        <w:fldChar w:fldCharType="end"/>
      </w:r>
      <w:r w:rsidR="00AC5C95" w:rsidRPr="002E1DED">
        <w:rPr>
          <w:color w:val="000000" w:themeColor="text1"/>
        </w:rPr>
        <w:t>.</w:t>
      </w:r>
    </w:p>
    <w:p w14:paraId="53C51FA7" w14:textId="7B627210" w:rsidR="00865749" w:rsidRPr="002E1DED" w:rsidRDefault="00865749" w:rsidP="00C873D8">
      <w:pPr>
        <w:pStyle w:val="MDPI31text"/>
        <w:rPr>
          <w:color w:val="000000" w:themeColor="text1"/>
        </w:rPr>
      </w:pPr>
      <w:r w:rsidRPr="002E1DED">
        <w:rPr>
          <w:color w:val="000000" w:themeColor="text1"/>
        </w:rPr>
        <w:t>Normalization of fluorescence data at excitation 350 nm in Stern-Volmer coordinates</w:t>
      </w:r>
      <w:r w:rsidR="00D70A86" w:rsidRPr="002E1DED">
        <w:rPr>
          <w:color w:val="000000" w:themeColor="text1"/>
        </w:rPr>
        <w:t xml:space="preserve"> is</w:t>
      </w:r>
    </w:p>
    <w:p w14:paraId="28CA0FAA" w14:textId="4C5C327E" w:rsidR="009435D3" w:rsidRPr="002E1DED" w:rsidRDefault="00322426" w:rsidP="002B58EE">
      <w:pPr>
        <w:spacing w:after="0"/>
        <w:ind w:firstLine="709"/>
        <w:jc w:val="both"/>
        <w:rPr>
          <w:rFonts w:ascii="Palatino Linotype" w:eastAsiaTheme="minorEastAsia" w:hAnsi="Palatino Linotype" w:cs="Times New Roman"/>
          <w:color w:val="000000" w:themeColor="text1"/>
          <w:sz w:val="24"/>
          <w:szCs w:val="24"/>
          <w:lang w:val="en-US"/>
        </w:rPr>
      </w:pPr>
      <m:oMathPara>
        <m:oMath>
          <m:f>
            <m:fPr>
              <m:ctrlPr>
                <w:rPr>
                  <w:rFonts w:ascii="Cambria Math" w:hAnsi="Cambria Math" w:cs="Times New Roman"/>
                  <w:i/>
                  <w:color w:val="000000" w:themeColor="text1"/>
                  <w:sz w:val="24"/>
                  <w:szCs w:val="24"/>
                  <w:lang w:val="en-US"/>
                </w:rPr>
              </m:ctrlPr>
            </m:fPr>
            <m:num>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I</m:t>
                  </m:r>
                </m:e>
                <m:sub>
                  <m:r>
                    <w:rPr>
                      <w:rFonts w:ascii="Cambria Math" w:hAnsi="Cambria Math" w:cs="Times New Roman"/>
                      <w:color w:val="000000" w:themeColor="text1"/>
                      <w:sz w:val="24"/>
                      <w:szCs w:val="24"/>
                      <w:lang w:val="en-US"/>
                    </w:rPr>
                    <m:t>0</m:t>
                  </m:r>
                </m:sub>
              </m:sSub>
            </m:num>
            <m:den>
              <m:r>
                <w:rPr>
                  <w:rFonts w:ascii="Cambria Math" w:hAnsi="Cambria Math" w:cs="Times New Roman"/>
                  <w:color w:val="000000" w:themeColor="text1"/>
                  <w:sz w:val="24"/>
                  <w:szCs w:val="24"/>
                  <w:lang w:val="en-US"/>
                </w:rPr>
                <m:t>I</m:t>
              </m:r>
            </m:den>
          </m:f>
          <m:r>
            <w:rPr>
              <w:rFonts w:ascii="Cambria Math" w:eastAsiaTheme="minorEastAsia" w:hAnsi="Cambria Math" w:cs="Times New Roman"/>
              <w:color w:val="000000" w:themeColor="text1"/>
              <w:sz w:val="24"/>
              <w:szCs w:val="24"/>
              <w:lang w:val="en-US"/>
            </w:rPr>
            <m:t>=1+</m:t>
          </m:r>
          <m:sSub>
            <m:sSubPr>
              <m:ctrlPr>
                <w:rPr>
                  <w:rFonts w:ascii="Cambria Math" w:eastAsiaTheme="minorEastAsia" w:hAnsi="Cambria Math" w:cs="Times New Roman"/>
                  <w:i/>
                  <w:color w:val="000000" w:themeColor="text1"/>
                  <w:sz w:val="24"/>
                  <w:szCs w:val="24"/>
                  <w:lang w:val="en-US"/>
                </w:rPr>
              </m:ctrlPr>
            </m:sSubPr>
            <m:e>
              <m:r>
                <w:rPr>
                  <w:rFonts w:ascii="Cambria Math" w:eastAsiaTheme="minorEastAsia" w:hAnsi="Cambria Math" w:cs="Times New Roman"/>
                  <w:color w:val="000000" w:themeColor="text1"/>
                  <w:sz w:val="24"/>
                  <w:szCs w:val="24"/>
                  <w:lang w:val="en-US"/>
                </w:rPr>
                <m:t>K</m:t>
              </m:r>
            </m:e>
            <m:sub>
              <m:r>
                <w:rPr>
                  <w:rFonts w:ascii="Cambria Math" w:eastAsiaTheme="minorEastAsia" w:hAnsi="Cambria Math" w:cs="Times New Roman"/>
                  <w:color w:val="000000" w:themeColor="text1"/>
                  <w:sz w:val="24"/>
                  <w:szCs w:val="24"/>
                  <w:lang w:val="en-US"/>
                </w:rPr>
                <m:t>SV</m:t>
              </m:r>
            </m:sub>
          </m:sSub>
          <m:r>
            <w:rPr>
              <w:rFonts w:ascii="Cambria Math" w:eastAsiaTheme="minorEastAsia" w:hAnsi="Cambria Math" w:cs="Times New Roman"/>
              <w:color w:val="000000" w:themeColor="text1"/>
              <w:sz w:val="24"/>
              <w:szCs w:val="24"/>
              <w:lang w:val="en-US"/>
            </w:rPr>
            <m:t>[Q]</m:t>
          </m:r>
        </m:oMath>
      </m:oMathPara>
    </w:p>
    <w:p w14:paraId="6B364177" w14:textId="76DCE65E" w:rsidR="00865749" w:rsidRPr="002E1DED" w:rsidRDefault="00865749" w:rsidP="00097192">
      <w:pPr>
        <w:pStyle w:val="MDPI31text"/>
        <w:ind w:firstLine="0"/>
        <w:rPr>
          <w:rFonts w:eastAsiaTheme="minorEastAsia"/>
          <w:color w:val="000000" w:themeColor="text1"/>
        </w:rPr>
      </w:pPr>
      <w:r w:rsidRPr="002E1DED">
        <w:rPr>
          <w:rFonts w:eastAsiaTheme="minorEastAsia"/>
          <w:color w:val="000000" w:themeColor="text1"/>
        </w:rPr>
        <w:t xml:space="preserve">where </w:t>
      </w:r>
      <m:oMath>
        <m:sSub>
          <m:sSubPr>
            <m:ctrlPr>
              <w:rPr>
                <w:rFonts w:ascii="Cambria Math" w:hAnsi="Cambria Math"/>
                <w:color w:val="000000" w:themeColor="text1"/>
              </w:rPr>
            </m:ctrlPr>
          </m:sSubPr>
          <m:e>
            <m:r>
              <w:rPr>
                <w:rFonts w:ascii="Cambria Math" w:hAnsi="Cambria Math"/>
                <w:color w:val="000000" w:themeColor="text1"/>
              </w:rPr>
              <m:t>I</m:t>
            </m:r>
          </m:e>
          <m:sub>
            <m:r>
              <m:rPr>
                <m:sty m:val="p"/>
              </m:rPr>
              <w:rPr>
                <w:rFonts w:ascii="Cambria Math" w:hAnsi="Cambria Math"/>
                <w:color w:val="000000" w:themeColor="text1"/>
              </w:rPr>
              <m:t>0</m:t>
            </m:r>
          </m:sub>
        </m:sSub>
      </m:oMath>
      <w:r w:rsidRPr="002E1DED">
        <w:rPr>
          <w:rFonts w:eastAsiaTheme="minorEastAsia"/>
          <w:color w:val="000000" w:themeColor="text1"/>
        </w:rPr>
        <w:t xml:space="preserve"> </w:t>
      </w:r>
      <w:r w:rsidR="002B58EE" w:rsidRPr="002E1DED">
        <w:rPr>
          <w:rFonts w:eastAsiaTheme="minorEastAsia"/>
          <w:color w:val="000000" w:themeColor="text1"/>
        </w:rPr>
        <w:t>is</w:t>
      </w:r>
      <w:r w:rsidRPr="002E1DED">
        <w:rPr>
          <w:rFonts w:eastAsiaTheme="minorEastAsia"/>
          <w:color w:val="000000" w:themeColor="text1"/>
        </w:rPr>
        <w:t xml:space="preserve"> </w:t>
      </w:r>
      <w:r w:rsidR="00AD2448" w:rsidRPr="002E1DED">
        <w:rPr>
          <w:rFonts w:eastAsiaTheme="minorEastAsia"/>
          <w:color w:val="000000" w:themeColor="text1"/>
        </w:rPr>
        <w:t xml:space="preserve">the </w:t>
      </w:r>
      <w:r w:rsidRPr="002E1DED">
        <w:rPr>
          <w:rFonts w:eastAsiaTheme="minorEastAsia"/>
          <w:color w:val="000000" w:themeColor="text1"/>
        </w:rPr>
        <w:t xml:space="preserve">fluorescence intensity without </w:t>
      </w:r>
      <w:r w:rsidR="00AD2448" w:rsidRPr="002E1DED">
        <w:rPr>
          <w:rFonts w:eastAsiaTheme="minorEastAsia"/>
          <w:color w:val="000000" w:themeColor="text1"/>
        </w:rPr>
        <w:t xml:space="preserve">a </w:t>
      </w:r>
      <w:r w:rsidRPr="002E1DED">
        <w:rPr>
          <w:rFonts w:eastAsiaTheme="minorEastAsia"/>
          <w:color w:val="000000" w:themeColor="text1"/>
        </w:rPr>
        <w:t>quencher</w:t>
      </w:r>
      <w:r w:rsidR="00E2542F" w:rsidRPr="002E1DED">
        <w:rPr>
          <w:rFonts w:eastAsiaTheme="minorEastAsia"/>
          <w:color w:val="000000" w:themeColor="text1"/>
        </w:rPr>
        <w:t>;</w:t>
      </w:r>
      <w:r w:rsidRPr="002E1DED">
        <w:rPr>
          <w:rFonts w:eastAsiaTheme="minorEastAsia"/>
          <w:color w:val="000000" w:themeColor="text1"/>
        </w:rPr>
        <w:t xml:space="preserve"> </w:t>
      </w:r>
      <w:r w:rsidRPr="002E1DED">
        <w:rPr>
          <w:rFonts w:eastAsiaTheme="minorEastAsia"/>
          <w:i/>
          <w:iCs/>
          <w:color w:val="000000" w:themeColor="text1"/>
        </w:rPr>
        <w:t>I</w:t>
      </w:r>
      <w:r w:rsidR="002B58EE" w:rsidRPr="002E1DED">
        <w:rPr>
          <w:rFonts w:eastAsiaTheme="minorEastAsia"/>
          <w:color w:val="000000" w:themeColor="text1"/>
        </w:rPr>
        <w:t xml:space="preserve"> </w:t>
      </w:r>
      <w:proofErr w:type="gramStart"/>
      <w:r w:rsidR="002B58EE" w:rsidRPr="002E1DED">
        <w:rPr>
          <w:rFonts w:eastAsiaTheme="minorEastAsia"/>
          <w:color w:val="000000" w:themeColor="text1"/>
        </w:rPr>
        <w:t>is</w:t>
      </w:r>
      <w:proofErr w:type="gramEnd"/>
      <w:r w:rsidR="00AD2448" w:rsidRPr="002E1DED">
        <w:rPr>
          <w:rFonts w:eastAsiaTheme="minorEastAsia"/>
          <w:color w:val="000000" w:themeColor="text1"/>
        </w:rPr>
        <w:t xml:space="preserve"> the</w:t>
      </w:r>
      <w:r w:rsidRPr="002E1DED">
        <w:rPr>
          <w:rFonts w:eastAsiaTheme="minorEastAsia"/>
          <w:color w:val="000000" w:themeColor="text1"/>
        </w:rPr>
        <w:t xml:space="preserve"> fluorescence intensity with quencher</w:t>
      </w:r>
      <w:r w:rsidR="00E2542F" w:rsidRPr="002E1DED">
        <w:rPr>
          <w:rFonts w:eastAsiaTheme="minorEastAsia"/>
          <w:color w:val="000000" w:themeColor="text1"/>
        </w:rPr>
        <w:t xml:space="preserve"> addition;</w:t>
      </w:r>
      <w:r w:rsidR="00D70A86" w:rsidRPr="002E1DED">
        <w:rPr>
          <w:rFonts w:eastAsiaTheme="minorEastAsia"/>
          <w:color w:val="000000" w:themeColor="text1"/>
        </w:rPr>
        <w:t xml:space="preserve"> and </w:t>
      </w:r>
      <w:r w:rsidR="00E2542F" w:rsidRPr="002E1DED">
        <w:rPr>
          <w:rFonts w:eastAsiaTheme="minorEastAsia"/>
          <w:color w:val="000000" w:themeColor="text1"/>
        </w:rPr>
        <w:t>Q</w:t>
      </w:r>
      <w:r w:rsidRPr="002E1DED">
        <w:rPr>
          <w:rFonts w:eastAsiaTheme="minorEastAsia"/>
          <w:color w:val="000000" w:themeColor="text1"/>
        </w:rPr>
        <w:t xml:space="preserve"> </w:t>
      </w:r>
      <w:r w:rsidR="002B58EE" w:rsidRPr="002E1DED">
        <w:rPr>
          <w:rFonts w:eastAsiaTheme="minorEastAsia"/>
          <w:color w:val="000000" w:themeColor="text1"/>
        </w:rPr>
        <w:t>is</w:t>
      </w:r>
      <w:r w:rsidR="00E2542F" w:rsidRPr="002E1DED">
        <w:rPr>
          <w:rFonts w:eastAsiaTheme="minorEastAsia"/>
          <w:color w:val="000000" w:themeColor="text1"/>
        </w:rPr>
        <w:t xml:space="preserve"> quencher concentration (M).</w:t>
      </w:r>
    </w:p>
    <w:p w14:paraId="22D2090A" w14:textId="4A931607" w:rsidR="00365B28" w:rsidRPr="002E1DED" w:rsidRDefault="00984BAC" w:rsidP="00C873D8">
      <w:pPr>
        <w:pStyle w:val="MDPI31text"/>
        <w:rPr>
          <w:color w:val="000000" w:themeColor="text1"/>
        </w:rPr>
      </w:pPr>
      <w:r w:rsidRPr="002E1DED">
        <w:rPr>
          <w:color w:val="000000" w:themeColor="text1"/>
        </w:rPr>
        <w:t xml:space="preserve">All known data are presented for 293K. </w:t>
      </w:r>
      <w:r w:rsidR="00365B28" w:rsidRPr="002E1DED">
        <w:rPr>
          <w:color w:val="000000" w:themeColor="text1"/>
        </w:rPr>
        <w:t>Quenching of 1-pyrenencarboxilic acid by tris(malonate)-</w:t>
      </w:r>
      <w:r w:rsidR="005A045D" w:rsidRPr="002E1DED">
        <w:rPr>
          <w:color w:val="000000" w:themeColor="text1"/>
        </w:rPr>
        <w:t>substituted</w:t>
      </w:r>
      <w:r w:rsidR="00365B28" w:rsidRPr="002E1DED">
        <w:rPr>
          <w:color w:val="000000" w:themeColor="text1"/>
        </w:rPr>
        <w:t xml:space="preserve"> C</w:t>
      </w:r>
      <w:r w:rsidR="00365B28" w:rsidRPr="002E1DED">
        <w:rPr>
          <w:color w:val="000000" w:themeColor="text1"/>
          <w:vertAlign w:val="subscript"/>
        </w:rPr>
        <w:t>60</w:t>
      </w:r>
      <w:r w:rsidR="00365B28" w:rsidRPr="002E1DED">
        <w:rPr>
          <w:color w:val="000000" w:themeColor="text1"/>
        </w:rPr>
        <w:t xml:space="preserve"> were K</w:t>
      </w:r>
      <w:r w:rsidR="0081055F" w:rsidRPr="002E1DED">
        <w:rPr>
          <w:color w:val="000000" w:themeColor="text1"/>
        </w:rPr>
        <w:t>SV</w:t>
      </w:r>
      <w:r w:rsidR="00365B28" w:rsidRPr="002E1DED">
        <w:rPr>
          <w:color w:val="000000" w:themeColor="text1"/>
        </w:rPr>
        <w:t>~4.4÷3.4)×104 M</w:t>
      </w:r>
      <w:r w:rsidR="00365B28" w:rsidRPr="002E1DED">
        <w:rPr>
          <w:color w:val="000000" w:themeColor="text1"/>
          <w:vertAlign w:val="superscript"/>
        </w:rPr>
        <w:t>–1</w:t>
      </w:r>
      <w:r w:rsidR="008E5B76" w:rsidRPr="002E1DED">
        <w:rPr>
          <w:color w:val="000000" w:themeColor="text1"/>
        </w:rPr>
        <w:t xml:space="preserve"> </w:t>
      </w:r>
      <w:r w:rsidR="008E5B76" w:rsidRPr="002E1DED">
        <w:rPr>
          <w:color w:val="000000" w:themeColor="text1"/>
        </w:rPr>
        <w:fldChar w:fldCharType="begin"/>
      </w:r>
      <w:r w:rsidR="00D70A86" w:rsidRPr="002E1DED">
        <w:rPr>
          <w:color w:val="000000" w:themeColor="text1"/>
        </w:rPr>
        <w:instrText xml:space="preserve"> ADDIN EN.CITE &lt;EndNote&gt;&lt;Cite&gt;&lt;Author&gt;Wang&lt;/Author&gt;&lt;Year&gt;1999&lt;/Year&gt;&lt;RecNum&gt;12951&lt;/RecNum&gt;&lt;DisplayText&gt;&lt;style size="10"&gt;[18]&lt;/style&gt;&lt;/DisplayText&gt;&lt;record&gt;&lt;rec-number&gt;12951&lt;/rec-number&gt;&lt;foreign-keys&gt;&lt;key app="EN" db-id="sfexdxdw6wvvtgev0dlvas2pwezeas0vzz5e" timestamp="1433089743"&gt;12951&lt;/key&gt;&lt;/foreign-keys&gt;&lt;ref-type name="Journal Article"&gt;17&lt;/ref-type&gt;&lt;contributors&gt;&lt;authors&gt;&lt;author&gt;Wang, I. Chen&lt;/author&gt;&lt;author&gt;Tai, Lin Ai&lt;/author&gt;&lt;author&gt;Lee, Don Dar&lt;/author&gt;&lt;author&gt;Kanakamma, P. P.&lt;/author&gt;&lt;author&gt;Shen, Clifton K. F.&lt;/author&gt;&lt;author&gt;Luh, Tien-Yau&lt;/author&gt;&lt;author&gt;Cheng, Chien Hong&lt;/author&gt;&lt;author&gt;Hwang, Kuo Chu&lt;/author&gt;&lt;/authors&gt;&lt;/contributors&gt;&lt;titles&gt;&lt;title&gt;&lt;style face="normal" font="default" size="100%"&gt;C&lt;/style&gt;&lt;style face="subscript" font="default" size="100%"&gt;60&lt;/style&gt;&lt;style face="normal" font="default" size="100%"&gt; and Water-Soluble Fullerene Derivatives as Antioxidants Against Radical-Initiated Lipid Peroxidation&lt;/style&gt;&lt;/title&gt;&lt;secondary-title&gt;Journal of Medicinal Chemistry&lt;/secondary-title&gt;&lt;/titles&gt;&lt;periodical&gt;&lt;full-title&gt;Journal of Medicinal Chemistry&lt;/full-title&gt;&lt;abbr-1&gt;J. Med. Chem.&lt;/abbr-1&gt;&lt;abbr-2&gt;J Med Chem&lt;/abbr-2&gt;&lt;/periodical&gt;&lt;pages&gt;4614-4620&lt;/pages&gt;&lt;volume&gt;42&lt;/volume&gt;&lt;number&gt;22&lt;/number&gt;&lt;dates&gt;&lt;year&gt;1999&lt;/year&gt;&lt;pub-dates&gt;&lt;date&gt;1999/11/01&lt;/date&gt;&lt;/pub-dates&gt;&lt;/dates&gt;&lt;publisher&gt;American Chemical Society&lt;/publisher&gt;&lt;isbn&gt;0022-2623&lt;/isbn&gt;&lt;urls&gt;&lt;related-urls&gt;&lt;url&gt;http://dx.doi.org/10.1021/jm990144s&lt;/url&gt;&lt;/related-urls&gt;&lt;/urls&gt;&lt;electronic-resource-num&gt;10.1021/jm990144s&lt;/electronic-resource-num&gt;&lt;access-date&gt;2012/10/01&lt;/access-date&gt;&lt;/record&gt;&lt;/Cite&gt;&lt;/EndNote&gt;</w:instrText>
      </w:r>
      <w:r w:rsidR="008E5B76" w:rsidRPr="002E1DED">
        <w:rPr>
          <w:color w:val="000000" w:themeColor="text1"/>
        </w:rPr>
        <w:fldChar w:fldCharType="separate"/>
      </w:r>
      <w:r w:rsidR="00D70A86" w:rsidRPr="002E1DED">
        <w:rPr>
          <w:noProof/>
          <w:color w:val="000000" w:themeColor="text1"/>
        </w:rPr>
        <w:t>[18]</w:t>
      </w:r>
      <w:r w:rsidR="008E5B76" w:rsidRPr="002E1DED">
        <w:rPr>
          <w:color w:val="000000" w:themeColor="text1"/>
        </w:rPr>
        <w:fldChar w:fldCharType="end"/>
      </w:r>
      <w:r w:rsidR="00365B28" w:rsidRPr="002E1DED">
        <w:rPr>
          <w:color w:val="000000" w:themeColor="text1"/>
        </w:rPr>
        <w:t>; for pristine C</w:t>
      </w:r>
      <w:r w:rsidR="00365B28" w:rsidRPr="002E1DED">
        <w:rPr>
          <w:color w:val="000000" w:themeColor="text1"/>
          <w:vertAlign w:val="subscript"/>
        </w:rPr>
        <w:t>60</w:t>
      </w:r>
      <w:r w:rsidR="00365B28" w:rsidRPr="002E1DED">
        <w:rPr>
          <w:color w:val="000000" w:themeColor="text1"/>
        </w:rPr>
        <w:t xml:space="preserve"> and </w:t>
      </w:r>
      <w:proofErr w:type="spellStart"/>
      <w:r w:rsidR="00365B28" w:rsidRPr="002E1DED">
        <w:rPr>
          <w:color w:val="000000" w:themeColor="text1"/>
        </w:rPr>
        <w:t>fullerenol</w:t>
      </w:r>
      <w:proofErr w:type="spellEnd"/>
      <w:r w:rsidR="005A045D" w:rsidRPr="002E1DED">
        <w:rPr>
          <w:color w:val="000000" w:themeColor="text1"/>
        </w:rPr>
        <w:t xml:space="preserve"> C</w:t>
      </w:r>
      <w:r w:rsidR="005A045D" w:rsidRPr="002E1DED">
        <w:rPr>
          <w:color w:val="000000" w:themeColor="text1"/>
          <w:vertAlign w:val="subscript"/>
        </w:rPr>
        <w:t>60</w:t>
      </w:r>
      <w:r w:rsidR="005A045D" w:rsidRPr="002E1DED">
        <w:rPr>
          <w:color w:val="000000" w:themeColor="text1"/>
        </w:rPr>
        <w:t>(OH)</w:t>
      </w:r>
      <w:r w:rsidR="005A045D" w:rsidRPr="002E1DED">
        <w:rPr>
          <w:color w:val="000000" w:themeColor="text1"/>
          <w:vertAlign w:val="subscript"/>
        </w:rPr>
        <w:t>n</w:t>
      </w:r>
      <w:r w:rsidR="00365B28" w:rsidRPr="002E1DED">
        <w:rPr>
          <w:color w:val="000000" w:themeColor="text1"/>
        </w:rPr>
        <w:t xml:space="preserve"> with RNase A were 8.2×10</w:t>
      </w:r>
      <w:r w:rsidR="00365B28" w:rsidRPr="002E1DED">
        <w:rPr>
          <w:color w:val="000000" w:themeColor="text1"/>
          <w:vertAlign w:val="superscript"/>
        </w:rPr>
        <w:t>4</w:t>
      </w:r>
      <w:r w:rsidR="00365B28" w:rsidRPr="002E1DED">
        <w:rPr>
          <w:color w:val="000000" w:themeColor="text1"/>
        </w:rPr>
        <w:t> M</w:t>
      </w:r>
      <w:r w:rsidR="00365B28" w:rsidRPr="002E1DED">
        <w:rPr>
          <w:color w:val="000000" w:themeColor="text1"/>
          <w:vertAlign w:val="superscript"/>
        </w:rPr>
        <w:t>–1</w:t>
      </w:r>
      <w:r w:rsidR="00365B28" w:rsidRPr="002E1DED">
        <w:rPr>
          <w:color w:val="000000" w:themeColor="text1"/>
        </w:rPr>
        <w:t xml:space="preserve"> and 1.7×104 M</w:t>
      </w:r>
      <w:r w:rsidR="00365B28" w:rsidRPr="002E1DED">
        <w:rPr>
          <w:color w:val="000000" w:themeColor="text1"/>
          <w:vertAlign w:val="superscript"/>
        </w:rPr>
        <w:t>–1</w:t>
      </w:r>
      <w:r w:rsidR="00365B28" w:rsidRPr="002E1DED">
        <w:rPr>
          <w:color w:val="000000" w:themeColor="text1"/>
        </w:rPr>
        <w:t xml:space="preserve"> accordingly</w:t>
      </w:r>
      <w:r w:rsidR="008E5B76" w:rsidRPr="002E1DED">
        <w:rPr>
          <w:color w:val="000000" w:themeColor="text1"/>
        </w:rPr>
        <w:t xml:space="preserve"> </w:t>
      </w:r>
      <w:r w:rsidR="008E5B76" w:rsidRPr="002E1DED">
        <w:rPr>
          <w:color w:val="000000" w:themeColor="text1"/>
        </w:rPr>
        <w:fldChar w:fldCharType="begin"/>
      </w:r>
      <w:r w:rsidR="00D70A86" w:rsidRPr="002E1DED">
        <w:rPr>
          <w:color w:val="000000" w:themeColor="text1"/>
        </w:rPr>
        <w:instrText xml:space="preserve"> ADDIN EN.CITE &lt;EndNote&gt;&lt;Cite&gt;&lt;Author&gt;Roy&lt;/Author&gt;&lt;Year&gt;2018&lt;/Year&gt;&lt;RecNum&gt;19081&lt;/RecNum&gt;&lt;DisplayText&gt;&lt;style size="10"&gt;[19]&lt;/style&gt;&lt;/DisplayText&gt;&lt;record&gt;&lt;rec-number&gt;19081&lt;/rec-number&gt;&lt;foreign-keys&gt;&lt;key app="EN" db-id="sfexdxdw6wvvtgev0dlvas2pwezeas0vzz5e" timestamp="1621683964"&gt;19081&lt;/key&gt;&lt;/foreign-keys&gt;&lt;ref-type name="Journal Article"&gt;17&lt;/ref-type&gt;&lt;contributors&gt;&lt;authors&gt;&lt;author&gt;Roy, Pritam&lt;/author&gt;&lt;author&gt;Bag, Sudipta&lt;/author&gt;&lt;author&gt;Chakraborty, Debanjana&lt;/author&gt;&lt;author&gt;Dasgupta, Swagata&lt;/author&gt;&lt;/authors&gt;&lt;/contributors&gt;&lt;titles&gt;&lt;title&gt;Exploring the Inhibitory and Antioxidant Effects of Fullerene and Fullerenol on Ribonuclease A&lt;/title&gt;&lt;secondary-title&gt;ACS Omega&lt;/secondary-title&gt;&lt;/titles&gt;&lt;periodical&gt;&lt;full-title&gt;Acs Omega&lt;/full-title&gt;&lt;/periodical&gt;&lt;pages&gt;12270-12283&lt;/pages&gt;&lt;volume&gt;3&lt;/volume&gt;&lt;number&gt;9&lt;/number&gt;&lt;dates&gt;&lt;year&gt;2018&lt;/year&gt;&lt;pub-dates&gt;&lt;date&gt;2018/09/30&lt;/date&gt;&lt;/pub-dates&gt;&lt;/dates&gt;&lt;publisher&gt;American Chemical Society&lt;/publisher&gt;&lt;isbn&gt;2470-1343&lt;/isbn&gt;&lt;urls&gt;&lt;related-urls&gt;&lt;url&gt;https://doi.org/10.1021/acsomega.8b01584&lt;/url&gt;&lt;/related-urls&gt;&lt;/urls&gt;&lt;electronic-resource-num&gt;10.1021/acsomega.8b01584&lt;/electronic-resource-num&gt;&lt;/record&gt;&lt;/Cite&gt;&lt;/EndNote&gt;</w:instrText>
      </w:r>
      <w:r w:rsidR="008E5B76" w:rsidRPr="002E1DED">
        <w:rPr>
          <w:color w:val="000000" w:themeColor="text1"/>
        </w:rPr>
        <w:fldChar w:fldCharType="separate"/>
      </w:r>
      <w:r w:rsidR="00D70A86" w:rsidRPr="002E1DED">
        <w:rPr>
          <w:noProof/>
          <w:color w:val="000000" w:themeColor="text1"/>
        </w:rPr>
        <w:t>[19]</w:t>
      </w:r>
      <w:r w:rsidR="008E5B76" w:rsidRPr="002E1DED">
        <w:rPr>
          <w:color w:val="000000" w:themeColor="text1"/>
        </w:rPr>
        <w:fldChar w:fldCharType="end"/>
      </w:r>
      <w:r w:rsidR="0081055F" w:rsidRPr="002E1DED">
        <w:rPr>
          <w:color w:val="000000" w:themeColor="text1"/>
        </w:rPr>
        <w:t>; bovine (BSA) and human (HSA) serum albumins</w:t>
      </w:r>
      <w:r w:rsidR="00ED4535" w:rsidRPr="002E1DED">
        <w:rPr>
          <w:color w:val="000000" w:themeColor="text1"/>
        </w:rPr>
        <w:t xml:space="preserve"> interaction between Gd@C</w:t>
      </w:r>
      <w:r w:rsidR="00ED4535" w:rsidRPr="002E1DED">
        <w:rPr>
          <w:color w:val="000000" w:themeColor="text1"/>
          <w:vertAlign w:val="subscript"/>
        </w:rPr>
        <w:t>82</w:t>
      </w:r>
      <w:r w:rsidR="00ED4535" w:rsidRPr="002E1DED">
        <w:rPr>
          <w:color w:val="000000" w:themeColor="text1"/>
        </w:rPr>
        <w:t>(OH)</w:t>
      </w:r>
      <w:r w:rsidR="00ED4535" w:rsidRPr="002E1DED">
        <w:rPr>
          <w:color w:val="000000" w:themeColor="text1"/>
          <w:vertAlign w:val="subscript"/>
        </w:rPr>
        <w:t>22</w:t>
      </w:r>
      <w:r w:rsidR="00ED4535" w:rsidRPr="002E1DED">
        <w:rPr>
          <w:color w:val="000000" w:themeColor="text1"/>
        </w:rPr>
        <w:t xml:space="preserve"> 2.3 and 2.5×10</w:t>
      </w:r>
      <w:r w:rsidR="00ED4535" w:rsidRPr="002E1DED">
        <w:rPr>
          <w:color w:val="000000" w:themeColor="text1"/>
          <w:vertAlign w:val="superscript"/>
        </w:rPr>
        <w:t>4</w:t>
      </w:r>
      <w:r w:rsidR="00ED4535" w:rsidRPr="002E1DED">
        <w:rPr>
          <w:color w:val="000000" w:themeColor="text1"/>
        </w:rPr>
        <w:t> M</w:t>
      </w:r>
      <w:r w:rsidR="00ED4535" w:rsidRPr="002E1DED">
        <w:rPr>
          <w:color w:val="000000" w:themeColor="text1"/>
          <w:vertAlign w:val="superscript"/>
        </w:rPr>
        <w:t>–1</w:t>
      </w:r>
      <w:r w:rsidR="00ED4535" w:rsidRPr="002E1DED">
        <w:rPr>
          <w:color w:val="000000" w:themeColor="text1"/>
        </w:rPr>
        <w:t xml:space="preserve"> accordingly</w:t>
      </w:r>
      <w:r w:rsidR="002637AD" w:rsidRPr="002E1DED">
        <w:rPr>
          <w:color w:val="000000" w:themeColor="text1"/>
        </w:rPr>
        <w:t xml:space="preserve"> by a dynamic mechanism</w:t>
      </w:r>
      <w:r w:rsidR="008F6043" w:rsidRPr="002E1DED">
        <w:rPr>
          <w:color w:val="000000" w:themeColor="text1"/>
        </w:rPr>
        <w:t xml:space="preserve"> </w:t>
      </w:r>
      <w:r w:rsidR="008F6043" w:rsidRPr="002E1DED">
        <w:rPr>
          <w:color w:val="000000" w:themeColor="text1"/>
        </w:rPr>
        <w:fldChar w:fldCharType="begin"/>
      </w:r>
      <w:r w:rsidR="00D70A86" w:rsidRPr="002E1DED">
        <w:rPr>
          <w:color w:val="000000" w:themeColor="text1"/>
        </w:rPr>
        <w:instrText xml:space="preserve"> ADDIN EN.CITE &lt;EndNote&gt;&lt;Cite&gt;&lt;Author&gt;Liu&lt;/Author&gt;&lt;Year&gt;2018&lt;/Year&gt;&lt;RecNum&gt;19082&lt;/RecNum&gt;&lt;DisplayText&gt;&lt;style size="10"&gt;[20]&lt;/style&gt;&lt;/DisplayText&gt;&lt;record&gt;&lt;rec-number&gt;19082&lt;/rec-number&gt;&lt;foreign-keys&gt;&lt;key app="EN" db-id="sfexdxdw6wvvtgev0dlvas2pwezeas0vzz5e" timestamp="1621683964"&gt;19082&lt;/key&gt;&lt;/foreign-keys&gt;&lt;ref-type name="Journal Article"&gt;17&lt;/ref-type&gt;&lt;contributors&gt;&lt;authors&gt;&lt;author&gt;Liu, Xing&lt;/author&gt;&lt;author&gt;Ying, Xiangxian&lt;/author&gt;&lt;author&gt;Li, Yanli&lt;/author&gt;&lt;author&gt;Yang, Hua&lt;/author&gt;&lt;author&gt;Hao, Wanshan&lt;/author&gt;&lt;author&gt;Yu, Meilan&lt;/author&gt;&lt;/authors&gt;&lt;/contributors&gt;&lt;titles&gt;&lt;title&gt;&lt;style face="normal" font="default" size="100%"&gt;Identification differential behavior of Gd@C&lt;/style&gt;&lt;style face="subscript" font="default" size="100%"&gt;82&lt;/style&gt;&lt;style face="normal" font="default" size="100%"&gt;(OH)&lt;/style&gt;&lt;style face="subscript" font="default" size="100%"&gt;22&lt;/style&gt;&lt;style face="normal" font="default" size="100%"&gt; upon interaction with serum albumin using spectroscopic analysis&lt;/style&gt;&lt;/title&gt;&lt;secondary-title&gt;Spectrochimica Acta Part A: Molecular and Biomolecular Spectroscopy&lt;/secondary-title&gt;&lt;/titles&gt;&lt;periodical&gt;&lt;full-title&gt;Spectrochimica Acta Part A: Molecular and Biomolecular Spectroscopy&lt;/full-title&gt;&lt;/periodical&gt;&lt;pages&gt;383-396&lt;/pages&gt;&lt;volume&gt;203&lt;/volume&gt;&lt;keywords&gt;&lt;keyword&gt;Fullerenols&lt;/keyword&gt;&lt;keyword&gt;Serum albumin&lt;/keyword&gt;&lt;keyword&gt;Synchronous fluorescence&lt;/keyword&gt;&lt;keyword&gt;UV–Vis absorption&lt;/keyword&gt;&lt;keyword&gt;Three-dimensional fluorescence&lt;/keyword&gt;&lt;/keywords&gt;&lt;dates&gt;&lt;year&gt;2018&lt;/year&gt;&lt;pub-dates&gt;&lt;date&gt;2018/10/05/&lt;/date&gt;&lt;/pub-dates&gt;&lt;/dates&gt;&lt;isbn&gt;1386-1425&lt;/isbn&gt;&lt;urls&gt;&lt;related-urls&gt;&lt;url&gt;https://www.sciencedirect.com/science/article/pii/S1386142518305316&lt;/url&gt;&lt;/related-urls&gt;&lt;/urls&gt;&lt;electronic-resource-num&gt;https://doi.org/10.1016/j.saa.2018.05.125&lt;/electronic-resource-num&gt;&lt;/record&gt;&lt;/Cite&gt;&lt;/EndNote&gt;</w:instrText>
      </w:r>
      <w:r w:rsidR="008F6043" w:rsidRPr="002E1DED">
        <w:rPr>
          <w:color w:val="000000" w:themeColor="text1"/>
        </w:rPr>
        <w:fldChar w:fldCharType="separate"/>
      </w:r>
      <w:r w:rsidR="00D70A86" w:rsidRPr="002E1DED">
        <w:rPr>
          <w:noProof/>
          <w:color w:val="000000" w:themeColor="text1"/>
        </w:rPr>
        <w:t>[20]</w:t>
      </w:r>
      <w:r w:rsidR="008F6043" w:rsidRPr="002E1DED">
        <w:rPr>
          <w:color w:val="000000" w:themeColor="text1"/>
        </w:rPr>
        <w:fldChar w:fldCharType="end"/>
      </w:r>
      <w:r w:rsidR="008F6043" w:rsidRPr="002E1DED">
        <w:rPr>
          <w:color w:val="000000" w:themeColor="text1"/>
        </w:rPr>
        <w:t>.</w:t>
      </w:r>
    </w:p>
    <w:p w14:paraId="0E7D0F05" w14:textId="56C936DD" w:rsidR="00065BB8" w:rsidRDefault="00365B28" w:rsidP="00C873D8">
      <w:pPr>
        <w:pStyle w:val="MDPI31text"/>
        <w:rPr>
          <w:color w:val="000000" w:themeColor="text1"/>
        </w:rPr>
      </w:pPr>
      <w:r w:rsidRPr="002E1DED">
        <w:rPr>
          <w:color w:val="000000" w:themeColor="text1"/>
        </w:rPr>
        <w:t>In this work</w:t>
      </w:r>
      <w:r w:rsidR="00AD2448" w:rsidRPr="002E1DED">
        <w:rPr>
          <w:color w:val="000000" w:themeColor="text1"/>
        </w:rPr>
        <w:t>,</w:t>
      </w:r>
      <w:r w:rsidRPr="002E1DED">
        <w:rPr>
          <w:color w:val="000000" w:themeColor="text1"/>
        </w:rPr>
        <w:t xml:space="preserve"> we conducted </w:t>
      </w:r>
      <w:r w:rsidR="00AD2448" w:rsidRPr="002E1DED">
        <w:rPr>
          <w:color w:val="000000" w:themeColor="text1"/>
        </w:rPr>
        <w:t xml:space="preserve">an </w:t>
      </w:r>
      <w:r w:rsidRPr="002E1DED">
        <w:rPr>
          <w:color w:val="000000" w:themeColor="text1"/>
        </w:rPr>
        <w:t>estimation of quenching fullerene ability for AFD C</w:t>
      </w:r>
      <w:r w:rsidRPr="002E1DED">
        <w:rPr>
          <w:color w:val="000000" w:themeColor="text1"/>
          <w:vertAlign w:val="subscript"/>
        </w:rPr>
        <w:t>60</w:t>
      </w:r>
      <w:r w:rsidRPr="002E1DED">
        <w:rPr>
          <w:color w:val="000000" w:themeColor="text1"/>
        </w:rPr>
        <w:t>, C</w:t>
      </w:r>
      <w:r w:rsidRPr="002E1DED">
        <w:rPr>
          <w:color w:val="000000" w:themeColor="text1"/>
          <w:vertAlign w:val="subscript"/>
        </w:rPr>
        <w:t>70</w:t>
      </w:r>
      <w:r w:rsidRPr="002E1DED">
        <w:rPr>
          <w:color w:val="000000" w:themeColor="text1"/>
        </w:rPr>
        <w:t>, and Gd@C</w:t>
      </w:r>
      <w:r w:rsidRPr="002E1DED">
        <w:rPr>
          <w:color w:val="000000" w:themeColor="text1"/>
          <w:vertAlign w:val="subscript"/>
        </w:rPr>
        <w:t>82</w:t>
      </w:r>
      <w:r w:rsidR="005D7C9B" w:rsidRPr="002E1DED">
        <w:rPr>
          <w:color w:val="000000" w:themeColor="text1"/>
        </w:rPr>
        <w:t xml:space="preserve"> in </w:t>
      </w:r>
      <w:r w:rsidR="00AD2448" w:rsidRPr="002E1DED">
        <w:rPr>
          <w:color w:val="000000" w:themeColor="text1"/>
        </w:rPr>
        <w:t xml:space="preserve">the </w:t>
      </w:r>
      <w:r w:rsidR="005D7C9B" w:rsidRPr="002E1DED">
        <w:rPr>
          <w:color w:val="000000" w:themeColor="text1"/>
        </w:rPr>
        <w:t>ABAP, luminol system</w:t>
      </w:r>
      <w:r w:rsidR="008E5B76" w:rsidRPr="002E1DED">
        <w:rPr>
          <w:color w:val="000000" w:themeColor="text1"/>
        </w:rPr>
        <w:t>.</w:t>
      </w:r>
      <w:r w:rsidR="009A21A5" w:rsidRPr="002E1DED">
        <w:rPr>
          <w:color w:val="000000" w:themeColor="text1"/>
        </w:rPr>
        <w:t xml:space="preserve"> The magnitude of constant value w</w:t>
      </w:r>
      <w:r w:rsidR="00AD2448" w:rsidRPr="002E1DED">
        <w:rPr>
          <w:color w:val="000000" w:themeColor="text1"/>
        </w:rPr>
        <w:t>as</w:t>
      </w:r>
      <w:r w:rsidR="009A21A5" w:rsidRPr="002E1DED">
        <w:rPr>
          <w:color w:val="000000" w:themeColor="text1"/>
        </w:rPr>
        <w:t xml:space="preserve"> C</w:t>
      </w:r>
      <w:r w:rsidR="009A21A5" w:rsidRPr="002E1DED">
        <w:rPr>
          <w:color w:val="000000" w:themeColor="text1"/>
          <w:vertAlign w:val="subscript"/>
        </w:rPr>
        <w:t>60</w:t>
      </w:r>
      <w:r w:rsidR="009A21A5" w:rsidRPr="002E1DED">
        <w:rPr>
          <w:color w:val="000000" w:themeColor="text1"/>
        </w:rPr>
        <w:t xml:space="preserve"> ~ C</w:t>
      </w:r>
      <w:r w:rsidR="009A21A5" w:rsidRPr="002E1DED">
        <w:rPr>
          <w:color w:val="000000" w:themeColor="text1"/>
          <w:vertAlign w:val="subscript"/>
        </w:rPr>
        <w:t>70</w:t>
      </w:r>
      <w:r w:rsidR="009A21A5" w:rsidRPr="002E1DED">
        <w:rPr>
          <w:color w:val="000000" w:themeColor="text1"/>
        </w:rPr>
        <w:t xml:space="preserve"> &gt; Gd@C</w:t>
      </w:r>
      <w:r w:rsidR="009A21A5" w:rsidRPr="002E1DED">
        <w:rPr>
          <w:color w:val="000000" w:themeColor="text1"/>
          <w:vertAlign w:val="subscript"/>
        </w:rPr>
        <w:t>82</w:t>
      </w:r>
      <w:r w:rsidR="009A21A5" w:rsidRPr="002E1DED">
        <w:rPr>
          <w:color w:val="000000" w:themeColor="text1"/>
        </w:rPr>
        <w:t xml:space="preserve"> (3.7 ± 0.1, 3.8 ± 0.1, and 2.9 ± </w:t>
      </w:r>
      <w:proofErr w:type="gramStart"/>
      <w:r w:rsidR="009A21A5" w:rsidRPr="002E1DED">
        <w:rPr>
          <w:color w:val="000000" w:themeColor="text1"/>
        </w:rPr>
        <w:t>0.1)×</w:t>
      </w:r>
      <w:proofErr w:type="gramEnd"/>
      <w:r w:rsidR="009A21A5" w:rsidRPr="002E1DED">
        <w:rPr>
          <w:color w:val="000000" w:themeColor="text1"/>
        </w:rPr>
        <w:t>10</w:t>
      </w:r>
      <w:r w:rsidR="009A21A5" w:rsidRPr="002E1DED">
        <w:rPr>
          <w:color w:val="000000" w:themeColor="text1"/>
          <w:vertAlign w:val="superscript"/>
        </w:rPr>
        <w:t>4</w:t>
      </w:r>
      <w:r w:rsidR="009A21A5" w:rsidRPr="002E1DED">
        <w:rPr>
          <w:color w:val="000000" w:themeColor="text1"/>
        </w:rPr>
        <w:t> M</w:t>
      </w:r>
      <w:r w:rsidR="009A21A5" w:rsidRPr="002E1DED">
        <w:rPr>
          <w:color w:val="000000" w:themeColor="text1"/>
          <w:vertAlign w:val="superscript"/>
        </w:rPr>
        <w:t>–1</w:t>
      </w:r>
      <w:r w:rsidR="00984BAC" w:rsidRPr="002E1DED">
        <w:rPr>
          <w:color w:val="000000" w:themeColor="text1"/>
        </w:rPr>
        <w:t xml:space="preserve"> which have good accordance with </w:t>
      </w:r>
      <w:r w:rsidR="00984BAC" w:rsidRPr="002E1DED">
        <w:rPr>
          <w:color w:val="000000" w:themeColor="text1"/>
        </w:rPr>
        <w:fldChar w:fldCharType="begin">
          <w:fldData xml:space="preserve">PEVuZE5vdGU+PENpdGU+PEF1dGhvcj5Sb3k8L0F1dGhvcj48WWVhcj4yMDE4PC9ZZWFyPjxSZWNO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</w:fldData>
        </w:fldChar>
      </w:r>
      <w:r w:rsidR="00D70A86" w:rsidRPr="002E1DED">
        <w:rPr>
          <w:color w:val="000000" w:themeColor="text1"/>
        </w:rPr>
        <w:instrText xml:space="preserve"> ADDIN EN.CITE </w:instrText>
      </w:r>
      <w:r w:rsidR="00D70A86" w:rsidRPr="002E1DED">
        <w:rPr>
          <w:color w:val="000000" w:themeColor="text1"/>
        </w:rPr>
        <w:fldChar w:fldCharType="begin">
          <w:fldData xml:space="preserve">PEVuZE5vdGU+PENpdGU+PEF1dGhvcj5Sb3k8L0F1dGhvcj48WWVhcj4yMDE4PC9ZZWFyPjxSZWNO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</w:fldData>
        </w:fldChar>
      </w:r>
      <w:r w:rsidR="00D70A86" w:rsidRPr="002E1DED">
        <w:rPr>
          <w:color w:val="000000" w:themeColor="text1"/>
        </w:rPr>
        <w:instrText xml:space="preserve"> ADDIN EN.CITE.DATA </w:instrText>
      </w:r>
      <w:r w:rsidR="00D70A86" w:rsidRPr="002E1DED">
        <w:rPr>
          <w:color w:val="000000" w:themeColor="text1"/>
        </w:rPr>
      </w:r>
      <w:r w:rsidR="00D70A86" w:rsidRPr="002E1DED">
        <w:rPr>
          <w:color w:val="000000" w:themeColor="text1"/>
        </w:rPr>
        <w:fldChar w:fldCharType="end"/>
      </w:r>
      <w:r w:rsidR="00984BAC" w:rsidRPr="002E1DED">
        <w:rPr>
          <w:color w:val="000000" w:themeColor="text1"/>
        </w:rPr>
      </w:r>
      <w:r w:rsidR="00984BAC" w:rsidRPr="002E1DED">
        <w:rPr>
          <w:color w:val="000000" w:themeColor="text1"/>
        </w:rPr>
        <w:fldChar w:fldCharType="separate"/>
      </w:r>
      <w:r w:rsidR="00D70A86" w:rsidRPr="002E1DED">
        <w:rPr>
          <w:noProof/>
          <w:color w:val="000000" w:themeColor="text1"/>
        </w:rPr>
        <w:t>[18-20]</w:t>
      </w:r>
      <w:r w:rsidR="00984BAC" w:rsidRPr="002E1DED">
        <w:rPr>
          <w:color w:val="000000" w:themeColor="text1"/>
        </w:rPr>
        <w:fldChar w:fldCharType="end"/>
      </w:r>
      <w:r w:rsidR="004953A0" w:rsidRPr="002E1DED">
        <w:rPr>
          <w:color w:val="000000" w:themeColor="text1"/>
        </w:rPr>
        <w:t xml:space="preserve">. </w:t>
      </w:r>
      <w:r w:rsidR="00A2613E" w:rsidRPr="002E1DED">
        <w:rPr>
          <w:color w:val="000000" w:themeColor="text1"/>
        </w:rPr>
        <w:t>The fluorescence spectra are presented below</w:t>
      </w:r>
      <w:r w:rsidR="007B152B" w:rsidRPr="002E1DED">
        <w:rPr>
          <w:color w:val="000000" w:themeColor="text1"/>
        </w:rPr>
        <w:t xml:space="preserve"> (</w:t>
      </w:r>
      <w:r w:rsidR="007B152B" w:rsidRPr="002E1DED">
        <w:rPr>
          <w:color w:val="000000" w:themeColor="text1"/>
        </w:rPr>
        <w:fldChar w:fldCharType="begin"/>
      </w:r>
      <w:r w:rsidR="007B152B" w:rsidRPr="002E1DED">
        <w:rPr>
          <w:color w:val="000000" w:themeColor="text1"/>
        </w:rPr>
        <w:instrText xml:space="preserve"> REF _Ref69900632 \h </w:instrText>
      </w:r>
      <w:r w:rsidR="00ED4535" w:rsidRPr="002E1DED">
        <w:rPr>
          <w:color w:val="000000" w:themeColor="text1"/>
        </w:rPr>
        <w:instrText xml:space="preserve"> \* MERGEFORMAT </w:instrText>
      </w:r>
      <w:r w:rsidR="007B152B" w:rsidRPr="002E1DED">
        <w:rPr>
          <w:color w:val="000000" w:themeColor="text1"/>
        </w:rPr>
      </w:r>
      <w:r w:rsidR="007B152B" w:rsidRPr="002E1DED">
        <w:rPr>
          <w:color w:val="000000" w:themeColor="text1"/>
        </w:rPr>
        <w:fldChar w:fldCharType="separate"/>
      </w:r>
      <w:r w:rsidR="007B152B" w:rsidRPr="002E1DED">
        <w:rPr>
          <w:color w:val="000000" w:themeColor="text1"/>
        </w:rPr>
        <w:t>Figure S. 1</w:t>
      </w:r>
      <w:r w:rsidR="007B152B" w:rsidRPr="002E1DED">
        <w:rPr>
          <w:color w:val="000000" w:themeColor="text1"/>
        </w:rPr>
        <w:fldChar w:fldCharType="end"/>
      </w:r>
      <w:r w:rsidR="007B152B" w:rsidRPr="002E1DED">
        <w:rPr>
          <w:color w:val="000000" w:themeColor="text1"/>
        </w:rPr>
        <w:t>)</w:t>
      </w:r>
      <w:r w:rsidR="00A2613E" w:rsidRPr="002E1DED">
        <w:rPr>
          <w:color w:val="000000" w:themeColor="text1"/>
        </w:rPr>
        <w:t>.</w:t>
      </w:r>
      <w:r w:rsidR="005F0AD4" w:rsidRPr="002E1DED">
        <w:rPr>
          <w:color w:val="000000" w:themeColor="text1"/>
        </w:rPr>
        <w:t xml:space="preserve"> </w:t>
      </w:r>
      <w:r w:rsidR="00065BB8" w:rsidRPr="002E1DED">
        <w:rPr>
          <w:color w:val="000000" w:themeColor="text1"/>
        </w:rPr>
        <w:t>The different values of the Stern-Volmer constants for Gd@C</w:t>
      </w:r>
      <w:r w:rsidR="00065BB8" w:rsidRPr="002E1DED">
        <w:rPr>
          <w:color w:val="000000" w:themeColor="text1"/>
          <w:vertAlign w:val="subscript"/>
        </w:rPr>
        <w:t>82</w:t>
      </w:r>
      <w:r w:rsidR="00065BB8" w:rsidRPr="002E1DED">
        <w:rPr>
          <w:color w:val="000000" w:themeColor="text1"/>
        </w:rPr>
        <w:t xml:space="preserve"> are due to the different nature of the interactions</w:t>
      </w:r>
      <w:r w:rsidR="005F0AD4" w:rsidRPr="002E1DED">
        <w:rPr>
          <w:color w:val="000000" w:themeColor="text1"/>
        </w:rPr>
        <w:t xml:space="preserve"> </w:t>
      </w:r>
      <w:r w:rsidR="005F0AD4" w:rsidRPr="002E1DED">
        <w:rPr>
          <w:color w:val="000000" w:themeColor="text1"/>
        </w:rPr>
        <w:fldChar w:fldCharType="begin"/>
      </w:r>
      <w:r w:rsidR="00D70A86" w:rsidRPr="002E1DED">
        <w:rPr>
          <w:color w:val="000000" w:themeColor="text1"/>
        </w:rPr>
        <w:instrText xml:space="preserve"> ADDIN EN.CITE &lt;EndNote&gt;&lt;Cite&gt;&lt;Author&gt;Sharoyko&lt;/Author&gt;&lt;Year&gt;2021&lt;/Year&gt;&lt;RecNum&gt;19048&lt;/RecNum&gt;&lt;DisplayText&gt;&lt;style size="10"&gt;[21]&lt;/style&gt;&lt;/DisplayText&gt;&lt;record&gt;&lt;rec-number&gt;19048&lt;/rec-number&gt;&lt;foreign-keys&gt;&lt;key app="EN" db-id="sfexdxdw6wvvtgev0dlvas2pwezeas0vzz5e" timestamp="1621683962"&gt;19048&lt;/key&gt;&lt;/foreign-keys&gt;&lt;ref-type name="Journal Article"&gt;17&lt;/ref-type&gt;&lt;contributors&gt;&lt;authors&gt;&lt;author&gt;Sharoyko, Vladimir V.&lt;/author&gt;&lt;author&gt;Ageev, Sergei V.&lt;/author&gt;&lt;author&gt;Podolsky, Nikita E.&lt;/author&gt;&lt;author&gt;Petrov, Andrey V.&lt;/author&gt;&lt;author&gt;Litasova, Elena V.&lt;/author&gt;&lt;author&gt;Vlasov, Timur D.&lt;/author&gt;&lt;author&gt;Vasina, Lubov V.&lt;/author&gt;&lt;author&gt;Murin, Igor V.&lt;/author&gt;&lt;author&gt;Piotrovskiy, Levon B.&lt;/author&gt;&lt;author&gt;Semenov, Konstantin N.&lt;/author&gt;&lt;/authors&gt;&lt;/contributors&gt;&lt;titles&gt;&lt;title&gt;Biologically active water-soluble fullerene adducts: Das Glasperlenspiel (by H. Hesse)?&lt;/title&gt;&lt;secondary-title&gt;Journal of Molecular Liquids&lt;/secondary-title&gt;&lt;/titles&gt;&lt;pages&gt;114990&lt;/pages&gt;&lt;volume&gt;323&lt;/volume&gt;&lt;keywords&gt;&lt;keyword&gt;Fullerene&lt;/keyword&gt;&lt;keyword&gt;Nanobiomedicine&lt;/keyword&gt;&lt;keyword&gt;Fullerenol&lt;/keyword&gt;&lt;keyword&gt;Carboxyfullerene&lt;/keyword&gt;&lt;keyword&gt;Amino acid&lt;/keyword&gt;&lt;/keywords&gt;&lt;dates&gt;&lt;year&gt;2021&lt;/year&gt;&lt;pub-dates&gt;&lt;date&gt;2021/02/01/&lt;/date&gt;&lt;/pub-dates&gt;&lt;/dates&gt;&lt;isbn&gt;0167-7322&lt;/isbn&gt;&lt;urls&gt;&lt;related-urls&gt;&lt;url&gt;https://www.sciencedirect.com/science/article/pii/S0167732220372329&lt;/url&gt;&lt;/related-urls&gt;&lt;/urls&gt;&lt;electronic-resource-num&gt;https://doi.org/10.1016/j.molliq.2020.114990&lt;/electronic-resource-num&gt;&lt;/record&gt;&lt;/Cite&gt;&lt;/EndNote&gt;</w:instrText>
      </w:r>
      <w:r w:rsidR="005F0AD4" w:rsidRPr="002E1DED">
        <w:rPr>
          <w:color w:val="000000" w:themeColor="text1"/>
        </w:rPr>
        <w:fldChar w:fldCharType="separate"/>
      </w:r>
      <w:r w:rsidR="00D70A86" w:rsidRPr="002E1DED">
        <w:rPr>
          <w:noProof/>
          <w:color w:val="000000" w:themeColor="text1"/>
        </w:rPr>
        <w:t>[21]</w:t>
      </w:r>
      <w:r w:rsidR="005F0AD4" w:rsidRPr="002E1DED">
        <w:rPr>
          <w:color w:val="000000" w:themeColor="text1"/>
        </w:rPr>
        <w:fldChar w:fldCharType="end"/>
      </w:r>
      <w:r w:rsidR="00065BB8" w:rsidRPr="002E1DED">
        <w:rPr>
          <w:color w:val="000000" w:themeColor="text1"/>
        </w:rPr>
        <w:t xml:space="preserve">. It can be electrostatic interaction prevails and hydrogen bonds and van der Waals interactions </w:t>
      </w:r>
      <w:r w:rsidR="00065BB8" w:rsidRPr="002E1DED">
        <w:rPr>
          <w:color w:val="000000" w:themeColor="text1"/>
        </w:rPr>
        <w:fldChar w:fldCharType="begin"/>
      </w:r>
      <w:r w:rsidR="00D70A86" w:rsidRPr="002E1DED">
        <w:rPr>
          <w:color w:val="000000" w:themeColor="text1"/>
        </w:rPr>
        <w:instrText xml:space="preserve"> ADDIN EN.CITE &lt;EndNote&gt;&lt;Cite&gt;&lt;Author&gt;Yang&lt;/Author&gt;&lt;Year&gt;2017&lt;/Year&gt;&lt;RecNum&gt;59&lt;/RecNum&gt;&lt;DisplayText&gt;&lt;style size="10"&gt;[22]&lt;/style&gt;&lt;/DisplayText&gt;&lt;record&gt;&lt;rec-number&gt;59&lt;/rec-number&gt;&lt;foreign-keys&gt;&lt;key app="EN" db-id="te5eszts5wz5ahepve95exxpxaad5tpaf2p9" timestamp="1619001908"&gt;59&lt;/key&gt;&lt;/foreign-keys&gt;&lt;ref-type name="Journal Article"&gt;17&lt;/ref-type&gt;&lt;contributors&gt;&lt;authors&gt;&lt;author&gt;Yang, Li-Yun&lt;/author&gt;&lt;author&gt;Hua, Si-Yu&lt;/author&gt;&lt;author&gt;Zhou, Zhi-Qiang&lt;/author&gt;&lt;author&gt;Wang, Guan-Chao&lt;/author&gt;&lt;author&gt;Jiang, Feng-Lei&lt;/author&gt;&lt;author&gt;Liu, Yi&lt;/author&gt;&lt;/authors&gt;&lt;/contributors&gt;&lt;titles&gt;&lt;title&gt;Characterization of fullerenol-protein interactions and an extended investigation on cytotoxicity&lt;/title&gt;&lt;secondary-title&gt;Colloids and Surfaces B: Biointerfaces&lt;/secondary-title&gt;&lt;/titles&gt;&lt;periodical&gt;&lt;full-title&gt;Colloids and Surfaces B: Biointerfaces&lt;/full-title&gt;&lt;/periodical&gt;&lt;pages&gt;261-267&lt;/pages&gt;&lt;volume&gt;157&lt;/volume&gt;&lt;keywords&gt;&lt;keyword&gt;Fullerenol&lt;/keyword&gt;&lt;keyword&gt;Serum proteins&lt;/keyword&gt;&lt;keyword&gt;Thermodynamic parameters&lt;/keyword&gt;&lt;keyword&gt;Cytotoxicity&lt;/keyword&gt;&lt;/keywords&gt;&lt;dates&gt;&lt;year&gt;2017&lt;/year&gt;&lt;pub-dates&gt;&lt;date&gt;2017/09/01/&lt;/date&gt;&lt;/pub-dates&gt;&lt;/dates&gt;&lt;isbn&gt;0927-7765&lt;/isbn&gt;&lt;urls&gt;&lt;related-urls&gt;&lt;url&gt;https://www.sciencedirect.com/science/article/pii/S0927776517303326&lt;/url&gt;&lt;/related-urls&gt;&lt;/urls&gt;&lt;electronic-resource-num&gt;https://doi.org/10.1016/j.colsurfb.2017.05.065&lt;/electronic-resource-num&gt;&lt;/record&gt;&lt;/Cite&gt;&lt;/EndNote&gt;</w:instrText>
      </w:r>
      <w:r w:rsidR="00065BB8" w:rsidRPr="002E1DED">
        <w:rPr>
          <w:color w:val="000000" w:themeColor="text1"/>
        </w:rPr>
        <w:fldChar w:fldCharType="separate"/>
      </w:r>
      <w:r w:rsidR="00D70A86" w:rsidRPr="002E1DED">
        <w:rPr>
          <w:noProof/>
          <w:color w:val="000000" w:themeColor="text1"/>
        </w:rPr>
        <w:t>[22]</w:t>
      </w:r>
      <w:r w:rsidR="00065BB8" w:rsidRPr="002E1DED">
        <w:rPr>
          <w:color w:val="000000" w:themeColor="text1"/>
        </w:rPr>
        <w:fldChar w:fldCharType="end"/>
      </w:r>
      <w:r w:rsidR="006D2D30" w:rsidRPr="002E1DED">
        <w:rPr>
          <w:color w:val="000000" w:themeColor="text1"/>
        </w:rPr>
        <w:t xml:space="preserve"> </w:t>
      </w:r>
      <w:r w:rsidR="00AD2448" w:rsidRPr="002E1DED">
        <w:rPr>
          <w:color w:val="000000" w:themeColor="text1"/>
        </w:rPr>
        <w:t>compared to</w:t>
      </w:r>
      <w:r w:rsidR="006D2D30" w:rsidRPr="002E1DED">
        <w:rPr>
          <w:color w:val="000000" w:themeColor="text1"/>
        </w:rPr>
        <w:t xml:space="preserve"> non-endohedral fullerenes. </w:t>
      </w:r>
    </w:p>
    <w:p w14:paraId="004AB260" w14:textId="77777777" w:rsidR="002E1DED" w:rsidRPr="002E1DED" w:rsidRDefault="002E1DED" w:rsidP="00C873D8">
      <w:pPr>
        <w:pStyle w:val="MDPI31text"/>
        <w:rPr>
          <w:color w:val="000000" w:themeColor="text1"/>
        </w:rPr>
      </w:pPr>
    </w:p>
    <w:p w14:paraId="4015C32B" w14:textId="4CA9CA8A" w:rsidR="00005C8E" w:rsidRDefault="00005C8E" w:rsidP="00BA007E">
      <w:pPr>
        <w:pStyle w:val="Heading2"/>
        <w:jc w:val="both"/>
        <w:rPr>
          <w:rFonts w:ascii="Palatino Linotype" w:hAnsi="Palatino Linotype"/>
          <w:color w:val="000000" w:themeColor="text1"/>
          <w:lang w:val="en-US"/>
        </w:rPr>
      </w:pPr>
      <w:bookmarkStart w:id="10" w:name="_Toc72677639"/>
      <w:r w:rsidRPr="002E1DED">
        <w:rPr>
          <w:rFonts w:ascii="Palatino Linotype" w:hAnsi="Palatino Linotype"/>
          <w:color w:val="000000" w:themeColor="text1"/>
          <w:lang w:val="en-US"/>
        </w:rPr>
        <w:t>Quenching of Luminol system in the presence of fullerene</w:t>
      </w:r>
      <w:bookmarkEnd w:id="10"/>
    </w:p>
    <w:p w14:paraId="28CBFCC8" w14:textId="77777777" w:rsidR="002E1DED" w:rsidRPr="002E1DED" w:rsidRDefault="002E1DED" w:rsidP="002E1DED">
      <w:pPr>
        <w:rPr>
          <w:lang w:val="en-US"/>
        </w:rPr>
      </w:pPr>
    </w:p>
    <w:p w14:paraId="6B6AB4DF" w14:textId="71DE95C0" w:rsidR="00A2613E" w:rsidRPr="002E1DED" w:rsidRDefault="00005C8E" w:rsidP="00C873D8">
      <w:pPr>
        <w:pStyle w:val="MDPI31text"/>
        <w:rPr>
          <w:color w:val="000000" w:themeColor="text1"/>
        </w:rPr>
      </w:pPr>
      <w:r w:rsidRPr="002E1DED">
        <w:rPr>
          <w:color w:val="000000" w:themeColor="text1"/>
        </w:rPr>
        <w:t>In addition, we have estimated of quenching fullerene ability for AFD C</w:t>
      </w:r>
      <w:r w:rsidRPr="002E1DED">
        <w:rPr>
          <w:color w:val="000000" w:themeColor="text1"/>
          <w:vertAlign w:val="subscript"/>
        </w:rPr>
        <w:t>60</w:t>
      </w:r>
      <w:r w:rsidRPr="002E1DED">
        <w:rPr>
          <w:color w:val="000000" w:themeColor="text1"/>
        </w:rPr>
        <w:t>, C</w:t>
      </w:r>
      <w:r w:rsidRPr="002E1DED">
        <w:rPr>
          <w:color w:val="000000" w:themeColor="text1"/>
          <w:vertAlign w:val="subscript"/>
        </w:rPr>
        <w:t>70</w:t>
      </w:r>
      <w:r w:rsidRPr="002E1DED">
        <w:rPr>
          <w:color w:val="000000" w:themeColor="text1"/>
        </w:rPr>
        <w:t>, and Gd@C</w:t>
      </w:r>
      <w:r w:rsidRPr="002E1DED">
        <w:rPr>
          <w:color w:val="000000" w:themeColor="text1"/>
          <w:vertAlign w:val="subscript"/>
        </w:rPr>
        <w:t>82</w:t>
      </w:r>
      <w:r w:rsidRPr="002E1DED">
        <w:rPr>
          <w:color w:val="000000" w:themeColor="text1"/>
        </w:rPr>
        <w:t xml:space="preserve"> in only the luminol added system. The linearity of the Stern-Volmer plot indicates that only one quenching mechanism is possible; it could be either dynamic or static for more speciation lifetime measurements is needed. Luminol quenching by AFDs (</w:t>
      </w:r>
      <w:r w:rsidRPr="002E1DED">
        <w:rPr>
          <w:color w:val="000000" w:themeColor="text1"/>
        </w:rPr>
        <w:fldChar w:fldCharType="begin"/>
      </w:r>
      <w:r w:rsidRPr="002E1DED">
        <w:rPr>
          <w:color w:val="000000" w:themeColor="text1"/>
        </w:rPr>
        <w:instrText xml:space="preserve"> REF _Ref70075733 \h  \* MERGEFORMAT </w:instrText>
      </w:r>
      <w:r w:rsidRPr="002E1DED">
        <w:rPr>
          <w:color w:val="000000" w:themeColor="text1"/>
        </w:rPr>
      </w:r>
      <w:r w:rsidRPr="002E1DED">
        <w:rPr>
          <w:color w:val="000000" w:themeColor="text1"/>
        </w:rPr>
        <w:fldChar w:fldCharType="separate"/>
      </w:r>
      <w:r w:rsidRPr="002E1DED">
        <w:rPr>
          <w:color w:val="000000" w:themeColor="text1"/>
        </w:rPr>
        <w:t xml:space="preserve">Figure S. </w:t>
      </w:r>
      <w:r w:rsidRPr="002E1DED">
        <w:rPr>
          <w:noProof/>
          <w:color w:val="000000" w:themeColor="text1"/>
        </w:rPr>
        <w:t>2</w:t>
      </w:r>
      <w:r w:rsidRPr="002E1DED">
        <w:rPr>
          <w:color w:val="000000" w:themeColor="text1"/>
        </w:rPr>
        <w:fldChar w:fldCharType="end"/>
      </w:r>
      <w:r w:rsidRPr="002E1DED">
        <w:rPr>
          <w:color w:val="000000" w:themeColor="text1"/>
        </w:rPr>
        <w:t xml:space="preserve">) have the magnitude of constant value in row </w:t>
      </w:r>
      <w:bookmarkStart w:id="11" w:name="_Hlk70097558"/>
      <w:r w:rsidRPr="002E1DED">
        <w:rPr>
          <w:color w:val="000000" w:themeColor="text1"/>
        </w:rPr>
        <w:t>C</w:t>
      </w:r>
      <w:r w:rsidRPr="002E1DED">
        <w:rPr>
          <w:color w:val="000000" w:themeColor="text1"/>
          <w:vertAlign w:val="subscript"/>
        </w:rPr>
        <w:t xml:space="preserve">70 </w:t>
      </w:r>
      <w:r w:rsidRPr="002E1DED">
        <w:rPr>
          <w:color w:val="000000" w:themeColor="text1"/>
        </w:rPr>
        <w:t>&gt; C</w:t>
      </w:r>
      <w:r w:rsidRPr="002E1DED">
        <w:rPr>
          <w:color w:val="000000" w:themeColor="text1"/>
          <w:vertAlign w:val="subscript"/>
        </w:rPr>
        <w:t>60</w:t>
      </w:r>
      <w:r w:rsidRPr="002E1DED">
        <w:rPr>
          <w:color w:val="000000" w:themeColor="text1"/>
        </w:rPr>
        <w:t xml:space="preserve"> &gt; Gd@C</w:t>
      </w:r>
      <w:r w:rsidRPr="002E1DED">
        <w:rPr>
          <w:color w:val="000000" w:themeColor="text1"/>
          <w:vertAlign w:val="subscript"/>
        </w:rPr>
        <w:t>82</w:t>
      </w:r>
      <w:r w:rsidRPr="002E1DED">
        <w:rPr>
          <w:color w:val="000000" w:themeColor="text1"/>
        </w:rPr>
        <w:t xml:space="preserve"> </w:t>
      </w:r>
      <w:bookmarkEnd w:id="11"/>
      <w:r w:rsidRPr="002E1DED">
        <w:rPr>
          <w:color w:val="000000" w:themeColor="text1"/>
        </w:rPr>
        <w:t>(7.4 ± 0.1, 5.7 ± 0.3, and 2.9 ± </w:t>
      </w:r>
      <w:proofErr w:type="gramStart"/>
      <w:r w:rsidRPr="002E1DED">
        <w:rPr>
          <w:color w:val="000000" w:themeColor="text1"/>
        </w:rPr>
        <w:t>0.1)×</w:t>
      </w:r>
      <w:proofErr w:type="gramEnd"/>
      <w:r w:rsidRPr="002E1DED">
        <w:rPr>
          <w:color w:val="000000" w:themeColor="text1"/>
        </w:rPr>
        <w:t>10</w:t>
      </w:r>
      <w:r w:rsidRPr="002E1DED">
        <w:rPr>
          <w:color w:val="000000" w:themeColor="text1"/>
          <w:vertAlign w:val="superscript"/>
        </w:rPr>
        <w:t>4</w:t>
      </w:r>
      <w:r w:rsidRPr="002E1DED">
        <w:rPr>
          <w:color w:val="000000" w:themeColor="text1"/>
        </w:rPr>
        <w:t> M</w:t>
      </w:r>
      <w:r w:rsidRPr="002E1DED">
        <w:rPr>
          <w:color w:val="000000" w:themeColor="text1"/>
          <w:vertAlign w:val="superscript"/>
        </w:rPr>
        <w:t>–1</w:t>
      </w:r>
      <w:r w:rsidRPr="002E1DED">
        <w:rPr>
          <w:color w:val="000000" w:themeColor="text1"/>
        </w:rPr>
        <w:t>. The values have good accordance with ABAP behavior, fullerene systems only for Gd@C</w:t>
      </w:r>
      <w:r w:rsidRPr="002E1DED">
        <w:rPr>
          <w:color w:val="000000" w:themeColor="text1"/>
          <w:vertAlign w:val="subscript"/>
        </w:rPr>
        <w:t>82</w:t>
      </w:r>
      <w:r w:rsidRPr="002E1DED">
        <w:rPr>
          <w:color w:val="000000" w:themeColor="text1"/>
        </w:rPr>
        <w:t>.</w:t>
      </w:r>
      <w:r w:rsidR="00CB7F81" w:rsidRPr="002E1DED">
        <w:rPr>
          <w:color w:val="000000" w:themeColor="text1"/>
        </w:rPr>
        <w:t xml:space="preserve"> </w:t>
      </w:r>
      <w:r w:rsidR="00CB7F81" w:rsidRPr="002E1DED">
        <w:rPr>
          <w:color w:val="000000" w:themeColor="text1"/>
        </w:rPr>
        <w:fldChar w:fldCharType="begin"/>
      </w:r>
      <w:r w:rsidR="00CB7F81" w:rsidRPr="002E1DED">
        <w:rPr>
          <w:color w:val="000000" w:themeColor="text1"/>
        </w:rPr>
        <w:instrText xml:space="preserve"> REF _Ref69900632 \h  \* MERGEFORMAT </w:instrText>
      </w:r>
      <w:r w:rsidR="00CB7F81" w:rsidRPr="002E1DED">
        <w:rPr>
          <w:color w:val="000000" w:themeColor="text1"/>
        </w:rPr>
      </w:r>
      <w:r w:rsidR="00CB7F81" w:rsidRPr="002E1DED">
        <w:rPr>
          <w:color w:val="000000" w:themeColor="text1"/>
        </w:rPr>
        <w:fldChar w:fldCharType="separate"/>
      </w:r>
      <w:r w:rsidR="00CB7F81" w:rsidRPr="002E1DED">
        <w:rPr>
          <w:color w:val="000000" w:themeColor="text1"/>
        </w:rPr>
        <w:t xml:space="preserve">Figure S. </w:t>
      </w:r>
      <w:r w:rsidR="00CB7F81" w:rsidRPr="002E1DED">
        <w:rPr>
          <w:noProof/>
          <w:color w:val="000000" w:themeColor="text1"/>
        </w:rPr>
        <w:t>1</w:t>
      </w:r>
      <w:r w:rsidR="00CB7F81" w:rsidRPr="002E1DED">
        <w:rPr>
          <w:color w:val="000000" w:themeColor="text1"/>
        </w:rPr>
        <w:fldChar w:fldCharType="end"/>
      </w:r>
      <w:r w:rsidR="00CB7F81" w:rsidRPr="002E1DED">
        <w:rPr>
          <w:color w:val="000000" w:themeColor="text1"/>
        </w:rPr>
        <w:t xml:space="preserve"> and </w:t>
      </w:r>
      <w:r w:rsidR="00CB7F81" w:rsidRPr="002E1DED">
        <w:rPr>
          <w:color w:val="000000" w:themeColor="text1"/>
        </w:rPr>
        <w:fldChar w:fldCharType="begin"/>
      </w:r>
      <w:r w:rsidR="00CB7F81" w:rsidRPr="002E1DED">
        <w:rPr>
          <w:color w:val="000000" w:themeColor="text1"/>
        </w:rPr>
        <w:instrText xml:space="preserve"> REF _Ref70075733 \h  \* MERGEFORMAT </w:instrText>
      </w:r>
      <w:r w:rsidR="00CB7F81" w:rsidRPr="002E1DED">
        <w:rPr>
          <w:color w:val="000000" w:themeColor="text1"/>
        </w:rPr>
      </w:r>
      <w:r w:rsidR="00CB7F81" w:rsidRPr="002E1DED">
        <w:rPr>
          <w:color w:val="000000" w:themeColor="text1"/>
        </w:rPr>
        <w:fldChar w:fldCharType="separate"/>
      </w:r>
      <w:r w:rsidR="00CB7F81" w:rsidRPr="002E1DED">
        <w:rPr>
          <w:vanish/>
          <w:color w:val="000000" w:themeColor="text1"/>
        </w:rPr>
        <w:t>Figure</w:t>
      </w:r>
      <w:r w:rsidR="00CB7F81" w:rsidRPr="002E1DED">
        <w:rPr>
          <w:color w:val="000000" w:themeColor="text1"/>
        </w:rPr>
        <w:t xml:space="preserve"> S. </w:t>
      </w:r>
      <w:r w:rsidR="00CB7F81" w:rsidRPr="002E1DED">
        <w:rPr>
          <w:noProof/>
          <w:color w:val="000000" w:themeColor="text1"/>
        </w:rPr>
        <w:t>2</w:t>
      </w:r>
      <w:r w:rsidR="00CB7F81" w:rsidRPr="002E1DED">
        <w:rPr>
          <w:color w:val="000000" w:themeColor="text1"/>
        </w:rPr>
        <w:fldChar w:fldCharType="end"/>
      </w:r>
      <w:r w:rsidR="00CB7F81" w:rsidRPr="002E1DED">
        <w:rPr>
          <w:color w:val="000000" w:themeColor="text1"/>
        </w:rPr>
        <w:t xml:space="preserve"> showed that AFDs could be quench both luminol and product of luminol triggered by ABAP radicals.</w:t>
      </w:r>
    </w:p>
    <w:p w14:paraId="785EA0A3" w14:textId="77777777" w:rsidR="00D33C86" w:rsidRPr="002E1DED" w:rsidRDefault="00D33C86" w:rsidP="002B58EE">
      <w:pPr>
        <w:pStyle w:val="Caption"/>
        <w:rPr>
          <w:rFonts w:ascii="Palatino Linotype" w:hAnsi="Palatino Linotype" w:cs="Times New Roman"/>
          <w:i w:val="0"/>
          <w:iCs w:val="0"/>
          <w:color w:val="000000" w:themeColor="text1"/>
          <w:sz w:val="24"/>
          <w:szCs w:val="24"/>
          <w:lang w:val="en-US"/>
        </w:rPr>
      </w:pPr>
      <w:bookmarkStart w:id="12" w:name="_Ref69900632"/>
    </w:p>
    <w:p w14:paraId="3A7FD4FD" w14:textId="4489DFE1" w:rsidR="00097192" w:rsidRPr="002E1DED" w:rsidRDefault="00097192" w:rsidP="00097192">
      <w:pPr>
        <w:rPr>
          <w:rFonts w:ascii="Palatino Linotype" w:hAnsi="Palatino Linotype"/>
          <w:color w:val="000000" w:themeColor="text1"/>
          <w:lang w:val="en-US"/>
        </w:rPr>
        <w:sectPr w:rsidR="00097192" w:rsidRPr="002E1DED" w:rsidSect="00A956E7">
          <w:pgSz w:w="11906" w:h="16838"/>
          <w:pgMar w:top="1134" w:right="567" w:bottom="1134" w:left="1701" w:header="709" w:footer="709" w:gutter="0"/>
          <w:cols w:space="708"/>
          <w:docGrid w:linePitch="360"/>
        </w:sectPr>
      </w:pPr>
    </w:p>
    <w:p w14:paraId="19CFCBFD" w14:textId="274DF5D7" w:rsidR="00D06ACD" w:rsidRPr="002E1DED" w:rsidRDefault="00343480" w:rsidP="00D06ACD">
      <w:pPr>
        <w:pStyle w:val="Caption"/>
        <w:spacing w:after="0"/>
        <w:ind w:left="709"/>
        <w:jc w:val="both"/>
        <w:rPr>
          <w:rFonts w:ascii="Palatino Linotype" w:hAnsi="Palatino Linotype" w:cs="Times New Roman"/>
          <w:i w:val="0"/>
          <w:iCs w:val="0"/>
          <w:color w:val="000000" w:themeColor="text1"/>
          <w:sz w:val="22"/>
          <w:szCs w:val="22"/>
          <w:lang w:val="en-US"/>
        </w:rPr>
      </w:pPr>
      <w:bookmarkStart w:id="13" w:name="_Hlk71874262"/>
      <w:r w:rsidRPr="002E1DED">
        <w:rPr>
          <w:rFonts w:ascii="Palatino Linotype" w:hAnsi="Palatino Linotype"/>
          <w:noProof/>
          <w:color w:val="000000" w:themeColor="text1"/>
          <w:sz w:val="16"/>
          <w:szCs w:val="16"/>
        </w:rPr>
        <w:lastRenderedPageBreak/>
        <w:drawing>
          <wp:anchor distT="0" distB="0" distL="114300" distR="114300" simplePos="0" relativeHeight="251658240" behindDoc="1" locked="0" layoutInCell="1" allowOverlap="1" wp14:anchorId="0ECA138F" wp14:editId="3CED0B96">
            <wp:simplePos x="0" y="0"/>
            <wp:positionH relativeFrom="column">
              <wp:posOffset>-2540</wp:posOffset>
            </wp:positionH>
            <wp:positionV relativeFrom="paragraph">
              <wp:posOffset>1905</wp:posOffset>
            </wp:positionV>
            <wp:extent cx="6930180" cy="5162550"/>
            <wp:effectExtent l="0" t="0" r="4445" b="0"/>
            <wp:wrapTight wrapText="bothSides">
              <wp:wrapPolygon edited="0">
                <wp:start x="0" y="0"/>
                <wp:lineTo x="0" y="21520"/>
                <wp:lineTo x="21554" y="21520"/>
                <wp:lineTo x="21554"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0180" cy="516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B152B" w:rsidRPr="002E1DED">
        <w:rPr>
          <w:rFonts w:ascii="Palatino Linotype" w:hAnsi="Palatino Linotype" w:cs="Times New Roman"/>
          <w:i w:val="0"/>
          <w:iCs w:val="0"/>
          <w:color w:val="000000" w:themeColor="text1"/>
          <w:sz w:val="22"/>
          <w:szCs w:val="22"/>
          <w:lang w:val="en-US"/>
        </w:rPr>
        <w:t>Figure S</w:t>
      </w:r>
      <w:r w:rsidR="007B152B" w:rsidRPr="002E1DED">
        <w:rPr>
          <w:rFonts w:ascii="Palatino Linotype" w:hAnsi="Palatino Linotype" w:cs="Times New Roman"/>
          <w:i w:val="0"/>
          <w:iCs w:val="0"/>
          <w:color w:val="000000" w:themeColor="text1"/>
          <w:sz w:val="22"/>
          <w:szCs w:val="22"/>
        </w:rPr>
        <w:fldChar w:fldCharType="begin"/>
      </w:r>
      <w:r w:rsidR="007B152B" w:rsidRPr="002E1DED">
        <w:rPr>
          <w:rFonts w:ascii="Palatino Linotype" w:hAnsi="Palatino Linotype" w:cs="Times New Roman"/>
          <w:i w:val="0"/>
          <w:iCs w:val="0"/>
          <w:color w:val="000000" w:themeColor="text1"/>
          <w:sz w:val="22"/>
          <w:szCs w:val="22"/>
          <w:lang w:val="en-US"/>
        </w:rPr>
        <w:instrText xml:space="preserve"> SEQ Figure_S. \* ARABIC </w:instrText>
      </w:r>
      <w:r w:rsidR="007B152B" w:rsidRPr="002E1DED">
        <w:rPr>
          <w:rFonts w:ascii="Palatino Linotype" w:hAnsi="Palatino Linotype" w:cs="Times New Roman"/>
          <w:i w:val="0"/>
          <w:iCs w:val="0"/>
          <w:color w:val="000000" w:themeColor="text1"/>
          <w:sz w:val="22"/>
          <w:szCs w:val="22"/>
        </w:rPr>
        <w:fldChar w:fldCharType="separate"/>
      </w:r>
      <w:r w:rsidR="007B152B" w:rsidRPr="002E1DED">
        <w:rPr>
          <w:rFonts w:ascii="Palatino Linotype" w:hAnsi="Palatino Linotype" w:cs="Times New Roman"/>
          <w:i w:val="0"/>
          <w:iCs w:val="0"/>
          <w:noProof/>
          <w:color w:val="000000" w:themeColor="text1"/>
          <w:sz w:val="22"/>
          <w:szCs w:val="22"/>
          <w:lang w:val="en-US"/>
        </w:rPr>
        <w:t>1</w:t>
      </w:r>
      <w:r w:rsidR="007B152B" w:rsidRPr="002E1DED">
        <w:rPr>
          <w:rFonts w:ascii="Palatino Linotype" w:hAnsi="Palatino Linotype" w:cs="Times New Roman"/>
          <w:i w:val="0"/>
          <w:iCs w:val="0"/>
          <w:color w:val="000000" w:themeColor="text1"/>
          <w:sz w:val="22"/>
          <w:szCs w:val="22"/>
        </w:rPr>
        <w:fldChar w:fldCharType="end"/>
      </w:r>
      <w:bookmarkEnd w:id="12"/>
      <w:r w:rsidR="007B152B" w:rsidRPr="002E1DED">
        <w:rPr>
          <w:rFonts w:ascii="Palatino Linotype" w:hAnsi="Palatino Linotype" w:cs="Times New Roman"/>
          <w:i w:val="0"/>
          <w:iCs w:val="0"/>
          <w:color w:val="000000" w:themeColor="text1"/>
          <w:sz w:val="22"/>
          <w:szCs w:val="22"/>
          <w:lang w:val="en-US"/>
        </w:rPr>
        <w:t xml:space="preserve">. </w:t>
      </w:r>
      <w:r w:rsidR="00680CB8" w:rsidRPr="002E1DED">
        <w:rPr>
          <w:rFonts w:ascii="Palatino Linotype" w:hAnsi="Palatino Linotype" w:cs="Times New Roman"/>
          <w:i w:val="0"/>
          <w:iCs w:val="0"/>
          <w:color w:val="000000" w:themeColor="text1"/>
          <w:sz w:val="22"/>
          <w:szCs w:val="22"/>
          <w:lang w:val="en-US"/>
        </w:rPr>
        <w:t>The fluorescent spectra of aqueous fullerene dispersions C</w:t>
      </w:r>
      <w:r w:rsidR="00680CB8" w:rsidRPr="002E1DED">
        <w:rPr>
          <w:rFonts w:ascii="Palatino Linotype" w:hAnsi="Palatino Linotype" w:cs="Times New Roman"/>
          <w:i w:val="0"/>
          <w:iCs w:val="0"/>
          <w:color w:val="000000" w:themeColor="text1"/>
          <w:sz w:val="22"/>
          <w:szCs w:val="22"/>
          <w:vertAlign w:val="subscript"/>
          <w:lang w:val="en-US"/>
        </w:rPr>
        <w:t>60</w:t>
      </w:r>
      <w:r w:rsidR="00680CB8" w:rsidRPr="002E1DED">
        <w:rPr>
          <w:rFonts w:ascii="Palatino Linotype" w:hAnsi="Palatino Linotype" w:cs="Times New Roman"/>
          <w:i w:val="0"/>
          <w:iCs w:val="0"/>
          <w:color w:val="000000" w:themeColor="text1"/>
          <w:sz w:val="22"/>
          <w:szCs w:val="22"/>
          <w:lang w:val="en-US"/>
        </w:rPr>
        <w:t>, C</w:t>
      </w:r>
      <w:r w:rsidR="00680CB8" w:rsidRPr="002E1DED">
        <w:rPr>
          <w:rFonts w:ascii="Palatino Linotype" w:hAnsi="Palatino Linotype" w:cs="Times New Roman"/>
          <w:i w:val="0"/>
          <w:iCs w:val="0"/>
          <w:color w:val="000000" w:themeColor="text1"/>
          <w:sz w:val="22"/>
          <w:szCs w:val="22"/>
          <w:vertAlign w:val="subscript"/>
          <w:lang w:val="en-US"/>
        </w:rPr>
        <w:t>70</w:t>
      </w:r>
      <w:r w:rsidR="00680CB8" w:rsidRPr="002E1DED">
        <w:rPr>
          <w:rFonts w:ascii="Palatino Linotype" w:hAnsi="Palatino Linotype" w:cs="Times New Roman"/>
          <w:i w:val="0"/>
          <w:iCs w:val="0"/>
          <w:color w:val="000000" w:themeColor="text1"/>
          <w:sz w:val="22"/>
          <w:szCs w:val="22"/>
          <w:lang w:val="en-US"/>
        </w:rPr>
        <w:t>, and Gd@C</w:t>
      </w:r>
      <w:r w:rsidR="00680CB8" w:rsidRPr="002E1DED">
        <w:rPr>
          <w:rFonts w:ascii="Palatino Linotype" w:hAnsi="Palatino Linotype" w:cs="Times New Roman"/>
          <w:i w:val="0"/>
          <w:iCs w:val="0"/>
          <w:color w:val="000000" w:themeColor="text1"/>
          <w:sz w:val="22"/>
          <w:szCs w:val="22"/>
          <w:vertAlign w:val="subscript"/>
          <w:lang w:val="en-US"/>
        </w:rPr>
        <w:t>82</w:t>
      </w:r>
      <w:r w:rsidR="00680CB8" w:rsidRPr="002E1DED">
        <w:rPr>
          <w:rFonts w:ascii="Palatino Linotype" w:hAnsi="Palatino Linotype" w:cs="Times New Roman"/>
          <w:i w:val="0"/>
          <w:iCs w:val="0"/>
          <w:color w:val="000000" w:themeColor="text1"/>
          <w:sz w:val="22"/>
          <w:szCs w:val="22"/>
          <w:lang w:val="en-US"/>
        </w:rPr>
        <w:t xml:space="preserve"> act as a quencher at 350 nm excitation wavelength, emission spectra registered 400–700 nm</w:t>
      </w:r>
      <w:r w:rsidR="009B2836" w:rsidRPr="002E1DED">
        <w:rPr>
          <w:rFonts w:ascii="Palatino Linotype" w:hAnsi="Palatino Linotype" w:cs="Times New Roman"/>
          <w:i w:val="0"/>
          <w:iCs w:val="0"/>
          <w:color w:val="000000" w:themeColor="text1"/>
          <w:sz w:val="22"/>
          <w:szCs w:val="22"/>
          <w:lang w:val="en-US"/>
        </w:rPr>
        <w:t xml:space="preserve"> with maxima</w:t>
      </w:r>
      <w:r w:rsidR="00B967B9" w:rsidRPr="002E1DED">
        <w:rPr>
          <w:rFonts w:ascii="Palatino Linotype" w:hAnsi="Palatino Linotype" w:cs="Times New Roman"/>
          <w:i w:val="0"/>
          <w:iCs w:val="0"/>
          <w:color w:val="000000" w:themeColor="text1"/>
          <w:sz w:val="22"/>
          <w:szCs w:val="22"/>
          <w:lang w:val="en-US"/>
        </w:rPr>
        <w:t xml:space="preserve"> signal</w:t>
      </w:r>
      <w:r w:rsidR="009B2836" w:rsidRPr="002E1DED">
        <w:rPr>
          <w:rFonts w:ascii="Palatino Linotype" w:hAnsi="Palatino Linotype" w:cs="Times New Roman"/>
          <w:i w:val="0"/>
          <w:iCs w:val="0"/>
          <w:color w:val="000000" w:themeColor="text1"/>
          <w:sz w:val="22"/>
          <w:szCs w:val="22"/>
          <w:lang w:val="en-US"/>
        </w:rPr>
        <w:t xml:space="preserve"> at 494 nm</w:t>
      </w:r>
      <w:r w:rsidR="00F12966" w:rsidRPr="002E1DED">
        <w:rPr>
          <w:rFonts w:ascii="Palatino Linotype" w:hAnsi="Palatino Linotype" w:cs="Times New Roman"/>
          <w:i w:val="0"/>
          <w:iCs w:val="0"/>
          <w:color w:val="000000" w:themeColor="text1"/>
          <w:sz w:val="22"/>
          <w:szCs w:val="22"/>
          <w:lang w:val="en-US"/>
        </w:rPr>
        <w:t xml:space="preserve">. </w:t>
      </w:r>
    </w:p>
    <w:p w14:paraId="1D5EDB8A" w14:textId="77777777" w:rsidR="00D06ACD" w:rsidRPr="002E1DED" w:rsidRDefault="00D06ACD" w:rsidP="00D06ACD">
      <w:pPr>
        <w:pStyle w:val="Caption"/>
        <w:spacing w:after="0"/>
        <w:ind w:left="709"/>
        <w:jc w:val="both"/>
        <w:rPr>
          <w:rFonts w:ascii="Palatino Linotype" w:hAnsi="Palatino Linotype" w:cs="Times New Roman"/>
          <w:i w:val="0"/>
          <w:iCs w:val="0"/>
          <w:color w:val="000000" w:themeColor="text1"/>
          <w:sz w:val="22"/>
          <w:szCs w:val="22"/>
          <w:lang w:val="en-US"/>
        </w:rPr>
      </w:pPr>
    </w:p>
    <w:p w14:paraId="56446ADD" w14:textId="58A7185F" w:rsidR="00B967B9" w:rsidRPr="002E1DED" w:rsidRDefault="00D06ACD" w:rsidP="00D06ACD">
      <w:pPr>
        <w:pStyle w:val="Caption"/>
        <w:spacing w:after="0"/>
        <w:ind w:left="709" w:firstLine="707"/>
        <w:jc w:val="both"/>
        <w:rPr>
          <w:rFonts w:ascii="Palatino Linotype" w:hAnsi="Palatino Linotype" w:cs="Times New Roman"/>
          <w:b/>
          <w:bCs/>
          <w:i w:val="0"/>
          <w:iCs w:val="0"/>
          <w:color w:val="000000" w:themeColor="text1"/>
          <w:sz w:val="22"/>
          <w:szCs w:val="22"/>
          <w:lang w:val="en-US"/>
        </w:rPr>
      </w:pPr>
      <w:r w:rsidRPr="002E1DED">
        <w:rPr>
          <w:rFonts w:ascii="Palatino Linotype" w:hAnsi="Palatino Linotype" w:cs="Times New Roman"/>
          <w:b/>
          <w:bCs/>
          <w:i w:val="0"/>
          <w:iCs w:val="0"/>
          <w:color w:val="000000" w:themeColor="text1"/>
          <w:sz w:val="22"/>
          <w:szCs w:val="22"/>
          <w:lang w:val="en-US"/>
        </w:rPr>
        <w:t>M</w:t>
      </w:r>
      <w:r w:rsidR="00B967B9" w:rsidRPr="002E1DED">
        <w:rPr>
          <w:rFonts w:ascii="Palatino Linotype" w:hAnsi="Palatino Linotype" w:cs="Times New Roman"/>
          <w:b/>
          <w:bCs/>
          <w:i w:val="0"/>
          <w:iCs w:val="0"/>
          <w:color w:val="000000" w:themeColor="text1"/>
          <w:sz w:val="22"/>
          <w:szCs w:val="22"/>
          <w:lang w:val="en-US"/>
        </w:rPr>
        <w:t xml:space="preserve">ain areas: </w:t>
      </w:r>
    </w:p>
    <w:p w14:paraId="204BFDC9" w14:textId="587133EA" w:rsidR="00B967B9" w:rsidRPr="002E1DED" w:rsidRDefault="00B967B9" w:rsidP="00D06ACD">
      <w:pPr>
        <w:pStyle w:val="Caption"/>
        <w:spacing w:after="0"/>
        <w:jc w:val="both"/>
        <w:rPr>
          <w:rFonts w:ascii="Palatino Linotype" w:hAnsi="Palatino Linotype" w:cs="Times New Roman"/>
          <w:i w:val="0"/>
          <w:iCs w:val="0"/>
          <w:color w:val="000000" w:themeColor="text1"/>
          <w:sz w:val="22"/>
          <w:szCs w:val="22"/>
          <w:lang w:val="en-US"/>
        </w:rPr>
      </w:pPr>
      <w:r w:rsidRPr="002E1DED">
        <w:rPr>
          <w:rFonts w:ascii="Palatino Linotype" w:hAnsi="Palatino Linotype" w:cs="Times New Roman"/>
          <w:i w:val="0"/>
          <w:iCs w:val="0"/>
          <w:color w:val="000000" w:themeColor="text1"/>
          <w:sz w:val="22"/>
          <w:szCs w:val="22"/>
          <w:lang w:val="en-US"/>
        </w:rPr>
        <w:t>(1) R</w:t>
      </w:r>
      <w:r w:rsidR="00DE4CAF" w:rsidRPr="002E1DED">
        <w:rPr>
          <w:rFonts w:ascii="Palatino Linotype" w:hAnsi="Palatino Linotype" w:cs="Times New Roman"/>
          <w:i w:val="0"/>
          <w:iCs w:val="0"/>
          <w:color w:val="000000" w:themeColor="text1"/>
          <w:sz w:val="22"/>
          <w:szCs w:val="22"/>
          <w:lang w:val="en-US"/>
        </w:rPr>
        <w:t xml:space="preserve">aman scattering peak of water at </w:t>
      </w:r>
      <w:r w:rsidR="00343480" w:rsidRPr="002E1DED">
        <w:rPr>
          <w:rFonts w:ascii="Palatino Linotype" w:hAnsi="Palatino Linotype" w:cs="Times New Roman"/>
          <w:i w:val="0"/>
          <w:iCs w:val="0"/>
          <w:color w:val="000000" w:themeColor="text1"/>
          <w:sz w:val="22"/>
          <w:szCs w:val="22"/>
          <w:lang w:val="en-US"/>
        </w:rPr>
        <w:t>3</w:t>
      </w:r>
      <w:r w:rsidR="00DE4CAF" w:rsidRPr="002E1DED">
        <w:rPr>
          <w:rFonts w:ascii="Palatino Linotype" w:hAnsi="Palatino Linotype" w:cs="Times New Roman"/>
          <w:i w:val="0"/>
          <w:iCs w:val="0"/>
          <w:color w:val="000000" w:themeColor="text1"/>
          <w:sz w:val="22"/>
          <w:szCs w:val="22"/>
          <w:lang w:val="en-US"/>
        </w:rPr>
        <w:t>97</w:t>
      </w:r>
      <w:r w:rsidRPr="002E1DED">
        <w:rPr>
          <w:rFonts w:ascii="Palatino Linotype" w:hAnsi="Palatino Linotype" w:cs="Times New Roman"/>
          <w:i w:val="0"/>
          <w:iCs w:val="0"/>
          <w:color w:val="000000" w:themeColor="text1"/>
          <w:sz w:val="22"/>
          <w:szCs w:val="22"/>
          <w:lang w:val="en-US"/>
        </w:rPr>
        <w:t> </w:t>
      </w:r>
      <w:proofErr w:type="gramStart"/>
      <w:r w:rsidR="00DE4CAF" w:rsidRPr="002E1DED">
        <w:rPr>
          <w:rFonts w:ascii="Palatino Linotype" w:hAnsi="Palatino Linotype" w:cs="Times New Roman"/>
          <w:i w:val="0"/>
          <w:iCs w:val="0"/>
          <w:color w:val="000000" w:themeColor="text1"/>
          <w:sz w:val="22"/>
          <w:szCs w:val="22"/>
          <w:lang w:val="en-US"/>
        </w:rPr>
        <w:t>nm;</w:t>
      </w:r>
      <w:proofErr w:type="gramEnd"/>
      <w:r w:rsidR="00DE4CAF" w:rsidRPr="002E1DED">
        <w:rPr>
          <w:rFonts w:ascii="Palatino Linotype" w:hAnsi="Palatino Linotype" w:cs="Times New Roman"/>
          <w:i w:val="0"/>
          <w:iCs w:val="0"/>
          <w:color w:val="000000" w:themeColor="text1"/>
          <w:sz w:val="22"/>
          <w:szCs w:val="22"/>
          <w:lang w:val="en-US"/>
        </w:rPr>
        <w:t xml:space="preserve"> </w:t>
      </w:r>
    </w:p>
    <w:p w14:paraId="0D698785" w14:textId="65C97B60" w:rsidR="00B967B9" w:rsidRPr="002E1DED" w:rsidRDefault="00B967B9" w:rsidP="00D06ACD">
      <w:pPr>
        <w:pStyle w:val="Caption"/>
        <w:spacing w:after="0"/>
        <w:jc w:val="both"/>
        <w:rPr>
          <w:rFonts w:ascii="Palatino Linotype" w:hAnsi="Palatino Linotype" w:cs="Times New Roman"/>
          <w:i w:val="0"/>
          <w:iCs w:val="0"/>
          <w:color w:val="000000" w:themeColor="text1"/>
          <w:sz w:val="22"/>
          <w:szCs w:val="22"/>
          <w:lang w:val="en-US"/>
        </w:rPr>
      </w:pPr>
      <w:r w:rsidRPr="002E1DED">
        <w:rPr>
          <w:rFonts w:ascii="Palatino Linotype" w:hAnsi="Palatino Linotype" w:cs="Times New Roman"/>
          <w:i w:val="0"/>
          <w:iCs w:val="0"/>
          <w:color w:val="000000" w:themeColor="text1"/>
          <w:sz w:val="22"/>
          <w:szCs w:val="22"/>
          <w:lang w:val="en-US"/>
        </w:rPr>
        <w:t xml:space="preserve">(2) </w:t>
      </w:r>
      <w:r w:rsidR="00D33C86" w:rsidRPr="002E1DED">
        <w:rPr>
          <w:rFonts w:ascii="Palatino Linotype" w:hAnsi="Palatino Linotype" w:cs="Times New Roman"/>
          <w:i w:val="0"/>
          <w:iCs w:val="0"/>
          <w:color w:val="000000" w:themeColor="text1"/>
          <w:sz w:val="22"/>
          <w:szCs w:val="22"/>
          <w:lang w:val="en-US"/>
        </w:rPr>
        <w:t>transparent blue area is luminol signal</w:t>
      </w:r>
      <w:r w:rsidR="00BE1DE0" w:rsidRPr="002E1DED">
        <w:rPr>
          <w:rFonts w:ascii="Palatino Linotype" w:hAnsi="Palatino Linotype" w:cs="Times New Roman"/>
          <w:i w:val="0"/>
          <w:iCs w:val="0"/>
          <w:color w:val="000000" w:themeColor="text1"/>
          <w:sz w:val="22"/>
          <w:szCs w:val="22"/>
          <w:lang w:val="en-US"/>
        </w:rPr>
        <w:t xml:space="preserve"> (</w:t>
      </w:r>
      <w:proofErr w:type="spellStart"/>
      <w:r w:rsidRPr="002E1DED">
        <w:rPr>
          <w:rFonts w:ascii="Palatino Linotype" w:hAnsi="Palatino Linotype" w:cs="Times New Roman"/>
          <w:color w:val="000000" w:themeColor="text1"/>
          <w:sz w:val="22"/>
          <w:szCs w:val="22"/>
          <w:lang w:val="en-US"/>
        </w:rPr>
        <w:t>c</w:t>
      </w:r>
      <w:r w:rsidR="00D06ACD" w:rsidRPr="002E1DED">
        <w:rPr>
          <w:rFonts w:ascii="Palatino Linotype" w:hAnsi="Palatino Linotype" w:cs="Times New Roman"/>
          <w:i w:val="0"/>
          <w:iCs w:val="0"/>
          <w:color w:val="000000" w:themeColor="text1"/>
          <w:sz w:val="22"/>
          <w:szCs w:val="22"/>
          <w:vertAlign w:val="subscript"/>
          <w:lang w:val="en-US"/>
        </w:rPr>
        <w:t>Luminol</w:t>
      </w:r>
      <w:proofErr w:type="spellEnd"/>
      <w:r w:rsidRPr="002E1DED">
        <w:rPr>
          <w:rFonts w:ascii="Palatino Linotype" w:hAnsi="Palatino Linotype" w:cs="Times New Roman"/>
          <w:i w:val="0"/>
          <w:iCs w:val="0"/>
          <w:color w:val="000000" w:themeColor="text1"/>
          <w:sz w:val="22"/>
          <w:szCs w:val="22"/>
          <w:lang w:val="en-US"/>
        </w:rPr>
        <w:t>=</w:t>
      </w:r>
      <w:r w:rsidR="00BE1DE0" w:rsidRPr="002E1DED">
        <w:rPr>
          <w:rFonts w:ascii="Palatino Linotype" w:hAnsi="Palatino Linotype" w:cs="Times New Roman"/>
          <w:i w:val="0"/>
          <w:iCs w:val="0"/>
          <w:color w:val="000000" w:themeColor="text1"/>
          <w:sz w:val="22"/>
          <w:szCs w:val="22"/>
          <w:lang w:val="en-US"/>
        </w:rPr>
        <w:t>2</w:t>
      </w:r>
      <w:r w:rsidRPr="002E1DED">
        <w:rPr>
          <w:rFonts w:ascii="Palatino Linotype" w:hAnsi="Palatino Linotype" w:cs="Times New Roman"/>
          <w:i w:val="0"/>
          <w:iCs w:val="0"/>
          <w:color w:val="000000" w:themeColor="text1"/>
          <w:sz w:val="22"/>
          <w:szCs w:val="22"/>
          <w:lang w:val="en-US"/>
        </w:rPr>
        <w:t>.0 </w:t>
      </w:r>
      <w:proofErr w:type="spellStart"/>
      <w:r w:rsidR="000F2B84" w:rsidRPr="002E1DED">
        <w:rPr>
          <w:rFonts w:ascii="Palatino Linotype" w:hAnsi="Palatino Linotype" w:cs="Times New Roman"/>
          <w:i w:val="0"/>
          <w:iCs w:val="0"/>
          <w:color w:val="000000" w:themeColor="text1"/>
          <w:sz w:val="22"/>
          <w:szCs w:val="22"/>
          <w:lang w:val="en-US"/>
        </w:rPr>
        <w:t>μ</w:t>
      </w:r>
      <w:r w:rsidRPr="002E1DED">
        <w:rPr>
          <w:rFonts w:ascii="Palatino Linotype" w:hAnsi="Palatino Linotype" w:cs="Times New Roman"/>
          <w:i w:val="0"/>
          <w:iCs w:val="0"/>
          <w:color w:val="000000" w:themeColor="text1"/>
          <w:sz w:val="22"/>
          <w:szCs w:val="22"/>
          <w:lang w:val="en-US"/>
        </w:rPr>
        <w:t>M</w:t>
      </w:r>
      <w:proofErr w:type="spellEnd"/>
      <w:proofErr w:type="gramStart"/>
      <w:r w:rsidRPr="002E1DED">
        <w:rPr>
          <w:rFonts w:ascii="Palatino Linotype" w:hAnsi="Palatino Linotype" w:cs="Times New Roman"/>
          <w:i w:val="0"/>
          <w:iCs w:val="0"/>
          <w:color w:val="000000" w:themeColor="text1"/>
          <w:sz w:val="22"/>
          <w:szCs w:val="22"/>
          <w:lang w:val="en-US"/>
        </w:rPr>
        <w:t>);</w:t>
      </w:r>
      <w:proofErr w:type="gramEnd"/>
      <w:r w:rsidR="00D33C86" w:rsidRPr="002E1DED">
        <w:rPr>
          <w:rFonts w:ascii="Palatino Linotype" w:hAnsi="Palatino Linotype" w:cs="Times New Roman"/>
          <w:i w:val="0"/>
          <w:iCs w:val="0"/>
          <w:color w:val="000000" w:themeColor="text1"/>
          <w:sz w:val="22"/>
          <w:szCs w:val="22"/>
          <w:lang w:val="en-US"/>
        </w:rPr>
        <w:t xml:space="preserve"> </w:t>
      </w:r>
    </w:p>
    <w:p w14:paraId="24EFEB71" w14:textId="25A7B06B" w:rsidR="00B967B9" w:rsidRPr="002E1DED" w:rsidRDefault="00B967B9" w:rsidP="00D06ACD">
      <w:pPr>
        <w:pStyle w:val="Caption"/>
        <w:spacing w:after="0"/>
        <w:jc w:val="both"/>
        <w:rPr>
          <w:rFonts w:ascii="Palatino Linotype" w:hAnsi="Palatino Linotype" w:cs="Times New Roman"/>
          <w:i w:val="0"/>
          <w:iCs w:val="0"/>
          <w:color w:val="000000" w:themeColor="text1"/>
          <w:sz w:val="22"/>
          <w:szCs w:val="22"/>
          <w:lang w:val="en-US"/>
        </w:rPr>
      </w:pPr>
      <w:r w:rsidRPr="002E1DED">
        <w:rPr>
          <w:rFonts w:ascii="Palatino Linotype" w:hAnsi="Palatino Linotype" w:cs="Times New Roman"/>
          <w:i w:val="0"/>
          <w:iCs w:val="0"/>
          <w:color w:val="000000" w:themeColor="text1"/>
          <w:sz w:val="22"/>
          <w:szCs w:val="22"/>
          <w:lang w:val="en-US"/>
        </w:rPr>
        <w:t xml:space="preserve">(3) </w:t>
      </w:r>
      <w:r w:rsidR="00D33C86" w:rsidRPr="002E1DED">
        <w:rPr>
          <w:rFonts w:ascii="Palatino Linotype" w:hAnsi="Palatino Linotype" w:cs="Times New Roman"/>
          <w:i w:val="0"/>
          <w:iCs w:val="0"/>
          <w:color w:val="000000" w:themeColor="text1"/>
          <w:sz w:val="22"/>
          <w:szCs w:val="22"/>
          <w:lang w:val="en-US"/>
        </w:rPr>
        <w:t xml:space="preserve">transparent green area is </w:t>
      </w:r>
      <w:r w:rsidR="00D06ACD" w:rsidRPr="002E1DED">
        <w:rPr>
          <w:rFonts w:ascii="Palatino Linotype" w:hAnsi="Palatino Linotype" w:cs="Times New Roman"/>
          <w:i w:val="0"/>
          <w:iCs w:val="0"/>
          <w:color w:val="000000" w:themeColor="text1"/>
          <w:sz w:val="22"/>
          <w:szCs w:val="22"/>
          <w:lang w:val="en-US"/>
        </w:rPr>
        <w:t xml:space="preserve">fluorescence of luminol triggered by ABAP radicals </w:t>
      </w:r>
      <w:r w:rsidRPr="002E1DED">
        <w:rPr>
          <w:rFonts w:ascii="Palatino Linotype" w:hAnsi="Palatino Linotype" w:cs="Times New Roman"/>
          <w:i w:val="0"/>
          <w:iCs w:val="0"/>
          <w:color w:val="000000" w:themeColor="text1"/>
          <w:sz w:val="22"/>
          <w:szCs w:val="22"/>
          <w:lang w:val="en-US"/>
        </w:rPr>
        <w:t>(</w:t>
      </w:r>
      <w:proofErr w:type="spellStart"/>
      <w:r w:rsidRPr="002E1DED">
        <w:rPr>
          <w:rFonts w:ascii="Palatino Linotype" w:hAnsi="Palatino Linotype" w:cs="Times New Roman"/>
          <w:color w:val="000000" w:themeColor="text1"/>
          <w:sz w:val="22"/>
          <w:szCs w:val="22"/>
          <w:lang w:val="en-US"/>
        </w:rPr>
        <w:t>c</w:t>
      </w:r>
      <w:r w:rsidR="00D06ACD" w:rsidRPr="002E1DED">
        <w:rPr>
          <w:rFonts w:ascii="Palatino Linotype" w:hAnsi="Palatino Linotype" w:cs="Times New Roman"/>
          <w:i w:val="0"/>
          <w:iCs w:val="0"/>
          <w:color w:val="000000" w:themeColor="text1"/>
          <w:sz w:val="22"/>
          <w:szCs w:val="22"/>
          <w:vertAlign w:val="subscript"/>
          <w:lang w:val="en-US"/>
        </w:rPr>
        <w:t>ABAP</w:t>
      </w:r>
      <w:proofErr w:type="spellEnd"/>
      <w:r w:rsidRPr="002E1DED">
        <w:rPr>
          <w:rFonts w:ascii="Palatino Linotype" w:hAnsi="Palatino Linotype" w:cs="Times New Roman"/>
          <w:i w:val="0"/>
          <w:iCs w:val="0"/>
          <w:color w:val="000000" w:themeColor="text1"/>
          <w:sz w:val="22"/>
          <w:szCs w:val="22"/>
          <w:lang w:val="en-US"/>
        </w:rPr>
        <w:t>=2.5 mM)</w:t>
      </w:r>
      <w:r w:rsidR="00D33C86" w:rsidRPr="002E1DED">
        <w:rPr>
          <w:rFonts w:ascii="Palatino Linotype" w:hAnsi="Palatino Linotype" w:cs="Times New Roman"/>
          <w:i w:val="0"/>
          <w:iCs w:val="0"/>
          <w:color w:val="000000" w:themeColor="text1"/>
          <w:sz w:val="22"/>
          <w:szCs w:val="22"/>
          <w:lang w:val="en-US"/>
        </w:rPr>
        <w:t xml:space="preserve">. </w:t>
      </w:r>
    </w:p>
    <w:p w14:paraId="6B2BD04B" w14:textId="77777777" w:rsidR="00D06ACD" w:rsidRPr="002E1DED" w:rsidRDefault="00D06ACD" w:rsidP="00D06ACD">
      <w:pPr>
        <w:pStyle w:val="Caption"/>
        <w:spacing w:after="0"/>
        <w:ind w:firstLine="708"/>
        <w:jc w:val="both"/>
        <w:rPr>
          <w:rFonts w:ascii="Palatino Linotype" w:hAnsi="Palatino Linotype" w:cs="Times New Roman"/>
          <w:i w:val="0"/>
          <w:iCs w:val="0"/>
          <w:color w:val="000000" w:themeColor="text1"/>
          <w:sz w:val="22"/>
          <w:szCs w:val="22"/>
          <w:lang w:val="en-US"/>
        </w:rPr>
      </w:pPr>
    </w:p>
    <w:p w14:paraId="031F6A8C" w14:textId="19EFBBD2" w:rsidR="004953A0" w:rsidRPr="002E1DED" w:rsidRDefault="004F2FF4" w:rsidP="00D06ACD">
      <w:pPr>
        <w:pStyle w:val="Caption"/>
        <w:spacing w:after="0"/>
        <w:ind w:firstLine="708"/>
        <w:jc w:val="both"/>
        <w:rPr>
          <w:rFonts w:ascii="Palatino Linotype" w:hAnsi="Palatino Linotype" w:cs="Times New Roman"/>
          <w:i w:val="0"/>
          <w:iCs w:val="0"/>
          <w:color w:val="000000" w:themeColor="text1"/>
          <w:sz w:val="22"/>
          <w:szCs w:val="22"/>
          <w:lang w:val="en-US"/>
        </w:rPr>
      </w:pPr>
      <w:r w:rsidRPr="002E1DED">
        <w:rPr>
          <w:rFonts w:ascii="Palatino Linotype" w:hAnsi="Palatino Linotype" w:cs="Times New Roman"/>
          <w:i w:val="0"/>
          <w:iCs w:val="0"/>
          <w:color w:val="000000" w:themeColor="text1"/>
          <w:sz w:val="22"/>
          <w:szCs w:val="22"/>
          <w:lang w:val="en-US"/>
        </w:rPr>
        <w:t xml:space="preserve">Registration conditions </w:t>
      </w:r>
      <w:r w:rsidR="006524AC" w:rsidRPr="002E1DED">
        <w:rPr>
          <w:rFonts w:ascii="Palatino Linotype" w:hAnsi="Palatino Linotype" w:cs="Times New Roman"/>
          <w:i w:val="0"/>
          <w:iCs w:val="0"/>
          <w:color w:val="000000" w:themeColor="text1"/>
          <w:sz w:val="22"/>
          <w:szCs w:val="22"/>
          <w:lang w:val="en-US"/>
        </w:rPr>
        <w:t>were</w:t>
      </w:r>
      <w:r w:rsidRPr="002E1DED">
        <w:rPr>
          <w:rFonts w:ascii="Palatino Linotype" w:hAnsi="Palatino Linotype" w:cs="Times New Roman"/>
          <w:i w:val="0"/>
          <w:iCs w:val="0"/>
          <w:color w:val="000000" w:themeColor="text1"/>
          <w:sz w:val="22"/>
          <w:szCs w:val="22"/>
          <w:lang w:val="en-US"/>
        </w:rPr>
        <w:t xml:space="preserve"> e</w:t>
      </w:r>
      <w:r w:rsidR="00F12966" w:rsidRPr="002E1DED">
        <w:rPr>
          <w:rFonts w:ascii="Palatino Linotype" w:hAnsi="Palatino Linotype" w:cs="Times New Roman"/>
          <w:i w:val="0"/>
          <w:iCs w:val="0"/>
          <w:color w:val="000000" w:themeColor="text1"/>
          <w:sz w:val="22"/>
          <w:szCs w:val="22"/>
          <w:lang w:val="en-US"/>
        </w:rPr>
        <w:t xml:space="preserve">xcitation and emission slits 5 nm, </w:t>
      </w:r>
      <w:r w:rsidR="0079116F" w:rsidRPr="002E1DED">
        <w:rPr>
          <w:rFonts w:ascii="Palatino Linotype" w:hAnsi="Palatino Linotype" w:cs="Times New Roman"/>
          <w:i w:val="0"/>
          <w:iCs w:val="0"/>
          <w:color w:val="000000" w:themeColor="text1"/>
          <w:sz w:val="22"/>
          <w:szCs w:val="22"/>
          <w:lang w:val="en-US"/>
        </w:rPr>
        <w:t>scanning pitch 1 nm, integration time 0.1s, detector voltage 950 V</w:t>
      </w:r>
      <w:r w:rsidR="008F6043" w:rsidRPr="002E1DED">
        <w:rPr>
          <w:rFonts w:ascii="Palatino Linotype" w:hAnsi="Palatino Linotype" w:cs="Times New Roman"/>
          <w:i w:val="0"/>
          <w:iCs w:val="0"/>
          <w:color w:val="000000" w:themeColor="text1"/>
          <w:sz w:val="22"/>
          <w:szCs w:val="22"/>
          <w:lang w:val="en-US"/>
        </w:rPr>
        <w:t>, pH</w:t>
      </w:r>
      <w:r w:rsidR="008F6043" w:rsidRPr="002E1DED">
        <w:rPr>
          <w:rFonts w:cs="Times New Roman"/>
          <w:i w:val="0"/>
          <w:iCs w:val="0"/>
          <w:color w:val="000000" w:themeColor="text1"/>
          <w:sz w:val="22"/>
          <w:szCs w:val="22"/>
          <w:lang w:val="en-US"/>
        </w:rPr>
        <w:t> </w:t>
      </w:r>
      <w:r w:rsidR="008F6043" w:rsidRPr="002E1DED">
        <w:rPr>
          <w:rFonts w:ascii="Palatino Linotype" w:hAnsi="Palatino Linotype" w:cs="Times New Roman"/>
          <w:i w:val="0"/>
          <w:iCs w:val="0"/>
          <w:color w:val="000000" w:themeColor="text1"/>
          <w:sz w:val="22"/>
          <w:szCs w:val="22"/>
          <w:lang w:val="en-US"/>
        </w:rPr>
        <w:t>7.4 (phosphate buffer)</w:t>
      </w:r>
      <w:r w:rsidRPr="002E1DED">
        <w:rPr>
          <w:rFonts w:ascii="Palatino Linotype" w:hAnsi="Palatino Linotype" w:cs="Times New Roman"/>
          <w:i w:val="0"/>
          <w:iCs w:val="0"/>
          <w:color w:val="000000" w:themeColor="text1"/>
          <w:sz w:val="22"/>
          <w:szCs w:val="22"/>
          <w:lang w:val="en-US"/>
        </w:rPr>
        <w:t xml:space="preserve"> at 293K.</w:t>
      </w:r>
    </w:p>
    <w:bookmarkEnd w:id="13"/>
    <w:p w14:paraId="0136EDDD" w14:textId="77777777" w:rsidR="00D33C86" w:rsidRPr="002E1DED" w:rsidRDefault="00D33C86" w:rsidP="002B58EE">
      <w:pPr>
        <w:rPr>
          <w:rFonts w:ascii="Palatino Linotype" w:eastAsiaTheme="minorEastAsia" w:hAnsi="Palatino Linotype" w:cs="Times New Roman"/>
          <w:color w:val="000000" w:themeColor="text1"/>
          <w:sz w:val="24"/>
          <w:szCs w:val="24"/>
          <w:lang w:val="en-US"/>
        </w:rPr>
        <w:sectPr w:rsidR="00D33C86" w:rsidRPr="002E1DED" w:rsidSect="00D33C86">
          <w:pgSz w:w="16838" w:h="11906" w:orient="landscape"/>
          <w:pgMar w:top="567" w:right="1134" w:bottom="1701" w:left="1134" w:header="709" w:footer="709" w:gutter="0"/>
          <w:cols w:space="708"/>
          <w:docGrid w:linePitch="360"/>
        </w:sect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1"/>
        <w:gridCol w:w="3596"/>
      </w:tblGrid>
      <w:tr w:rsidR="002E1DED" w:rsidRPr="00BA007E" w14:paraId="5B152E39" w14:textId="77777777" w:rsidTr="00005C8E">
        <w:trPr>
          <w:trHeight w:val="3637"/>
        </w:trPr>
        <w:tc>
          <w:tcPr>
            <w:tcW w:w="6151" w:type="dxa"/>
          </w:tcPr>
          <w:p w14:paraId="064084F3" w14:textId="77777777" w:rsidR="00E14152" w:rsidRPr="002E1DED" w:rsidRDefault="00D30AC1" w:rsidP="00005C8E">
            <w:pPr>
              <w:jc w:val="center"/>
              <w:rPr>
                <w:rFonts w:ascii="Palatino Linotype" w:hAnsi="Palatino Linotype" w:cs="Times New Roman"/>
                <w:color w:val="000000" w:themeColor="text1"/>
                <w:sz w:val="24"/>
                <w:szCs w:val="24"/>
                <w:lang w:val="en-US"/>
              </w:rPr>
            </w:pPr>
            <w:r w:rsidRPr="002E1DED">
              <w:rPr>
                <w:rFonts w:ascii="Palatino Linotype" w:hAnsi="Palatino Linotype" w:cs="Times New Roman"/>
                <w:color w:val="000000" w:themeColor="text1"/>
                <w:sz w:val="24"/>
                <w:szCs w:val="24"/>
                <w:lang w:val="en-US"/>
              </w:rPr>
              <w:lastRenderedPageBreak/>
              <w:br w:type="column"/>
            </w:r>
            <w:r w:rsidR="00E14152" w:rsidRPr="002E1DED">
              <w:rPr>
                <w:rFonts w:ascii="Palatino Linotype" w:eastAsiaTheme="minorEastAsia" w:hAnsi="Palatino Linotype" w:cs="Times New Roman"/>
                <w:noProof/>
                <w:color w:val="000000" w:themeColor="text1"/>
                <w:sz w:val="24"/>
                <w:szCs w:val="24"/>
                <w:lang w:val="en-US"/>
              </w:rPr>
              <w:drawing>
                <wp:inline distT="0" distB="0" distL="0" distR="0" wp14:anchorId="1C383373" wp14:editId="6258FB82">
                  <wp:extent cx="3232150" cy="2368768"/>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l="1892" t="9690" r="13101" b="7364"/>
                          <a:stretch/>
                        </pic:blipFill>
                        <pic:spPr bwMode="auto">
                          <a:xfrm>
                            <a:off x="0" y="0"/>
                            <a:ext cx="3243124" cy="2376811"/>
                          </a:xfrm>
                          <a:prstGeom prst="rect">
                            <a:avLst/>
                          </a:prstGeom>
                          <a:noFill/>
                          <a:ln>
                            <a:noFill/>
                          </a:ln>
                          <a:extLst>
                            <a:ext uri="{53640926-AAD7-44D8-BBD7-CCE9431645EC}">
                              <a14:shadowObscured xmlns:a14="http://schemas.microsoft.com/office/drawing/2010/main"/>
                            </a:ext>
                          </a:extLst>
                        </pic:spPr>
                      </pic:pic>
                    </a:graphicData>
                  </a:graphic>
                </wp:inline>
              </w:drawing>
            </w:r>
          </w:p>
          <w:p w14:paraId="67C5308C" w14:textId="3F91865D" w:rsidR="00543600" w:rsidRPr="002E1DED" w:rsidRDefault="00543600" w:rsidP="00005C8E">
            <w:pPr>
              <w:jc w:val="center"/>
              <w:rPr>
                <w:rFonts w:ascii="Palatino Linotype" w:hAnsi="Palatino Linotype" w:cs="Times New Roman"/>
                <w:color w:val="000000" w:themeColor="text1"/>
                <w:sz w:val="24"/>
                <w:szCs w:val="24"/>
                <w:lang w:val="en-US"/>
              </w:rPr>
            </w:pPr>
            <w:r w:rsidRPr="002E1DED">
              <w:rPr>
                <w:rFonts w:ascii="Palatino Linotype" w:hAnsi="Palatino Linotype" w:cs="Times New Roman"/>
                <w:color w:val="000000" w:themeColor="text1"/>
                <w:sz w:val="24"/>
                <w:szCs w:val="24"/>
                <w:lang w:val="en-US"/>
              </w:rPr>
              <w:t>(</w:t>
            </w:r>
            <w:r w:rsidRPr="002E1DED">
              <w:rPr>
                <w:rFonts w:ascii="Palatino Linotype" w:hAnsi="Palatino Linotype" w:cs="Times New Roman"/>
                <w:b/>
                <w:bCs/>
                <w:color w:val="000000" w:themeColor="text1"/>
                <w:sz w:val="24"/>
                <w:szCs w:val="24"/>
                <w:lang w:val="en-US"/>
              </w:rPr>
              <w:t>a</w:t>
            </w:r>
            <w:r w:rsidRPr="002E1DED">
              <w:rPr>
                <w:rFonts w:ascii="Palatino Linotype" w:hAnsi="Palatino Linotype" w:cs="Times New Roman"/>
                <w:color w:val="000000" w:themeColor="text1"/>
                <w:sz w:val="24"/>
                <w:szCs w:val="24"/>
                <w:lang w:val="en-US"/>
              </w:rPr>
              <w:t>)</w:t>
            </w:r>
          </w:p>
        </w:tc>
        <w:tc>
          <w:tcPr>
            <w:tcW w:w="3596" w:type="dxa"/>
            <w:vMerge w:val="restart"/>
            <w:vAlign w:val="center"/>
          </w:tcPr>
          <w:p w14:paraId="6E436D1A" w14:textId="3BBD1733" w:rsidR="00E14152" w:rsidRPr="002E1DED" w:rsidRDefault="00E14152" w:rsidP="00005C8E">
            <w:pPr>
              <w:jc w:val="both"/>
              <w:rPr>
                <w:rFonts w:ascii="Palatino Linotype" w:hAnsi="Palatino Linotype" w:cs="Times New Roman"/>
                <w:color w:val="000000" w:themeColor="text1"/>
                <w:sz w:val="22"/>
                <w:lang w:val="en-US"/>
              </w:rPr>
            </w:pPr>
            <w:bookmarkStart w:id="14" w:name="_Ref70075733"/>
            <w:r w:rsidRPr="002E1DED">
              <w:rPr>
                <w:rFonts w:ascii="Palatino Linotype" w:hAnsi="Palatino Linotype" w:cs="Times New Roman"/>
                <w:color w:val="000000" w:themeColor="text1"/>
                <w:sz w:val="22"/>
                <w:lang w:val="en-US"/>
              </w:rPr>
              <w:t>Figure S</w:t>
            </w:r>
            <w:r w:rsidRPr="002E1DED">
              <w:rPr>
                <w:rFonts w:ascii="Palatino Linotype" w:hAnsi="Palatino Linotype" w:cs="Times New Roman"/>
                <w:i/>
                <w:iCs/>
                <w:color w:val="000000" w:themeColor="text1"/>
                <w:sz w:val="22"/>
              </w:rPr>
              <w:fldChar w:fldCharType="begin"/>
            </w:r>
            <w:r w:rsidRPr="002E1DED">
              <w:rPr>
                <w:rFonts w:ascii="Palatino Linotype" w:hAnsi="Palatino Linotype" w:cs="Times New Roman"/>
                <w:color w:val="000000" w:themeColor="text1"/>
                <w:sz w:val="22"/>
                <w:lang w:val="en-US"/>
              </w:rPr>
              <w:instrText xml:space="preserve"> SEQ Figure_S. \* ARABIC </w:instrText>
            </w:r>
            <w:r w:rsidRPr="002E1DED">
              <w:rPr>
                <w:rFonts w:ascii="Palatino Linotype" w:hAnsi="Palatino Linotype" w:cs="Times New Roman"/>
                <w:i/>
                <w:iCs/>
                <w:color w:val="000000" w:themeColor="text1"/>
                <w:sz w:val="22"/>
              </w:rPr>
              <w:fldChar w:fldCharType="separate"/>
            </w:r>
            <w:r w:rsidRPr="002E1DED">
              <w:rPr>
                <w:rFonts w:ascii="Palatino Linotype" w:hAnsi="Palatino Linotype" w:cs="Times New Roman"/>
                <w:noProof/>
                <w:color w:val="000000" w:themeColor="text1"/>
                <w:sz w:val="22"/>
                <w:lang w:val="en-US"/>
              </w:rPr>
              <w:t>2</w:t>
            </w:r>
            <w:r w:rsidRPr="002E1DED">
              <w:rPr>
                <w:rFonts w:ascii="Palatino Linotype" w:hAnsi="Palatino Linotype" w:cs="Times New Roman"/>
                <w:i/>
                <w:iCs/>
                <w:color w:val="000000" w:themeColor="text1"/>
                <w:sz w:val="22"/>
              </w:rPr>
              <w:fldChar w:fldCharType="end"/>
            </w:r>
            <w:bookmarkEnd w:id="14"/>
            <w:r w:rsidRPr="002E1DED">
              <w:rPr>
                <w:rFonts w:ascii="Palatino Linotype" w:hAnsi="Palatino Linotype" w:cs="Times New Roman"/>
                <w:color w:val="000000" w:themeColor="text1"/>
                <w:sz w:val="22"/>
                <w:lang w:val="en-US"/>
              </w:rPr>
              <w:t>.</w:t>
            </w:r>
          </w:p>
          <w:p w14:paraId="40981208" w14:textId="77777777" w:rsidR="00DB229E" w:rsidRPr="002E1DED" w:rsidRDefault="00DB229E" w:rsidP="00005C8E">
            <w:pPr>
              <w:jc w:val="both"/>
              <w:rPr>
                <w:rFonts w:ascii="Palatino Linotype" w:hAnsi="Palatino Linotype" w:cs="Times New Roman"/>
                <w:color w:val="000000" w:themeColor="text1"/>
                <w:sz w:val="22"/>
                <w:lang w:val="en-US"/>
              </w:rPr>
            </w:pPr>
          </w:p>
          <w:p w14:paraId="20E86793" w14:textId="068B2CE9" w:rsidR="0087741C" w:rsidRPr="002E1DED" w:rsidRDefault="00E14152" w:rsidP="00005C8E">
            <w:pPr>
              <w:pStyle w:val="Caption"/>
              <w:spacing w:after="0"/>
              <w:jc w:val="both"/>
              <w:rPr>
                <w:rFonts w:ascii="Palatino Linotype" w:hAnsi="Palatino Linotype" w:cs="Times New Roman"/>
                <w:i w:val="0"/>
                <w:iCs w:val="0"/>
                <w:color w:val="000000" w:themeColor="text1"/>
                <w:sz w:val="22"/>
                <w:szCs w:val="22"/>
                <w:lang w:val="en-US"/>
              </w:rPr>
            </w:pPr>
            <w:r w:rsidRPr="002E1DED">
              <w:rPr>
                <w:rFonts w:ascii="Palatino Linotype" w:hAnsi="Palatino Linotype" w:cs="Times New Roman"/>
                <w:i w:val="0"/>
                <w:iCs w:val="0"/>
                <w:color w:val="000000" w:themeColor="text1"/>
                <w:sz w:val="22"/>
                <w:szCs w:val="22"/>
                <w:lang w:val="en-US"/>
              </w:rPr>
              <w:t xml:space="preserve">The fluorescent spectra of </w:t>
            </w:r>
            <w:r w:rsidR="0087741C" w:rsidRPr="002E1DED">
              <w:rPr>
                <w:rFonts w:ascii="Palatino Linotype" w:hAnsi="Palatino Linotype" w:cs="Times New Roman"/>
                <w:i w:val="0"/>
                <w:iCs w:val="0"/>
                <w:color w:val="000000" w:themeColor="text1"/>
                <w:sz w:val="22"/>
                <w:szCs w:val="22"/>
                <w:lang w:val="en-US"/>
              </w:rPr>
              <w:t>luminol (</w:t>
            </w:r>
            <w:proofErr w:type="spellStart"/>
            <w:r w:rsidR="0087741C" w:rsidRPr="002E1DED">
              <w:rPr>
                <w:rFonts w:ascii="Palatino Linotype" w:hAnsi="Palatino Linotype" w:cs="Times New Roman"/>
                <w:color w:val="000000" w:themeColor="text1"/>
                <w:sz w:val="22"/>
                <w:szCs w:val="22"/>
                <w:lang w:val="en-US"/>
              </w:rPr>
              <w:t>c</w:t>
            </w:r>
            <w:r w:rsidR="0087741C" w:rsidRPr="002E1DED">
              <w:rPr>
                <w:rFonts w:ascii="Palatino Linotype" w:hAnsi="Palatino Linotype" w:cs="Times New Roman"/>
                <w:i w:val="0"/>
                <w:iCs w:val="0"/>
                <w:color w:val="000000" w:themeColor="text1"/>
                <w:sz w:val="22"/>
                <w:szCs w:val="22"/>
                <w:vertAlign w:val="subscript"/>
                <w:lang w:val="en-US"/>
              </w:rPr>
              <w:t>Luminol</w:t>
            </w:r>
            <w:proofErr w:type="spellEnd"/>
            <w:r w:rsidR="0087741C" w:rsidRPr="002E1DED">
              <w:rPr>
                <w:rFonts w:ascii="Palatino Linotype" w:hAnsi="Palatino Linotype" w:cs="Times New Roman"/>
                <w:i w:val="0"/>
                <w:iCs w:val="0"/>
                <w:color w:val="000000" w:themeColor="text1"/>
                <w:sz w:val="22"/>
                <w:szCs w:val="22"/>
                <w:lang w:val="en-US"/>
              </w:rPr>
              <w:t>=2.0 </w:t>
            </w:r>
            <w:proofErr w:type="spellStart"/>
            <w:r w:rsidR="000F2B84" w:rsidRPr="002E1DED">
              <w:rPr>
                <w:rFonts w:ascii="Palatino Linotype" w:hAnsi="Palatino Linotype" w:cs="Times New Roman"/>
                <w:i w:val="0"/>
                <w:iCs w:val="0"/>
                <w:color w:val="000000" w:themeColor="text1"/>
                <w:sz w:val="22"/>
                <w:szCs w:val="22"/>
                <w:lang w:val="en-US"/>
              </w:rPr>
              <w:t>μ</w:t>
            </w:r>
            <w:r w:rsidR="0087741C" w:rsidRPr="002E1DED">
              <w:rPr>
                <w:rFonts w:ascii="Palatino Linotype" w:hAnsi="Palatino Linotype" w:cs="Times New Roman"/>
                <w:i w:val="0"/>
                <w:iCs w:val="0"/>
                <w:color w:val="000000" w:themeColor="text1"/>
                <w:sz w:val="22"/>
                <w:szCs w:val="22"/>
                <w:lang w:val="en-US"/>
              </w:rPr>
              <w:t>M</w:t>
            </w:r>
            <w:proofErr w:type="spellEnd"/>
            <w:r w:rsidR="0087741C" w:rsidRPr="002E1DED">
              <w:rPr>
                <w:rFonts w:ascii="Palatino Linotype" w:hAnsi="Palatino Linotype" w:cs="Times New Roman"/>
                <w:i w:val="0"/>
                <w:iCs w:val="0"/>
                <w:color w:val="000000" w:themeColor="text1"/>
                <w:sz w:val="22"/>
                <w:szCs w:val="22"/>
                <w:lang w:val="en-US"/>
              </w:rPr>
              <w:t xml:space="preserve">) pristine and adding </w:t>
            </w:r>
            <w:r w:rsidRPr="002E1DED">
              <w:rPr>
                <w:rFonts w:ascii="Palatino Linotype" w:hAnsi="Palatino Linotype" w:cs="Times New Roman"/>
                <w:i w:val="0"/>
                <w:iCs w:val="0"/>
                <w:color w:val="000000" w:themeColor="text1"/>
                <w:sz w:val="22"/>
                <w:szCs w:val="22"/>
                <w:lang w:val="en-US"/>
              </w:rPr>
              <w:t xml:space="preserve">aqueous fullerene dispersions </w:t>
            </w:r>
            <w:r w:rsidR="007C11D3" w:rsidRPr="002E1DED">
              <w:rPr>
                <w:rFonts w:ascii="Palatino Linotype" w:hAnsi="Palatino Linotype" w:cs="Times New Roman"/>
                <w:i w:val="0"/>
                <w:iCs w:val="0"/>
                <w:color w:val="000000" w:themeColor="text1"/>
                <w:sz w:val="22"/>
                <w:szCs w:val="22"/>
                <w:lang w:val="en-US"/>
              </w:rPr>
              <w:t xml:space="preserve">(AFD) </w:t>
            </w:r>
            <w:r w:rsidRPr="002E1DED">
              <w:rPr>
                <w:rFonts w:ascii="Palatino Linotype" w:hAnsi="Palatino Linotype" w:cs="Times New Roman"/>
                <w:i w:val="0"/>
                <w:iCs w:val="0"/>
                <w:color w:val="000000" w:themeColor="text1"/>
                <w:sz w:val="22"/>
                <w:szCs w:val="22"/>
                <w:lang w:val="en-US"/>
              </w:rPr>
              <w:t>C</w:t>
            </w:r>
            <w:r w:rsidRPr="002E1DED">
              <w:rPr>
                <w:rFonts w:ascii="Palatino Linotype" w:hAnsi="Palatino Linotype" w:cs="Times New Roman"/>
                <w:i w:val="0"/>
                <w:iCs w:val="0"/>
                <w:color w:val="000000" w:themeColor="text1"/>
                <w:sz w:val="22"/>
                <w:szCs w:val="22"/>
                <w:vertAlign w:val="subscript"/>
                <w:lang w:val="en-US"/>
              </w:rPr>
              <w:t>60</w:t>
            </w:r>
            <w:r w:rsidRPr="002E1DED">
              <w:rPr>
                <w:rFonts w:ascii="Palatino Linotype" w:hAnsi="Palatino Linotype" w:cs="Times New Roman"/>
                <w:i w:val="0"/>
                <w:iCs w:val="0"/>
                <w:color w:val="000000" w:themeColor="text1"/>
                <w:sz w:val="22"/>
                <w:szCs w:val="22"/>
                <w:lang w:val="en-US"/>
              </w:rPr>
              <w:t>, C</w:t>
            </w:r>
            <w:r w:rsidRPr="002E1DED">
              <w:rPr>
                <w:rFonts w:ascii="Palatino Linotype" w:hAnsi="Palatino Linotype" w:cs="Times New Roman"/>
                <w:i w:val="0"/>
                <w:iCs w:val="0"/>
                <w:color w:val="000000" w:themeColor="text1"/>
                <w:sz w:val="22"/>
                <w:szCs w:val="22"/>
                <w:vertAlign w:val="subscript"/>
                <w:lang w:val="en-US"/>
              </w:rPr>
              <w:t>70</w:t>
            </w:r>
            <w:r w:rsidRPr="002E1DED">
              <w:rPr>
                <w:rFonts w:ascii="Palatino Linotype" w:hAnsi="Palatino Linotype" w:cs="Times New Roman"/>
                <w:i w:val="0"/>
                <w:iCs w:val="0"/>
                <w:color w:val="000000" w:themeColor="text1"/>
                <w:sz w:val="22"/>
                <w:szCs w:val="22"/>
                <w:lang w:val="en-US"/>
              </w:rPr>
              <w:t>, and Gd@C</w:t>
            </w:r>
            <w:r w:rsidRPr="002E1DED">
              <w:rPr>
                <w:rFonts w:ascii="Palatino Linotype" w:hAnsi="Palatino Linotype" w:cs="Times New Roman"/>
                <w:i w:val="0"/>
                <w:iCs w:val="0"/>
                <w:color w:val="000000" w:themeColor="text1"/>
                <w:sz w:val="22"/>
                <w:szCs w:val="22"/>
                <w:vertAlign w:val="subscript"/>
                <w:lang w:val="en-US"/>
              </w:rPr>
              <w:t>82</w:t>
            </w:r>
            <w:r w:rsidRPr="002E1DED">
              <w:rPr>
                <w:rFonts w:ascii="Palatino Linotype" w:hAnsi="Palatino Linotype" w:cs="Times New Roman"/>
                <w:i w:val="0"/>
                <w:iCs w:val="0"/>
                <w:color w:val="000000" w:themeColor="text1"/>
                <w:sz w:val="22"/>
                <w:szCs w:val="22"/>
                <w:lang w:val="en-US"/>
              </w:rPr>
              <w:t xml:space="preserve"> </w:t>
            </w:r>
            <w:r w:rsidR="007C11D3" w:rsidRPr="002E1DED">
              <w:rPr>
                <w:rFonts w:ascii="Palatino Linotype" w:hAnsi="Palatino Linotype" w:cs="Times New Roman"/>
                <w:i w:val="0"/>
                <w:iCs w:val="0"/>
                <w:color w:val="000000" w:themeColor="text1"/>
                <w:sz w:val="22"/>
                <w:szCs w:val="22"/>
                <w:lang w:val="en-US"/>
              </w:rPr>
              <w:t xml:space="preserve">act as a quencher </w:t>
            </w:r>
            <w:r w:rsidRPr="002E1DED">
              <w:rPr>
                <w:rFonts w:ascii="Palatino Linotype" w:hAnsi="Palatino Linotype" w:cs="Times New Roman"/>
                <w:i w:val="0"/>
                <w:iCs w:val="0"/>
                <w:color w:val="000000" w:themeColor="text1"/>
                <w:sz w:val="22"/>
                <w:szCs w:val="22"/>
                <w:lang w:val="en-US"/>
              </w:rPr>
              <w:t>at 350 nm excitation wavelength, emission spectra registered 400–700 nm with maxima signal at 4</w:t>
            </w:r>
            <w:r w:rsidR="006442C4" w:rsidRPr="002E1DED">
              <w:rPr>
                <w:rFonts w:ascii="Palatino Linotype" w:hAnsi="Palatino Linotype" w:cs="Times New Roman"/>
                <w:i w:val="0"/>
                <w:iCs w:val="0"/>
                <w:color w:val="000000" w:themeColor="text1"/>
                <w:sz w:val="22"/>
                <w:szCs w:val="22"/>
                <w:lang w:val="en-US"/>
              </w:rPr>
              <w:t>28</w:t>
            </w:r>
            <w:r w:rsidRPr="002E1DED">
              <w:rPr>
                <w:rFonts w:ascii="Palatino Linotype" w:hAnsi="Palatino Linotype" w:cs="Times New Roman"/>
                <w:i w:val="0"/>
                <w:iCs w:val="0"/>
                <w:color w:val="000000" w:themeColor="text1"/>
                <w:sz w:val="22"/>
                <w:szCs w:val="22"/>
                <w:lang w:val="en-US"/>
              </w:rPr>
              <w:t> nm.</w:t>
            </w:r>
          </w:p>
          <w:p w14:paraId="63254C50" w14:textId="77777777" w:rsidR="0087741C" w:rsidRPr="002E1DED" w:rsidRDefault="0087741C" w:rsidP="00005C8E">
            <w:pPr>
              <w:rPr>
                <w:rFonts w:ascii="Palatino Linotype" w:hAnsi="Palatino Linotype"/>
                <w:color w:val="000000" w:themeColor="text1"/>
                <w:sz w:val="22"/>
                <w:lang w:val="en-US"/>
              </w:rPr>
            </w:pPr>
          </w:p>
          <w:p w14:paraId="20E77952" w14:textId="488B3E78" w:rsidR="00E14152" w:rsidRPr="002E1DED" w:rsidRDefault="007C11D3" w:rsidP="00005C8E">
            <w:pPr>
              <w:pStyle w:val="Caption"/>
              <w:spacing w:after="0"/>
              <w:rPr>
                <w:rFonts w:ascii="Palatino Linotype" w:hAnsi="Palatino Linotype" w:cs="Times New Roman"/>
                <w:i w:val="0"/>
                <w:iCs w:val="0"/>
                <w:color w:val="000000" w:themeColor="text1"/>
                <w:sz w:val="22"/>
                <w:szCs w:val="22"/>
                <w:lang w:val="en-US"/>
              </w:rPr>
            </w:pPr>
            <w:r w:rsidRPr="002E1DED">
              <w:rPr>
                <w:rFonts w:ascii="Palatino Linotype" w:hAnsi="Palatino Linotype" w:cs="Times New Roman"/>
                <w:i w:val="0"/>
                <w:iCs w:val="0"/>
                <w:color w:val="000000" w:themeColor="text1"/>
                <w:sz w:val="22"/>
                <w:szCs w:val="22"/>
                <w:lang w:val="en-US"/>
              </w:rPr>
              <w:t>(</w:t>
            </w:r>
            <w:r w:rsidRPr="002E1DED">
              <w:rPr>
                <w:rFonts w:ascii="Palatino Linotype" w:hAnsi="Palatino Linotype" w:cs="Times New Roman"/>
                <w:b/>
                <w:bCs/>
                <w:i w:val="0"/>
                <w:iCs w:val="0"/>
                <w:color w:val="000000" w:themeColor="text1"/>
                <w:sz w:val="22"/>
                <w:szCs w:val="22"/>
                <w:lang w:val="en-US"/>
              </w:rPr>
              <w:t>a</w:t>
            </w:r>
            <w:r w:rsidRPr="002E1DED">
              <w:rPr>
                <w:rFonts w:ascii="Palatino Linotype" w:hAnsi="Palatino Linotype" w:cs="Times New Roman"/>
                <w:i w:val="0"/>
                <w:iCs w:val="0"/>
                <w:color w:val="000000" w:themeColor="text1"/>
                <w:sz w:val="22"/>
                <w:szCs w:val="22"/>
                <w:lang w:val="en-US"/>
              </w:rPr>
              <w:t>) AFD C</w:t>
            </w:r>
            <w:r w:rsidRPr="002E1DED">
              <w:rPr>
                <w:rFonts w:ascii="Palatino Linotype" w:hAnsi="Palatino Linotype" w:cs="Times New Roman"/>
                <w:i w:val="0"/>
                <w:iCs w:val="0"/>
                <w:color w:val="000000" w:themeColor="text1"/>
                <w:sz w:val="22"/>
                <w:szCs w:val="22"/>
                <w:vertAlign w:val="subscript"/>
                <w:lang w:val="en-US"/>
              </w:rPr>
              <w:t>60</w:t>
            </w:r>
            <w:r w:rsidRPr="002E1DED">
              <w:rPr>
                <w:rFonts w:ascii="Palatino Linotype" w:hAnsi="Palatino Linotype" w:cs="Times New Roman"/>
                <w:i w:val="0"/>
                <w:iCs w:val="0"/>
                <w:color w:val="000000" w:themeColor="text1"/>
                <w:sz w:val="22"/>
                <w:szCs w:val="22"/>
                <w:lang w:val="en-US"/>
              </w:rPr>
              <w:t xml:space="preserve">; </w:t>
            </w:r>
            <w:r w:rsidR="0087741C" w:rsidRPr="002E1DED">
              <w:rPr>
                <w:rFonts w:ascii="Palatino Linotype" w:hAnsi="Palatino Linotype" w:cs="Times New Roman"/>
                <w:i w:val="0"/>
                <w:iCs w:val="0"/>
                <w:color w:val="000000" w:themeColor="text1"/>
                <w:sz w:val="22"/>
                <w:szCs w:val="22"/>
                <w:lang w:val="en-US"/>
              </w:rPr>
              <w:br/>
            </w:r>
            <w:r w:rsidRPr="002E1DED">
              <w:rPr>
                <w:rFonts w:ascii="Palatino Linotype" w:hAnsi="Palatino Linotype" w:cs="Times New Roman"/>
                <w:i w:val="0"/>
                <w:iCs w:val="0"/>
                <w:color w:val="000000" w:themeColor="text1"/>
                <w:sz w:val="22"/>
                <w:szCs w:val="22"/>
                <w:lang w:val="en-US"/>
              </w:rPr>
              <w:t>(</w:t>
            </w:r>
            <w:r w:rsidRPr="002E1DED">
              <w:rPr>
                <w:rFonts w:ascii="Palatino Linotype" w:hAnsi="Palatino Linotype" w:cs="Times New Roman"/>
                <w:b/>
                <w:bCs/>
                <w:i w:val="0"/>
                <w:iCs w:val="0"/>
                <w:color w:val="000000" w:themeColor="text1"/>
                <w:sz w:val="22"/>
                <w:szCs w:val="22"/>
                <w:lang w:val="en-US"/>
              </w:rPr>
              <w:t>b</w:t>
            </w:r>
            <w:r w:rsidRPr="002E1DED">
              <w:rPr>
                <w:rFonts w:ascii="Palatino Linotype" w:hAnsi="Palatino Linotype" w:cs="Times New Roman"/>
                <w:i w:val="0"/>
                <w:iCs w:val="0"/>
                <w:color w:val="000000" w:themeColor="text1"/>
                <w:sz w:val="22"/>
                <w:szCs w:val="22"/>
                <w:lang w:val="en-US"/>
              </w:rPr>
              <w:t>) AFD C</w:t>
            </w:r>
            <w:r w:rsidRPr="002E1DED">
              <w:rPr>
                <w:rFonts w:ascii="Palatino Linotype" w:hAnsi="Palatino Linotype" w:cs="Times New Roman"/>
                <w:i w:val="0"/>
                <w:iCs w:val="0"/>
                <w:color w:val="000000" w:themeColor="text1"/>
                <w:sz w:val="22"/>
                <w:szCs w:val="22"/>
                <w:vertAlign w:val="subscript"/>
                <w:lang w:val="en-US"/>
              </w:rPr>
              <w:t>70</w:t>
            </w:r>
            <w:r w:rsidRPr="002E1DED">
              <w:rPr>
                <w:rFonts w:ascii="Palatino Linotype" w:hAnsi="Palatino Linotype" w:cs="Times New Roman"/>
                <w:i w:val="0"/>
                <w:iCs w:val="0"/>
                <w:color w:val="000000" w:themeColor="text1"/>
                <w:sz w:val="22"/>
                <w:szCs w:val="22"/>
                <w:lang w:val="en-US"/>
              </w:rPr>
              <w:t xml:space="preserve">; </w:t>
            </w:r>
            <w:r w:rsidR="0087741C" w:rsidRPr="002E1DED">
              <w:rPr>
                <w:rFonts w:ascii="Palatino Linotype" w:hAnsi="Palatino Linotype" w:cs="Times New Roman"/>
                <w:i w:val="0"/>
                <w:iCs w:val="0"/>
                <w:color w:val="000000" w:themeColor="text1"/>
                <w:sz w:val="22"/>
                <w:szCs w:val="22"/>
                <w:lang w:val="en-US"/>
              </w:rPr>
              <w:br/>
            </w:r>
            <w:r w:rsidRPr="002E1DED">
              <w:rPr>
                <w:rFonts w:ascii="Palatino Linotype" w:hAnsi="Palatino Linotype" w:cs="Times New Roman"/>
                <w:i w:val="0"/>
                <w:iCs w:val="0"/>
                <w:color w:val="000000" w:themeColor="text1"/>
                <w:sz w:val="22"/>
                <w:szCs w:val="22"/>
                <w:lang w:val="en-US"/>
              </w:rPr>
              <w:t>(</w:t>
            </w:r>
            <w:r w:rsidRPr="002E1DED">
              <w:rPr>
                <w:rFonts w:ascii="Palatino Linotype" w:hAnsi="Palatino Linotype" w:cs="Times New Roman"/>
                <w:b/>
                <w:bCs/>
                <w:i w:val="0"/>
                <w:iCs w:val="0"/>
                <w:color w:val="000000" w:themeColor="text1"/>
                <w:sz w:val="22"/>
                <w:szCs w:val="22"/>
                <w:lang w:val="en-US"/>
              </w:rPr>
              <w:t>c</w:t>
            </w:r>
            <w:r w:rsidRPr="002E1DED">
              <w:rPr>
                <w:rFonts w:ascii="Palatino Linotype" w:hAnsi="Palatino Linotype" w:cs="Times New Roman"/>
                <w:i w:val="0"/>
                <w:iCs w:val="0"/>
                <w:color w:val="000000" w:themeColor="text1"/>
                <w:sz w:val="22"/>
                <w:szCs w:val="22"/>
                <w:lang w:val="en-US"/>
              </w:rPr>
              <w:t>) AFD Gd@C</w:t>
            </w:r>
            <w:r w:rsidRPr="002E1DED">
              <w:rPr>
                <w:rFonts w:ascii="Palatino Linotype" w:hAnsi="Palatino Linotype" w:cs="Times New Roman"/>
                <w:i w:val="0"/>
                <w:iCs w:val="0"/>
                <w:color w:val="000000" w:themeColor="text1"/>
                <w:sz w:val="22"/>
                <w:szCs w:val="22"/>
                <w:vertAlign w:val="subscript"/>
                <w:lang w:val="en-US"/>
              </w:rPr>
              <w:t>82</w:t>
            </w:r>
            <w:r w:rsidR="00667E35" w:rsidRPr="002E1DED">
              <w:rPr>
                <w:rFonts w:ascii="Palatino Linotype" w:hAnsi="Palatino Linotype" w:cs="Times New Roman"/>
                <w:i w:val="0"/>
                <w:iCs w:val="0"/>
                <w:color w:val="000000" w:themeColor="text1"/>
                <w:sz w:val="22"/>
                <w:szCs w:val="22"/>
                <w:lang w:val="en-US"/>
              </w:rPr>
              <w:t>.</w:t>
            </w:r>
          </w:p>
          <w:p w14:paraId="768C71FE" w14:textId="77777777" w:rsidR="006442C4" w:rsidRPr="002E1DED" w:rsidRDefault="006442C4" w:rsidP="00005C8E">
            <w:pPr>
              <w:rPr>
                <w:rFonts w:ascii="Palatino Linotype" w:hAnsi="Palatino Linotype" w:cs="Times New Roman"/>
                <w:color w:val="000000" w:themeColor="text1"/>
                <w:sz w:val="22"/>
                <w:lang w:val="en-US"/>
              </w:rPr>
            </w:pPr>
          </w:p>
          <w:p w14:paraId="6B260033" w14:textId="3706D705" w:rsidR="00E14152" w:rsidRPr="002E1DED" w:rsidRDefault="00E14152" w:rsidP="00005C8E">
            <w:pPr>
              <w:pStyle w:val="Caption"/>
              <w:spacing w:after="0"/>
              <w:jc w:val="both"/>
              <w:rPr>
                <w:rFonts w:ascii="Palatino Linotype" w:hAnsi="Palatino Linotype" w:cs="Times New Roman"/>
                <w:i w:val="0"/>
                <w:iCs w:val="0"/>
                <w:color w:val="000000" w:themeColor="text1"/>
                <w:sz w:val="22"/>
                <w:szCs w:val="22"/>
                <w:lang w:val="en-US"/>
              </w:rPr>
            </w:pPr>
            <w:r w:rsidRPr="002E1DED">
              <w:rPr>
                <w:rFonts w:ascii="Palatino Linotype" w:hAnsi="Palatino Linotype" w:cs="Times New Roman"/>
                <w:i w:val="0"/>
                <w:iCs w:val="0"/>
                <w:color w:val="000000" w:themeColor="text1"/>
                <w:sz w:val="22"/>
                <w:szCs w:val="22"/>
                <w:lang w:val="en-US"/>
              </w:rPr>
              <w:t xml:space="preserve">Registration conditions </w:t>
            </w:r>
            <w:r w:rsidR="006524AC" w:rsidRPr="002E1DED">
              <w:rPr>
                <w:rFonts w:ascii="Palatino Linotype" w:hAnsi="Palatino Linotype" w:cs="Times New Roman"/>
                <w:i w:val="0"/>
                <w:iCs w:val="0"/>
                <w:color w:val="000000" w:themeColor="text1"/>
                <w:sz w:val="22"/>
                <w:szCs w:val="22"/>
                <w:lang w:val="en-US"/>
              </w:rPr>
              <w:t>were</w:t>
            </w:r>
            <w:r w:rsidRPr="002E1DED">
              <w:rPr>
                <w:rFonts w:ascii="Palatino Linotype" w:hAnsi="Palatino Linotype" w:cs="Times New Roman"/>
                <w:i w:val="0"/>
                <w:iCs w:val="0"/>
                <w:color w:val="000000" w:themeColor="text1"/>
                <w:sz w:val="22"/>
                <w:szCs w:val="22"/>
                <w:lang w:val="en-US"/>
              </w:rPr>
              <w:t xml:space="preserve"> excitation and emission slits 5 nm, scanning pitch 1 nm, integration time 0.1s, detector voltage 950 V, pH</w:t>
            </w:r>
            <w:r w:rsidRPr="002E1DED">
              <w:rPr>
                <w:rFonts w:cs="Times New Roman"/>
                <w:i w:val="0"/>
                <w:iCs w:val="0"/>
                <w:color w:val="000000" w:themeColor="text1"/>
                <w:sz w:val="22"/>
                <w:szCs w:val="22"/>
                <w:lang w:val="en-US"/>
              </w:rPr>
              <w:t> </w:t>
            </w:r>
            <w:r w:rsidRPr="002E1DED">
              <w:rPr>
                <w:rFonts w:ascii="Palatino Linotype" w:hAnsi="Palatino Linotype" w:cs="Times New Roman"/>
                <w:i w:val="0"/>
                <w:iCs w:val="0"/>
                <w:color w:val="000000" w:themeColor="text1"/>
                <w:sz w:val="22"/>
                <w:szCs w:val="22"/>
                <w:lang w:val="en-US"/>
              </w:rPr>
              <w:t>7.4 (phosphate buffer)</w:t>
            </w:r>
            <w:r w:rsidR="006442C4" w:rsidRPr="002E1DED">
              <w:rPr>
                <w:rFonts w:ascii="Palatino Linotype" w:hAnsi="Palatino Linotype" w:cs="Times New Roman"/>
                <w:i w:val="0"/>
                <w:iCs w:val="0"/>
                <w:color w:val="000000" w:themeColor="text1"/>
                <w:sz w:val="22"/>
                <w:szCs w:val="22"/>
                <w:lang w:val="en-US"/>
              </w:rPr>
              <w:t xml:space="preserve"> </w:t>
            </w:r>
            <w:r w:rsidRPr="002E1DED">
              <w:rPr>
                <w:rFonts w:ascii="Palatino Linotype" w:hAnsi="Palatino Linotype" w:cs="Times New Roman"/>
                <w:i w:val="0"/>
                <w:iCs w:val="0"/>
                <w:color w:val="000000" w:themeColor="text1"/>
                <w:sz w:val="22"/>
                <w:szCs w:val="22"/>
                <w:lang w:val="en-US"/>
              </w:rPr>
              <w:t>at 293K.</w:t>
            </w:r>
          </w:p>
          <w:p w14:paraId="12E44AC5" w14:textId="77777777" w:rsidR="00E14152" w:rsidRPr="002E1DED" w:rsidRDefault="00E14152" w:rsidP="00005C8E">
            <w:pPr>
              <w:jc w:val="both"/>
              <w:rPr>
                <w:rFonts w:ascii="Palatino Linotype" w:hAnsi="Palatino Linotype" w:cs="Times New Roman"/>
                <w:color w:val="000000" w:themeColor="text1"/>
                <w:sz w:val="22"/>
                <w:lang w:val="en-US"/>
              </w:rPr>
            </w:pPr>
          </w:p>
        </w:tc>
      </w:tr>
      <w:tr w:rsidR="002E1DED" w:rsidRPr="002E1DED" w14:paraId="35188EB9" w14:textId="77777777" w:rsidTr="00005C8E">
        <w:trPr>
          <w:trHeight w:val="4056"/>
        </w:trPr>
        <w:tc>
          <w:tcPr>
            <w:tcW w:w="6151" w:type="dxa"/>
          </w:tcPr>
          <w:p w14:paraId="44999422" w14:textId="77777777" w:rsidR="00E14152" w:rsidRPr="002E1DED" w:rsidRDefault="00E14152" w:rsidP="00005C8E">
            <w:pPr>
              <w:jc w:val="center"/>
              <w:rPr>
                <w:rFonts w:ascii="Palatino Linotype" w:hAnsi="Palatino Linotype" w:cs="Times New Roman"/>
                <w:color w:val="000000" w:themeColor="text1"/>
                <w:sz w:val="24"/>
                <w:szCs w:val="24"/>
                <w:lang w:val="en-US"/>
              </w:rPr>
            </w:pPr>
            <w:r w:rsidRPr="002E1DED">
              <w:rPr>
                <w:rFonts w:ascii="Palatino Linotype" w:eastAsiaTheme="minorEastAsia" w:hAnsi="Palatino Linotype" w:cs="Times New Roman"/>
                <w:noProof/>
                <w:color w:val="000000" w:themeColor="text1"/>
                <w:sz w:val="24"/>
                <w:szCs w:val="24"/>
                <w:lang w:val="en-US"/>
              </w:rPr>
              <w:drawing>
                <wp:inline distT="0" distB="0" distL="0" distR="0" wp14:anchorId="0BE08E4C" wp14:editId="4B211470">
                  <wp:extent cx="3223121" cy="2368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2474" t="10077" r="12954" b="7171"/>
                          <a:stretch/>
                        </pic:blipFill>
                        <pic:spPr bwMode="auto">
                          <a:xfrm>
                            <a:off x="0" y="0"/>
                            <a:ext cx="3223121" cy="2368800"/>
                          </a:xfrm>
                          <a:prstGeom prst="rect">
                            <a:avLst/>
                          </a:prstGeom>
                          <a:noFill/>
                          <a:ln>
                            <a:noFill/>
                          </a:ln>
                          <a:extLst>
                            <a:ext uri="{53640926-AAD7-44D8-BBD7-CCE9431645EC}">
                              <a14:shadowObscured xmlns:a14="http://schemas.microsoft.com/office/drawing/2010/main"/>
                            </a:ext>
                          </a:extLst>
                        </pic:spPr>
                      </pic:pic>
                    </a:graphicData>
                  </a:graphic>
                </wp:inline>
              </w:drawing>
            </w:r>
          </w:p>
          <w:p w14:paraId="569B258F" w14:textId="3EE65DD1" w:rsidR="00543600" w:rsidRPr="002E1DED" w:rsidRDefault="00543600" w:rsidP="00005C8E">
            <w:pPr>
              <w:jc w:val="center"/>
              <w:rPr>
                <w:rFonts w:ascii="Palatino Linotype" w:hAnsi="Palatino Linotype" w:cs="Times New Roman"/>
                <w:color w:val="000000" w:themeColor="text1"/>
                <w:sz w:val="24"/>
                <w:szCs w:val="24"/>
              </w:rPr>
            </w:pPr>
            <w:r w:rsidRPr="002E1DED">
              <w:rPr>
                <w:rFonts w:ascii="Palatino Linotype" w:hAnsi="Palatino Linotype" w:cs="Times New Roman"/>
                <w:color w:val="000000" w:themeColor="text1"/>
                <w:sz w:val="24"/>
                <w:szCs w:val="24"/>
                <w:lang w:val="en-US"/>
              </w:rPr>
              <w:t>(</w:t>
            </w:r>
            <w:r w:rsidRPr="002E1DED">
              <w:rPr>
                <w:rFonts w:ascii="Palatino Linotype" w:hAnsi="Palatino Linotype" w:cs="Times New Roman"/>
                <w:b/>
                <w:bCs/>
                <w:color w:val="000000" w:themeColor="text1"/>
                <w:sz w:val="24"/>
                <w:szCs w:val="24"/>
                <w:lang w:val="en-US"/>
              </w:rPr>
              <w:t>b</w:t>
            </w:r>
            <w:r w:rsidRPr="002E1DED">
              <w:rPr>
                <w:rFonts w:ascii="Palatino Linotype" w:hAnsi="Palatino Linotype" w:cs="Times New Roman"/>
                <w:color w:val="000000" w:themeColor="text1"/>
                <w:sz w:val="24"/>
                <w:szCs w:val="24"/>
              </w:rPr>
              <w:t>)</w:t>
            </w:r>
          </w:p>
        </w:tc>
        <w:tc>
          <w:tcPr>
            <w:tcW w:w="3596" w:type="dxa"/>
            <w:vMerge/>
          </w:tcPr>
          <w:p w14:paraId="18FCCB86" w14:textId="77777777" w:rsidR="00E14152" w:rsidRPr="002E1DED" w:rsidRDefault="00E14152" w:rsidP="00005C8E">
            <w:pPr>
              <w:jc w:val="both"/>
              <w:rPr>
                <w:rFonts w:ascii="Palatino Linotype" w:hAnsi="Palatino Linotype" w:cs="Times New Roman"/>
                <w:color w:val="000000" w:themeColor="text1"/>
                <w:sz w:val="24"/>
                <w:szCs w:val="24"/>
                <w:lang w:val="en-US"/>
              </w:rPr>
            </w:pPr>
          </w:p>
        </w:tc>
      </w:tr>
      <w:tr w:rsidR="002E1DED" w:rsidRPr="002E1DED" w14:paraId="1C52C3DD" w14:textId="77777777" w:rsidTr="00005C8E">
        <w:trPr>
          <w:trHeight w:val="4056"/>
        </w:trPr>
        <w:tc>
          <w:tcPr>
            <w:tcW w:w="6151" w:type="dxa"/>
          </w:tcPr>
          <w:p w14:paraId="61C0CDA2" w14:textId="77777777" w:rsidR="00E14152" w:rsidRPr="002E1DED" w:rsidRDefault="00E14152" w:rsidP="00005C8E">
            <w:pPr>
              <w:jc w:val="center"/>
              <w:rPr>
                <w:rFonts w:ascii="Palatino Linotype" w:hAnsi="Palatino Linotype" w:cs="Times New Roman"/>
                <w:color w:val="000000" w:themeColor="text1"/>
                <w:sz w:val="24"/>
                <w:szCs w:val="24"/>
                <w:lang w:val="en-US"/>
              </w:rPr>
            </w:pPr>
            <w:r w:rsidRPr="002E1DED">
              <w:rPr>
                <w:rFonts w:ascii="Palatino Linotype" w:eastAsiaTheme="minorEastAsia" w:hAnsi="Palatino Linotype" w:cs="Times New Roman"/>
                <w:noProof/>
                <w:color w:val="000000" w:themeColor="text1"/>
                <w:sz w:val="24"/>
                <w:szCs w:val="24"/>
                <w:lang w:val="en-US"/>
              </w:rPr>
              <w:drawing>
                <wp:inline distT="0" distB="0" distL="0" distR="0" wp14:anchorId="3F446D35" wp14:editId="2C66065F">
                  <wp:extent cx="3191070" cy="2368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l="2765" t="8915" r="11937" b="6783"/>
                          <a:stretch/>
                        </pic:blipFill>
                        <pic:spPr bwMode="auto">
                          <a:xfrm>
                            <a:off x="0" y="0"/>
                            <a:ext cx="3191070" cy="2368800"/>
                          </a:xfrm>
                          <a:prstGeom prst="rect">
                            <a:avLst/>
                          </a:prstGeom>
                          <a:noFill/>
                          <a:ln>
                            <a:noFill/>
                          </a:ln>
                          <a:extLst>
                            <a:ext uri="{53640926-AAD7-44D8-BBD7-CCE9431645EC}">
                              <a14:shadowObscured xmlns:a14="http://schemas.microsoft.com/office/drawing/2010/main"/>
                            </a:ext>
                          </a:extLst>
                        </pic:spPr>
                      </pic:pic>
                    </a:graphicData>
                  </a:graphic>
                </wp:inline>
              </w:drawing>
            </w:r>
          </w:p>
          <w:p w14:paraId="0A282E25" w14:textId="4FA93809" w:rsidR="00543600" w:rsidRPr="002E1DED" w:rsidRDefault="00543600" w:rsidP="00005C8E">
            <w:pPr>
              <w:jc w:val="center"/>
              <w:rPr>
                <w:rFonts w:ascii="Palatino Linotype" w:hAnsi="Palatino Linotype" w:cs="Times New Roman"/>
                <w:color w:val="000000" w:themeColor="text1"/>
                <w:sz w:val="24"/>
                <w:szCs w:val="24"/>
                <w:lang w:val="en-US"/>
              </w:rPr>
            </w:pPr>
            <w:r w:rsidRPr="002E1DED">
              <w:rPr>
                <w:rFonts w:ascii="Palatino Linotype" w:hAnsi="Palatino Linotype" w:cs="Times New Roman"/>
                <w:color w:val="000000" w:themeColor="text1"/>
                <w:sz w:val="24"/>
                <w:szCs w:val="24"/>
                <w:lang w:val="en-US"/>
              </w:rPr>
              <w:t>(</w:t>
            </w:r>
            <w:r w:rsidRPr="002E1DED">
              <w:rPr>
                <w:rFonts w:ascii="Palatino Linotype" w:hAnsi="Palatino Linotype" w:cs="Times New Roman"/>
                <w:b/>
                <w:bCs/>
                <w:color w:val="000000" w:themeColor="text1"/>
                <w:sz w:val="24"/>
                <w:szCs w:val="24"/>
                <w:lang w:val="en-US"/>
              </w:rPr>
              <w:t>c</w:t>
            </w:r>
            <w:r w:rsidRPr="002E1DED">
              <w:rPr>
                <w:rFonts w:ascii="Palatino Linotype" w:hAnsi="Palatino Linotype" w:cs="Times New Roman"/>
                <w:color w:val="000000" w:themeColor="text1"/>
                <w:sz w:val="24"/>
                <w:szCs w:val="24"/>
                <w:lang w:val="en-US"/>
              </w:rPr>
              <w:t>)</w:t>
            </w:r>
          </w:p>
        </w:tc>
        <w:tc>
          <w:tcPr>
            <w:tcW w:w="3596" w:type="dxa"/>
            <w:vMerge/>
          </w:tcPr>
          <w:p w14:paraId="427EFA3D" w14:textId="77777777" w:rsidR="00E14152" w:rsidRPr="002E1DED" w:rsidRDefault="00E14152" w:rsidP="00005C8E">
            <w:pPr>
              <w:jc w:val="both"/>
              <w:rPr>
                <w:rFonts w:ascii="Palatino Linotype" w:hAnsi="Palatino Linotype" w:cs="Times New Roman"/>
                <w:color w:val="000000" w:themeColor="text1"/>
                <w:sz w:val="24"/>
                <w:szCs w:val="24"/>
                <w:lang w:val="en-US"/>
              </w:rPr>
            </w:pPr>
          </w:p>
        </w:tc>
      </w:tr>
    </w:tbl>
    <w:p w14:paraId="7C4115F0" w14:textId="34AD550E" w:rsidR="00865749" w:rsidRDefault="007B152B" w:rsidP="00D70A86">
      <w:pPr>
        <w:pStyle w:val="Heading1"/>
        <w:pageBreakBefore/>
        <w:ind w:left="431" w:hanging="431"/>
        <w:jc w:val="center"/>
        <w:rPr>
          <w:rFonts w:ascii="Palatino Linotype" w:eastAsiaTheme="minorEastAsia" w:hAnsi="Palatino Linotype" w:cs="Times New Roman"/>
          <w:b/>
          <w:bCs/>
          <w:color w:val="000000" w:themeColor="text1"/>
          <w:sz w:val="24"/>
          <w:szCs w:val="24"/>
          <w:lang w:val="en-US"/>
        </w:rPr>
      </w:pPr>
      <w:bookmarkStart w:id="15" w:name="_Toc72677640"/>
      <w:r w:rsidRPr="002E1DED">
        <w:rPr>
          <w:rFonts w:ascii="Palatino Linotype" w:eastAsiaTheme="minorEastAsia" w:hAnsi="Palatino Linotype" w:cs="Times New Roman"/>
          <w:b/>
          <w:bCs/>
          <w:color w:val="000000" w:themeColor="text1"/>
          <w:sz w:val="24"/>
          <w:szCs w:val="24"/>
          <w:lang w:val="en-US"/>
        </w:rPr>
        <w:lastRenderedPageBreak/>
        <w:t>Reference list</w:t>
      </w:r>
      <w:bookmarkEnd w:id="15"/>
    </w:p>
    <w:p w14:paraId="78A4D01A" w14:textId="77777777" w:rsidR="002E1DED" w:rsidRPr="002E1DED" w:rsidRDefault="002E1DED" w:rsidP="002E1DED">
      <w:pPr>
        <w:rPr>
          <w:lang w:val="en-US"/>
        </w:rPr>
      </w:pPr>
    </w:p>
    <w:p w14:paraId="2684B0B1" w14:textId="49E0A952" w:rsidR="00D70A86" w:rsidRPr="002E1DED" w:rsidRDefault="009435D3" w:rsidP="00D70A86">
      <w:pPr>
        <w:pStyle w:val="EndNoteBibliography"/>
        <w:spacing w:after="0"/>
        <w:ind w:left="720" w:hanging="720"/>
        <w:rPr>
          <w:color w:val="000000" w:themeColor="text1"/>
        </w:rPr>
      </w:pPr>
      <w:r w:rsidRPr="002E1DED">
        <w:rPr>
          <w:color w:val="000000" w:themeColor="text1"/>
          <w:szCs w:val="24"/>
        </w:rPr>
        <w:fldChar w:fldCharType="begin"/>
      </w:r>
      <w:r w:rsidRPr="002E1DED">
        <w:rPr>
          <w:color w:val="000000" w:themeColor="text1"/>
          <w:szCs w:val="24"/>
        </w:rPr>
        <w:instrText xml:space="preserve"> ADDIN EN.REFLIST </w:instrText>
      </w:r>
      <w:r w:rsidRPr="002E1DED">
        <w:rPr>
          <w:color w:val="000000" w:themeColor="text1"/>
          <w:szCs w:val="24"/>
        </w:rPr>
        <w:fldChar w:fldCharType="separate"/>
      </w:r>
      <w:r w:rsidR="00D70A86" w:rsidRPr="002E1DED">
        <w:rPr>
          <w:color w:val="000000" w:themeColor="text1"/>
        </w:rPr>
        <w:t>1.</w:t>
      </w:r>
      <w:r w:rsidR="00D70A86" w:rsidRPr="002E1DED">
        <w:rPr>
          <w:color w:val="000000" w:themeColor="text1"/>
        </w:rPr>
        <w:tab/>
        <w:t xml:space="preserve">Mikheev, I.V.; Pirogova, M.O.; Usoltseva, L.O.; Uzhel, A.S.; Bolotnik, T.A.; Kareev, I.E.; Bubnov, V.P.; Lukonina, N.S.; Volkov, D.S.; Goryunkov, A.A.; et al. Green and rapid preparation of long-term stable aqueous dispersions of fullerenes and endohedral fullerenes: The pros and con of an ultrasonic probe. </w:t>
      </w:r>
      <w:r w:rsidR="00D70A86" w:rsidRPr="002E1DED">
        <w:rPr>
          <w:i/>
          <w:color w:val="000000" w:themeColor="text1"/>
        </w:rPr>
        <w:t xml:space="preserve">Ultrason. Sonochem. </w:t>
      </w:r>
      <w:r w:rsidR="00D70A86" w:rsidRPr="002E1DED">
        <w:rPr>
          <w:b/>
          <w:color w:val="000000" w:themeColor="text1"/>
        </w:rPr>
        <w:t>2021</w:t>
      </w:r>
      <w:r w:rsidR="00D70A86" w:rsidRPr="002E1DED">
        <w:rPr>
          <w:color w:val="000000" w:themeColor="text1"/>
        </w:rPr>
        <w:t>, 105533, doi:</w:t>
      </w:r>
      <w:hyperlink r:id="rId13" w:history="1">
        <w:r w:rsidR="00D70A86" w:rsidRPr="002E1DED">
          <w:rPr>
            <w:rStyle w:val="Hyperlink"/>
            <w:color w:val="000000" w:themeColor="text1"/>
          </w:rPr>
          <w:t>https://doi.org/10.1016/j.ultsonch.2021.105533</w:t>
        </w:r>
      </w:hyperlink>
      <w:r w:rsidR="00D70A86" w:rsidRPr="002E1DED">
        <w:rPr>
          <w:color w:val="000000" w:themeColor="text1"/>
        </w:rPr>
        <w:t>.</w:t>
      </w:r>
    </w:p>
    <w:p w14:paraId="2EF03146" w14:textId="626559A7" w:rsidR="00D70A86" w:rsidRPr="002E1DED" w:rsidRDefault="00D70A86" w:rsidP="00D70A86">
      <w:pPr>
        <w:pStyle w:val="EndNoteBibliography"/>
        <w:spacing w:after="0"/>
        <w:ind w:left="720" w:hanging="720"/>
        <w:rPr>
          <w:color w:val="000000" w:themeColor="text1"/>
        </w:rPr>
      </w:pPr>
      <w:r w:rsidRPr="002E1DED">
        <w:rPr>
          <w:color w:val="000000" w:themeColor="text1"/>
        </w:rPr>
        <w:t>2.</w:t>
      </w:r>
      <w:r w:rsidRPr="002E1DED">
        <w:rPr>
          <w:color w:val="000000" w:themeColor="text1"/>
        </w:rPr>
        <w:tab/>
        <w:t xml:space="preserve">Myasnikov, I.Y.; Gopin, A.V.; Mikheev, I.V.; Chernysheva, M.G.; Badun, G.A. Presonication of nanodiamond hydrosols in radiolabeling by a tritium thermal activation method. </w:t>
      </w:r>
      <w:r w:rsidRPr="002E1DED">
        <w:rPr>
          <w:i/>
          <w:color w:val="000000" w:themeColor="text1"/>
        </w:rPr>
        <w:t xml:space="preserve">Mendeleev Communications </w:t>
      </w:r>
      <w:r w:rsidRPr="002E1DED">
        <w:rPr>
          <w:b/>
          <w:color w:val="000000" w:themeColor="text1"/>
        </w:rPr>
        <w:t>2018</w:t>
      </w:r>
      <w:r w:rsidRPr="002E1DED">
        <w:rPr>
          <w:color w:val="000000" w:themeColor="text1"/>
        </w:rPr>
        <w:t xml:space="preserve">, </w:t>
      </w:r>
      <w:r w:rsidRPr="002E1DED">
        <w:rPr>
          <w:i/>
          <w:color w:val="000000" w:themeColor="text1"/>
        </w:rPr>
        <w:t>28</w:t>
      </w:r>
      <w:r w:rsidRPr="002E1DED">
        <w:rPr>
          <w:color w:val="000000" w:themeColor="text1"/>
        </w:rPr>
        <w:t>, 495-496, doi:</w:t>
      </w:r>
      <w:hyperlink r:id="rId14" w:history="1">
        <w:r w:rsidRPr="002E1DED">
          <w:rPr>
            <w:rStyle w:val="Hyperlink"/>
            <w:color w:val="000000" w:themeColor="text1"/>
          </w:rPr>
          <w:t>https://doi.org/10.1016/j.mencom.2018.09.014</w:t>
        </w:r>
      </w:hyperlink>
      <w:r w:rsidRPr="002E1DED">
        <w:rPr>
          <w:color w:val="000000" w:themeColor="text1"/>
        </w:rPr>
        <w:t>.</w:t>
      </w:r>
    </w:p>
    <w:p w14:paraId="525F1FB1" w14:textId="77777777" w:rsidR="00D70A86" w:rsidRPr="002E1DED" w:rsidRDefault="00D70A86" w:rsidP="00D70A86">
      <w:pPr>
        <w:pStyle w:val="EndNoteBibliography"/>
        <w:spacing w:after="0"/>
        <w:ind w:left="720" w:hanging="720"/>
        <w:rPr>
          <w:color w:val="000000" w:themeColor="text1"/>
        </w:rPr>
      </w:pPr>
      <w:r w:rsidRPr="002E1DED">
        <w:rPr>
          <w:color w:val="000000" w:themeColor="text1"/>
        </w:rPr>
        <w:t>3.</w:t>
      </w:r>
      <w:r w:rsidRPr="002E1DED">
        <w:rPr>
          <w:color w:val="000000" w:themeColor="text1"/>
        </w:rPr>
        <w:tab/>
        <w:t xml:space="preserve">Virot, M.; Venault, L.; Moisy, P.; Nikitenko, S.I. Sonochemical redox reactions of Pu(iii) and Pu(iv) in aqueous nitric solutions. </w:t>
      </w:r>
      <w:r w:rsidRPr="002E1DED">
        <w:rPr>
          <w:i/>
          <w:color w:val="000000" w:themeColor="text1"/>
        </w:rPr>
        <w:t xml:space="preserve">Dalton Transactions </w:t>
      </w:r>
      <w:r w:rsidRPr="002E1DED">
        <w:rPr>
          <w:b/>
          <w:color w:val="000000" w:themeColor="text1"/>
        </w:rPr>
        <w:t>2015</w:t>
      </w:r>
      <w:r w:rsidRPr="002E1DED">
        <w:rPr>
          <w:color w:val="000000" w:themeColor="text1"/>
        </w:rPr>
        <w:t xml:space="preserve">, </w:t>
      </w:r>
      <w:r w:rsidRPr="002E1DED">
        <w:rPr>
          <w:i/>
          <w:color w:val="000000" w:themeColor="text1"/>
        </w:rPr>
        <w:t>44</w:t>
      </w:r>
      <w:r w:rsidRPr="002E1DED">
        <w:rPr>
          <w:color w:val="000000" w:themeColor="text1"/>
        </w:rPr>
        <w:t>, 2567-2574, doi:10.1039/C4DT02330G.</w:t>
      </w:r>
    </w:p>
    <w:p w14:paraId="6C000162" w14:textId="77777777" w:rsidR="00D70A86" w:rsidRPr="002E1DED" w:rsidRDefault="00D70A86" w:rsidP="00D70A86">
      <w:pPr>
        <w:pStyle w:val="EndNoteBibliography"/>
        <w:spacing w:after="0"/>
        <w:ind w:left="720" w:hanging="720"/>
        <w:rPr>
          <w:color w:val="000000" w:themeColor="text1"/>
        </w:rPr>
      </w:pPr>
      <w:r w:rsidRPr="002E1DED">
        <w:rPr>
          <w:color w:val="000000" w:themeColor="text1"/>
        </w:rPr>
        <w:t>4.</w:t>
      </w:r>
      <w:r w:rsidRPr="002E1DED">
        <w:rPr>
          <w:color w:val="000000" w:themeColor="text1"/>
        </w:rPr>
        <w:tab/>
        <w:t xml:space="preserve">V. Mikheev, I.; M. Sozarukova, M.; V. Proskurnina, E.; E. Kareev, I.; A. Proskurnin, M. Non-Functionalized Fullerenes and Endofullerenes in Aqueous Dispersions as Superoxide Scavengers. </w:t>
      </w:r>
      <w:r w:rsidRPr="002E1DED">
        <w:rPr>
          <w:i/>
          <w:color w:val="000000" w:themeColor="text1"/>
        </w:rPr>
        <w:t xml:space="preserve">Molecules </w:t>
      </w:r>
      <w:r w:rsidRPr="002E1DED">
        <w:rPr>
          <w:b/>
          <w:color w:val="000000" w:themeColor="text1"/>
        </w:rPr>
        <w:t>2020</w:t>
      </w:r>
      <w:r w:rsidRPr="002E1DED">
        <w:rPr>
          <w:color w:val="000000" w:themeColor="text1"/>
        </w:rPr>
        <w:t xml:space="preserve">, </w:t>
      </w:r>
      <w:r w:rsidRPr="002E1DED">
        <w:rPr>
          <w:i/>
          <w:color w:val="000000" w:themeColor="text1"/>
        </w:rPr>
        <w:t>25</w:t>
      </w:r>
      <w:r w:rsidRPr="002E1DED">
        <w:rPr>
          <w:color w:val="000000" w:themeColor="text1"/>
        </w:rPr>
        <w:t>, 2506.</w:t>
      </w:r>
    </w:p>
    <w:p w14:paraId="386E0999" w14:textId="23C87267" w:rsidR="00D70A86" w:rsidRPr="002E1DED" w:rsidRDefault="00D70A86" w:rsidP="00D70A86">
      <w:pPr>
        <w:pStyle w:val="EndNoteBibliography"/>
        <w:spacing w:after="0"/>
        <w:ind w:left="720" w:hanging="720"/>
        <w:rPr>
          <w:color w:val="000000" w:themeColor="text1"/>
        </w:rPr>
      </w:pPr>
      <w:r w:rsidRPr="002E1DED">
        <w:rPr>
          <w:color w:val="000000" w:themeColor="text1"/>
        </w:rPr>
        <w:t>5.</w:t>
      </w:r>
      <w:r w:rsidRPr="002E1DED">
        <w:rPr>
          <w:color w:val="000000" w:themeColor="text1"/>
        </w:rPr>
        <w:tab/>
        <w:t xml:space="preserve">Kiciński, W.; Dyjak, S. Transition metal impurities in carbon-based materials: Pitfalls, artifacts and deleterious effects. </w:t>
      </w:r>
      <w:r w:rsidRPr="002E1DED">
        <w:rPr>
          <w:i/>
          <w:color w:val="000000" w:themeColor="text1"/>
        </w:rPr>
        <w:t xml:space="preserve">Carbon </w:t>
      </w:r>
      <w:r w:rsidRPr="002E1DED">
        <w:rPr>
          <w:b/>
          <w:color w:val="000000" w:themeColor="text1"/>
        </w:rPr>
        <w:t>2020</w:t>
      </w:r>
      <w:r w:rsidRPr="002E1DED">
        <w:rPr>
          <w:color w:val="000000" w:themeColor="text1"/>
        </w:rPr>
        <w:t xml:space="preserve">, </w:t>
      </w:r>
      <w:r w:rsidRPr="002E1DED">
        <w:rPr>
          <w:i/>
          <w:color w:val="000000" w:themeColor="text1"/>
        </w:rPr>
        <w:t>168</w:t>
      </w:r>
      <w:r w:rsidRPr="002E1DED">
        <w:rPr>
          <w:color w:val="000000" w:themeColor="text1"/>
        </w:rPr>
        <w:t>, 748-845, doi:</w:t>
      </w:r>
      <w:hyperlink r:id="rId15" w:history="1">
        <w:r w:rsidRPr="002E1DED">
          <w:rPr>
            <w:rStyle w:val="Hyperlink"/>
            <w:color w:val="000000" w:themeColor="text1"/>
          </w:rPr>
          <w:t>https://doi.org/10.1016/j.carbon.2020.06.004</w:t>
        </w:r>
      </w:hyperlink>
      <w:r w:rsidRPr="002E1DED">
        <w:rPr>
          <w:color w:val="000000" w:themeColor="text1"/>
        </w:rPr>
        <w:t>.</w:t>
      </w:r>
    </w:p>
    <w:p w14:paraId="595BAA43" w14:textId="77777777" w:rsidR="00D70A86" w:rsidRPr="002E1DED" w:rsidRDefault="00D70A86" w:rsidP="00D70A86">
      <w:pPr>
        <w:pStyle w:val="EndNoteBibliography"/>
        <w:spacing w:after="0"/>
        <w:ind w:left="720" w:hanging="720"/>
        <w:rPr>
          <w:color w:val="000000" w:themeColor="text1"/>
        </w:rPr>
      </w:pPr>
      <w:r w:rsidRPr="002E1DED">
        <w:rPr>
          <w:color w:val="000000" w:themeColor="text1"/>
        </w:rPr>
        <w:t>6.</w:t>
      </w:r>
      <w:r w:rsidRPr="002E1DED">
        <w:rPr>
          <w:color w:val="000000" w:themeColor="text1"/>
        </w:rPr>
        <w:tab/>
        <w:t xml:space="preserve">Martins, P.M.; Miranda, R.; Marques, J.; Tavares, C.J.; Botelho, G.; Lanceros-Mendez, S. Comparative efficiency of TiO2 nanoparticles in suspension vs. immobilization into P(VDF–TrFE) porous membranes. </w:t>
      </w:r>
      <w:r w:rsidRPr="002E1DED">
        <w:rPr>
          <w:i/>
          <w:color w:val="000000" w:themeColor="text1"/>
        </w:rPr>
        <w:t xml:space="preserve">RSC Advances </w:t>
      </w:r>
      <w:r w:rsidRPr="002E1DED">
        <w:rPr>
          <w:b/>
          <w:color w:val="000000" w:themeColor="text1"/>
        </w:rPr>
        <w:t>2016</w:t>
      </w:r>
      <w:r w:rsidRPr="002E1DED">
        <w:rPr>
          <w:color w:val="000000" w:themeColor="text1"/>
        </w:rPr>
        <w:t xml:space="preserve">, </w:t>
      </w:r>
      <w:r w:rsidRPr="002E1DED">
        <w:rPr>
          <w:i/>
          <w:color w:val="000000" w:themeColor="text1"/>
        </w:rPr>
        <w:t>6</w:t>
      </w:r>
      <w:r w:rsidRPr="002E1DED">
        <w:rPr>
          <w:color w:val="000000" w:themeColor="text1"/>
        </w:rPr>
        <w:t>, 12708-12716, doi:10.1039/C5RA25385C.</w:t>
      </w:r>
    </w:p>
    <w:p w14:paraId="719ECAEA" w14:textId="77777777" w:rsidR="00D70A86" w:rsidRPr="002E1DED" w:rsidRDefault="00D70A86" w:rsidP="00D70A86">
      <w:pPr>
        <w:pStyle w:val="EndNoteBibliography"/>
        <w:spacing w:after="0"/>
        <w:ind w:left="720" w:hanging="720"/>
        <w:rPr>
          <w:color w:val="000000" w:themeColor="text1"/>
        </w:rPr>
      </w:pPr>
      <w:r w:rsidRPr="002E1DED">
        <w:rPr>
          <w:color w:val="000000" w:themeColor="text1"/>
        </w:rPr>
        <w:t>7.</w:t>
      </w:r>
      <w:r w:rsidRPr="002E1DED">
        <w:rPr>
          <w:color w:val="000000" w:themeColor="text1"/>
        </w:rPr>
        <w:tab/>
        <w:t xml:space="preserve">Samree, K.; Srithai, P.-u.; Kotchaplai, P.; Thuptimdang, P.; Painmanakul, P.; Hunsom, M.; Sairiam, S. Enhancing the Antibacterial Properties of PVDF Membrane by Hydrophilic Surface Modification Using Titanium Dioxide and Silver Nanoparticles. </w:t>
      </w:r>
      <w:r w:rsidRPr="002E1DED">
        <w:rPr>
          <w:i/>
          <w:color w:val="000000" w:themeColor="text1"/>
        </w:rPr>
        <w:t xml:space="preserve">Membranes </w:t>
      </w:r>
      <w:r w:rsidRPr="002E1DED">
        <w:rPr>
          <w:b/>
          <w:color w:val="000000" w:themeColor="text1"/>
        </w:rPr>
        <w:t>2020</w:t>
      </w:r>
      <w:r w:rsidRPr="002E1DED">
        <w:rPr>
          <w:color w:val="000000" w:themeColor="text1"/>
        </w:rPr>
        <w:t xml:space="preserve">, </w:t>
      </w:r>
      <w:r w:rsidRPr="002E1DED">
        <w:rPr>
          <w:i/>
          <w:color w:val="000000" w:themeColor="text1"/>
        </w:rPr>
        <w:t>10</w:t>
      </w:r>
      <w:r w:rsidRPr="002E1DED">
        <w:rPr>
          <w:color w:val="000000" w:themeColor="text1"/>
        </w:rPr>
        <w:t>, 289.</w:t>
      </w:r>
    </w:p>
    <w:p w14:paraId="1F31E0C9" w14:textId="77777777" w:rsidR="00D70A86" w:rsidRPr="002E1DED" w:rsidRDefault="00D70A86" w:rsidP="00D70A86">
      <w:pPr>
        <w:pStyle w:val="EndNoteBibliography"/>
        <w:spacing w:after="0"/>
        <w:ind w:left="720" w:hanging="720"/>
        <w:rPr>
          <w:color w:val="000000" w:themeColor="text1"/>
        </w:rPr>
      </w:pPr>
      <w:r w:rsidRPr="002E1DED">
        <w:rPr>
          <w:color w:val="000000" w:themeColor="text1"/>
        </w:rPr>
        <w:t>8.</w:t>
      </w:r>
      <w:r w:rsidRPr="002E1DED">
        <w:rPr>
          <w:color w:val="000000" w:themeColor="text1"/>
        </w:rPr>
        <w:tab/>
        <w:t xml:space="preserve">Niska, K.; Pyszka, K.; Tukaj, C.; Wozniak, M.; Radomski, M.W.; Inkielewicz-Stepniak, I. Titanium dioxide nanoparticles enhance production of superoxide anion and alter the antioxidant system in human osteoblast cells. </w:t>
      </w:r>
      <w:r w:rsidRPr="002E1DED">
        <w:rPr>
          <w:i/>
          <w:color w:val="000000" w:themeColor="text1"/>
        </w:rPr>
        <w:t xml:space="preserve">Int J Nanomedicine </w:t>
      </w:r>
      <w:r w:rsidRPr="002E1DED">
        <w:rPr>
          <w:b/>
          <w:color w:val="000000" w:themeColor="text1"/>
        </w:rPr>
        <w:t>2015</w:t>
      </w:r>
      <w:r w:rsidRPr="002E1DED">
        <w:rPr>
          <w:color w:val="000000" w:themeColor="text1"/>
        </w:rPr>
        <w:t xml:space="preserve">, </w:t>
      </w:r>
      <w:r w:rsidRPr="002E1DED">
        <w:rPr>
          <w:i/>
          <w:color w:val="000000" w:themeColor="text1"/>
        </w:rPr>
        <w:t>10</w:t>
      </w:r>
      <w:r w:rsidRPr="002E1DED">
        <w:rPr>
          <w:color w:val="000000" w:themeColor="text1"/>
        </w:rPr>
        <w:t>, 1095-1107, doi:10.2147/IJN.S73557.</w:t>
      </w:r>
    </w:p>
    <w:p w14:paraId="11EC3336" w14:textId="77777777" w:rsidR="00D70A86" w:rsidRPr="002E1DED" w:rsidRDefault="00D70A86" w:rsidP="00D70A86">
      <w:pPr>
        <w:pStyle w:val="EndNoteBibliography"/>
        <w:spacing w:after="0"/>
        <w:ind w:left="720" w:hanging="720"/>
        <w:rPr>
          <w:color w:val="000000" w:themeColor="text1"/>
        </w:rPr>
      </w:pPr>
      <w:r w:rsidRPr="002E1DED">
        <w:rPr>
          <w:color w:val="000000" w:themeColor="text1"/>
        </w:rPr>
        <w:t>9.</w:t>
      </w:r>
      <w:r w:rsidRPr="002E1DED">
        <w:rPr>
          <w:color w:val="000000" w:themeColor="text1"/>
        </w:rPr>
        <w:tab/>
        <w:t xml:space="preserve">Apak, R.; Özyürek, M.; Güçlü, K.; Çapanoğlu, E. Antioxidant Activity/Capacity Measurement. 1. Classification, Physicochemical Principles, Mechanisms, and Electron Transfer (ET)-Based Assays. </w:t>
      </w:r>
      <w:r w:rsidRPr="002E1DED">
        <w:rPr>
          <w:i/>
          <w:color w:val="000000" w:themeColor="text1"/>
        </w:rPr>
        <w:t xml:space="preserve">Journal of Agricultural and Food Chemistry </w:t>
      </w:r>
      <w:r w:rsidRPr="002E1DED">
        <w:rPr>
          <w:b/>
          <w:color w:val="000000" w:themeColor="text1"/>
        </w:rPr>
        <w:t>2016</w:t>
      </w:r>
      <w:r w:rsidRPr="002E1DED">
        <w:rPr>
          <w:color w:val="000000" w:themeColor="text1"/>
        </w:rPr>
        <w:t xml:space="preserve">, </w:t>
      </w:r>
      <w:r w:rsidRPr="002E1DED">
        <w:rPr>
          <w:i/>
          <w:color w:val="000000" w:themeColor="text1"/>
        </w:rPr>
        <w:t>64</w:t>
      </w:r>
      <w:r w:rsidRPr="002E1DED">
        <w:rPr>
          <w:color w:val="000000" w:themeColor="text1"/>
        </w:rPr>
        <w:t>, 997-1027, doi:10.1021/acs.jafc.5b04739.</w:t>
      </w:r>
    </w:p>
    <w:p w14:paraId="4ADB40B7" w14:textId="64940B0B" w:rsidR="00D70A86" w:rsidRPr="002E1DED" w:rsidRDefault="00D70A86" w:rsidP="00D70A86">
      <w:pPr>
        <w:pStyle w:val="EndNoteBibliography"/>
        <w:spacing w:after="0"/>
        <w:ind w:left="720" w:hanging="720"/>
        <w:rPr>
          <w:color w:val="000000" w:themeColor="text1"/>
        </w:rPr>
      </w:pPr>
      <w:r w:rsidRPr="002E1DED">
        <w:rPr>
          <w:color w:val="000000" w:themeColor="text1"/>
        </w:rPr>
        <w:t>10.</w:t>
      </w:r>
      <w:r w:rsidRPr="002E1DED">
        <w:rPr>
          <w:color w:val="000000" w:themeColor="text1"/>
        </w:rPr>
        <w:tab/>
        <w:t xml:space="preserve">Japuntich, D.A.; Stenhouse, J.I.T.; Liu, B.Y.H. Effective pore diameter and monodisperse particle clogging of fibrous filters. </w:t>
      </w:r>
      <w:r w:rsidRPr="002E1DED">
        <w:rPr>
          <w:i/>
          <w:color w:val="000000" w:themeColor="text1"/>
        </w:rPr>
        <w:t xml:space="preserve">Journal of Aerosol Science </w:t>
      </w:r>
      <w:r w:rsidRPr="002E1DED">
        <w:rPr>
          <w:b/>
          <w:color w:val="000000" w:themeColor="text1"/>
        </w:rPr>
        <w:t>1997</w:t>
      </w:r>
      <w:r w:rsidRPr="002E1DED">
        <w:rPr>
          <w:color w:val="000000" w:themeColor="text1"/>
        </w:rPr>
        <w:t xml:space="preserve">, </w:t>
      </w:r>
      <w:r w:rsidRPr="002E1DED">
        <w:rPr>
          <w:i/>
          <w:color w:val="000000" w:themeColor="text1"/>
        </w:rPr>
        <w:t>28</w:t>
      </w:r>
      <w:r w:rsidRPr="002E1DED">
        <w:rPr>
          <w:color w:val="000000" w:themeColor="text1"/>
        </w:rPr>
        <w:t>, 147-158, doi:</w:t>
      </w:r>
      <w:hyperlink r:id="rId16" w:history="1">
        <w:r w:rsidRPr="002E1DED">
          <w:rPr>
            <w:rStyle w:val="Hyperlink"/>
            <w:color w:val="000000" w:themeColor="text1"/>
          </w:rPr>
          <w:t>https://doi.org/10.1016/S0021-8502(96)00064-X</w:t>
        </w:r>
      </w:hyperlink>
      <w:r w:rsidRPr="002E1DED">
        <w:rPr>
          <w:color w:val="000000" w:themeColor="text1"/>
        </w:rPr>
        <w:t>.</w:t>
      </w:r>
    </w:p>
    <w:p w14:paraId="57EE24AD" w14:textId="77777777" w:rsidR="00D70A86" w:rsidRPr="002E1DED" w:rsidRDefault="00D70A86" w:rsidP="00D70A86">
      <w:pPr>
        <w:pStyle w:val="EndNoteBibliography"/>
        <w:spacing w:after="0"/>
        <w:ind w:left="720" w:hanging="720"/>
        <w:rPr>
          <w:color w:val="000000" w:themeColor="text1"/>
        </w:rPr>
      </w:pPr>
      <w:r w:rsidRPr="002E1DED">
        <w:rPr>
          <w:color w:val="000000" w:themeColor="text1"/>
        </w:rPr>
        <w:t>11.</w:t>
      </w:r>
      <w:r w:rsidRPr="002E1DED">
        <w:rPr>
          <w:color w:val="000000" w:themeColor="text1"/>
        </w:rPr>
        <w:tab/>
        <w:t xml:space="preserve">Moldoveanu, S.; David, V. </w:t>
      </w:r>
      <w:r w:rsidRPr="002E1DED">
        <w:rPr>
          <w:i/>
          <w:color w:val="000000" w:themeColor="text1"/>
        </w:rPr>
        <w:t>Modern Sample Preparation for Chromatography</w:t>
      </w:r>
      <w:r w:rsidRPr="002E1DED">
        <w:rPr>
          <w:color w:val="000000" w:themeColor="text1"/>
        </w:rPr>
        <w:t>; Elsevier Science: 2021.</w:t>
      </w:r>
    </w:p>
    <w:p w14:paraId="68FA164B" w14:textId="77777777" w:rsidR="00D70A86" w:rsidRPr="002E1DED" w:rsidRDefault="00D70A86" w:rsidP="00D70A86">
      <w:pPr>
        <w:pStyle w:val="EndNoteBibliography"/>
        <w:spacing w:after="0"/>
        <w:ind w:left="720" w:hanging="720"/>
        <w:rPr>
          <w:color w:val="000000" w:themeColor="text1"/>
        </w:rPr>
      </w:pPr>
      <w:r w:rsidRPr="002E1DED">
        <w:rPr>
          <w:color w:val="000000" w:themeColor="text1"/>
        </w:rPr>
        <w:t>12.</w:t>
      </w:r>
      <w:r w:rsidRPr="002E1DED">
        <w:rPr>
          <w:color w:val="000000" w:themeColor="text1"/>
        </w:rPr>
        <w:tab/>
        <w:t xml:space="preserve">Ullmann, C.; Babick, F.; Stintz, M. Microfiltration of Submicron-Sized and Nano-Sized Suspensions for Particle Size Determination by Dynamic Light Scattering. </w:t>
      </w:r>
      <w:r w:rsidRPr="002E1DED">
        <w:rPr>
          <w:i/>
          <w:color w:val="000000" w:themeColor="text1"/>
        </w:rPr>
        <w:t xml:space="preserve">Nanomaterials </w:t>
      </w:r>
      <w:r w:rsidRPr="002E1DED">
        <w:rPr>
          <w:b/>
          <w:color w:val="000000" w:themeColor="text1"/>
        </w:rPr>
        <w:t>2019</w:t>
      </w:r>
      <w:r w:rsidRPr="002E1DED">
        <w:rPr>
          <w:color w:val="000000" w:themeColor="text1"/>
        </w:rPr>
        <w:t xml:space="preserve">, </w:t>
      </w:r>
      <w:r w:rsidRPr="002E1DED">
        <w:rPr>
          <w:i/>
          <w:color w:val="000000" w:themeColor="text1"/>
        </w:rPr>
        <w:t>9</w:t>
      </w:r>
      <w:r w:rsidRPr="002E1DED">
        <w:rPr>
          <w:color w:val="000000" w:themeColor="text1"/>
        </w:rPr>
        <w:t>, 829.</w:t>
      </w:r>
    </w:p>
    <w:p w14:paraId="78187E49" w14:textId="77777777" w:rsidR="00D70A86" w:rsidRPr="002E1DED" w:rsidRDefault="00D70A86" w:rsidP="00D70A86">
      <w:pPr>
        <w:pStyle w:val="EndNoteBibliography"/>
        <w:spacing w:after="0"/>
        <w:ind w:left="720" w:hanging="720"/>
        <w:rPr>
          <w:color w:val="000000" w:themeColor="text1"/>
        </w:rPr>
      </w:pPr>
      <w:r w:rsidRPr="002E1DED">
        <w:rPr>
          <w:color w:val="000000" w:themeColor="text1"/>
        </w:rPr>
        <w:t>13.</w:t>
      </w:r>
      <w:r w:rsidRPr="002E1DED">
        <w:rPr>
          <w:color w:val="000000" w:themeColor="text1"/>
        </w:rPr>
        <w:tab/>
        <w:t xml:space="preserve">Kimoto, S.; Dick, W.D.; Hunt, B.; Szymanski, W.W.; McMurry, P.H.; Roberts, D.L.; Pui, D.Y.H. Characterization of nanosized silica size standards. </w:t>
      </w:r>
      <w:r w:rsidRPr="002E1DED">
        <w:rPr>
          <w:i/>
          <w:color w:val="000000" w:themeColor="text1"/>
        </w:rPr>
        <w:t xml:space="preserve">Aerosol Science and Technology </w:t>
      </w:r>
      <w:r w:rsidRPr="002E1DED">
        <w:rPr>
          <w:b/>
          <w:color w:val="000000" w:themeColor="text1"/>
        </w:rPr>
        <w:t>2017</w:t>
      </w:r>
      <w:r w:rsidRPr="002E1DED">
        <w:rPr>
          <w:color w:val="000000" w:themeColor="text1"/>
        </w:rPr>
        <w:t xml:space="preserve">, </w:t>
      </w:r>
      <w:r w:rsidRPr="002E1DED">
        <w:rPr>
          <w:i/>
          <w:color w:val="000000" w:themeColor="text1"/>
        </w:rPr>
        <w:t>51</w:t>
      </w:r>
      <w:r w:rsidRPr="002E1DED">
        <w:rPr>
          <w:color w:val="000000" w:themeColor="text1"/>
        </w:rPr>
        <w:t>, 936-945, doi:10.1080/02786826.2017.1335388.</w:t>
      </w:r>
    </w:p>
    <w:p w14:paraId="2AE96DDE" w14:textId="383A5547" w:rsidR="00D70A86" w:rsidRPr="002E1DED" w:rsidRDefault="00D70A86" w:rsidP="00D70A86">
      <w:pPr>
        <w:pStyle w:val="EndNoteBibliography"/>
        <w:spacing w:after="0"/>
        <w:ind w:left="720" w:hanging="720"/>
        <w:rPr>
          <w:color w:val="000000" w:themeColor="text1"/>
        </w:rPr>
      </w:pPr>
      <w:r w:rsidRPr="002E1DED">
        <w:rPr>
          <w:color w:val="000000" w:themeColor="text1"/>
        </w:rPr>
        <w:t>14.</w:t>
      </w:r>
      <w:r w:rsidRPr="002E1DED">
        <w:rPr>
          <w:color w:val="000000" w:themeColor="text1"/>
        </w:rPr>
        <w:tab/>
        <w:t xml:space="preserve">Davydov, V.Y.; Sheppard, N.; Osawa, E. An Infrared Spectroscopic Study of the Hydrogenation and Dehydrogenation of the Complexes of Aromatic Compounds and of </w:t>
      </w:r>
      <w:r w:rsidRPr="002E1DED">
        <w:rPr>
          <w:color w:val="000000" w:themeColor="text1"/>
        </w:rPr>
        <w:lastRenderedPageBreak/>
        <w:t xml:space="preserve">Fullerene C60 with Silica-Supported Platinum. </w:t>
      </w:r>
      <w:r w:rsidRPr="002E1DED">
        <w:rPr>
          <w:i/>
          <w:color w:val="000000" w:themeColor="text1"/>
        </w:rPr>
        <w:t xml:space="preserve">Journal of Catalysis </w:t>
      </w:r>
      <w:r w:rsidRPr="002E1DED">
        <w:rPr>
          <w:b/>
          <w:color w:val="000000" w:themeColor="text1"/>
        </w:rPr>
        <w:t>2002</w:t>
      </w:r>
      <w:r w:rsidRPr="002E1DED">
        <w:rPr>
          <w:color w:val="000000" w:themeColor="text1"/>
        </w:rPr>
        <w:t xml:space="preserve">, </w:t>
      </w:r>
      <w:r w:rsidRPr="002E1DED">
        <w:rPr>
          <w:i/>
          <w:color w:val="000000" w:themeColor="text1"/>
        </w:rPr>
        <w:t>211</w:t>
      </w:r>
      <w:r w:rsidRPr="002E1DED">
        <w:rPr>
          <w:color w:val="000000" w:themeColor="text1"/>
        </w:rPr>
        <w:t>, 42-52, doi:</w:t>
      </w:r>
      <w:hyperlink r:id="rId17" w:history="1">
        <w:r w:rsidRPr="002E1DED">
          <w:rPr>
            <w:rStyle w:val="Hyperlink"/>
            <w:color w:val="000000" w:themeColor="text1"/>
          </w:rPr>
          <w:t>https://doi.org/10.1006/jcat.2002.3694</w:t>
        </w:r>
      </w:hyperlink>
      <w:r w:rsidRPr="002E1DED">
        <w:rPr>
          <w:color w:val="000000" w:themeColor="text1"/>
        </w:rPr>
        <w:t>.</w:t>
      </w:r>
    </w:p>
    <w:p w14:paraId="754195A8" w14:textId="77777777" w:rsidR="00D70A86" w:rsidRPr="002E1DED" w:rsidRDefault="00D70A86" w:rsidP="00D70A86">
      <w:pPr>
        <w:pStyle w:val="EndNoteBibliography"/>
        <w:spacing w:after="0"/>
        <w:ind w:left="720" w:hanging="720"/>
        <w:rPr>
          <w:color w:val="000000" w:themeColor="text1"/>
        </w:rPr>
      </w:pPr>
      <w:r w:rsidRPr="002E1DED">
        <w:rPr>
          <w:color w:val="000000" w:themeColor="text1"/>
        </w:rPr>
        <w:t>15.</w:t>
      </w:r>
      <w:r w:rsidRPr="002E1DED">
        <w:rPr>
          <w:color w:val="000000" w:themeColor="text1"/>
        </w:rPr>
        <w:tab/>
        <w:t xml:space="preserve">Chen, K.L.; Elimelech, M. Interaction of Fullerene (C60) Nanoparticles with Humic Acid and Alginate Coated Silica Surfaces: Measurements, Mechanisms, and Environmental Implications. </w:t>
      </w:r>
      <w:r w:rsidRPr="002E1DED">
        <w:rPr>
          <w:i/>
          <w:color w:val="000000" w:themeColor="text1"/>
        </w:rPr>
        <w:t xml:space="preserve">Environmental Science &amp; Technology </w:t>
      </w:r>
      <w:r w:rsidRPr="002E1DED">
        <w:rPr>
          <w:b/>
          <w:color w:val="000000" w:themeColor="text1"/>
        </w:rPr>
        <w:t>2008</w:t>
      </w:r>
      <w:r w:rsidRPr="002E1DED">
        <w:rPr>
          <w:color w:val="000000" w:themeColor="text1"/>
        </w:rPr>
        <w:t xml:space="preserve">, </w:t>
      </w:r>
      <w:r w:rsidRPr="002E1DED">
        <w:rPr>
          <w:i/>
          <w:color w:val="000000" w:themeColor="text1"/>
        </w:rPr>
        <w:t>42</w:t>
      </w:r>
      <w:r w:rsidRPr="002E1DED">
        <w:rPr>
          <w:color w:val="000000" w:themeColor="text1"/>
        </w:rPr>
        <w:t>, 7607-7614, doi:10.1021/es8012062.</w:t>
      </w:r>
    </w:p>
    <w:p w14:paraId="09FF7209" w14:textId="77777777" w:rsidR="00D70A86" w:rsidRPr="002E1DED" w:rsidRDefault="00D70A86" w:rsidP="00D70A86">
      <w:pPr>
        <w:pStyle w:val="EndNoteBibliography"/>
        <w:spacing w:after="0"/>
        <w:ind w:left="720" w:hanging="720"/>
        <w:rPr>
          <w:color w:val="000000" w:themeColor="text1"/>
        </w:rPr>
      </w:pPr>
      <w:r w:rsidRPr="002E1DED">
        <w:rPr>
          <w:color w:val="000000" w:themeColor="text1"/>
        </w:rPr>
        <w:t>16.</w:t>
      </w:r>
      <w:r w:rsidRPr="002E1DED">
        <w:rPr>
          <w:color w:val="000000" w:themeColor="text1"/>
        </w:rPr>
        <w:tab/>
        <w:t xml:space="preserve">Emamverdian, A.; Ding, Y.; Mokhberdoran, F.; Xie, Y.; Zheng, X.; Wang, Y. Silicon dioxide nanoparticles improve plant growth by enhancing antioxidant enzyme capacity in bamboo (Pleioblastus pygmaeus) under lead toxicity. </w:t>
      </w:r>
      <w:r w:rsidRPr="002E1DED">
        <w:rPr>
          <w:i/>
          <w:color w:val="000000" w:themeColor="text1"/>
        </w:rPr>
        <w:t xml:space="preserve">Trees </w:t>
      </w:r>
      <w:r w:rsidRPr="002E1DED">
        <w:rPr>
          <w:b/>
          <w:color w:val="000000" w:themeColor="text1"/>
        </w:rPr>
        <w:t>2020</w:t>
      </w:r>
      <w:r w:rsidRPr="002E1DED">
        <w:rPr>
          <w:color w:val="000000" w:themeColor="text1"/>
        </w:rPr>
        <w:t xml:space="preserve">, </w:t>
      </w:r>
      <w:r w:rsidRPr="002E1DED">
        <w:rPr>
          <w:i/>
          <w:color w:val="000000" w:themeColor="text1"/>
        </w:rPr>
        <w:t>34</w:t>
      </w:r>
      <w:r w:rsidRPr="002E1DED">
        <w:rPr>
          <w:color w:val="000000" w:themeColor="text1"/>
        </w:rPr>
        <w:t>, 469-481, doi:10.1007/s00468-019-01929-z.</w:t>
      </w:r>
    </w:p>
    <w:p w14:paraId="046467F3" w14:textId="77777777" w:rsidR="00D70A86" w:rsidRPr="002E1DED" w:rsidRDefault="00D70A86" w:rsidP="00D70A86">
      <w:pPr>
        <w:pStyle w:val="EndNoteBibliography"/>
        <w:spacing w:after="0"/>
        <w:ind w:left="720" w:hanging="720"/>
        <w:rPr>
          <w:color w:val="000000" w:themeColor="text1"/>
        </w:rPr>
      </w:pPr>
      <w:r w:rsidRPr="002E1DED">
        <w:rPr>
          <w:color w:val="000000" w:themeColor="text1"/>
        </w:rPr>
        <w:t>17.</w:t>
      </w:r>
      <w:r w:rsidRPr="002E1DED">
        <w:rPr>
          <w:color w:val="000000" w:themeColor="text1"/>
        </w:rPr>
        <w:tab/>
        <w:t xml:space="preserve">Lakowicz, J.R. </w:t>
      </w:r>
      <w:r w:rsidRPr="002E1DED">
        <w:rPr>
          <w:i/>
          <w:color w:val="000000" w:themeColor="text1"/>
        </w:rPr>
        <w:t>Principles of Fluorescence Spectroscopy</w:t>
      </w:r>
      <w:r w:rsidRPr="002E1DED">
        <w:rPr>
          <w:color w:val="000000" w:themeColor="text1"/>
        </w:rPr>
        <w:t>; Springer US: 2007.</w:t>
      </w:r>
    </w:p>
    <w:p w14:paraId="7F105EEC" w14:textId="77777777" w:rsidR="00D70A86" w:rsidRPr="002E1DED" w:rsidRDefault="00D70A86" w:rsidP="00D70A86">
      <w:pPr>
        <w:pStyle w:val="EndNoteBibliography"/>
        <w:spacing w:after="0"/>
        <w:ind w:left="720" w:hanging="720"/>
        <w:rPr>
          <w:color w:val="000000" w:themeColor="text1"/>
        </w:rPr>
      </w:pPr>
      <w:r w:rsidRPr="002E1DED">
        <w:rPr>
          <w:color w:val="000000" w:themeColor="text1"/>
        </w:rPr>
        <w:t>18.</w:t>
      </w:r>
      <w:r w:rsidRPr="002E1DED">
        <w:rPr>
          <w:color w:val="000000" w:themeColor="text1"/>
        </w:rPr>
        <w:tab/>
        <w:t>Wang, I.C.; Tai, L.A.; Lee, D.D.; Kanakamma, P.P.; Shen, C.K.F.; Luh, T.-Y.; Cheng, C.H.; Hwang, K.C. C</w:t>
      </w:r>
      <w:r w:rsidRPr="002E1DED">
        <w:rPr>
          <w:color w:val="000000" w:themeColor="text1"/>
          <w:vertAlign w:val="subscript"/>
        </w:rPr>
        <w:t>60</w:t>
      </w:r>
      <w:r w:rsidRPr="002E1DED">
        <w:rPr>
          <w:color w:val="000000" w:themeColor="text1"/>
        </w:rPr>
        <w:t xml:space="preserve"> and Water-Soluble Fullerene Derivatives as Antioxidants Against Radical-Initiated Lipid Peroxidation. </w:t>
      </w:r>
      <w:r w:rsidRPr="002E1DED">
        <w:rPr>
          <w:i/>
          <w:color w:val="000000" w:themeColor="text1"/>
        </w:rPr>
        <w:t xml:space="preserve">J. Med. Chem. </w:t>
      </w:r>
      <w:r w:rsidRPr="002E1DED">
        <w:rPr>
          <w:b/>
          <w:color w:val="000000" w:themeColor="text1"/>
        </w:rPr>
        <w:t>1999</w:t>
      </w:r>
      <w:r w:rsidRPr="002E1DED">
        <w:rPr>
          <w:color w:val="000000" w:themeColor="text1"/>
        </w:rPr>
        <w:t xml:space="preserve">, </w:t>
      </w:r>
      <w:r w:rsidRPr="002E1DED">
        <w:rPr>
          <w:i/>
          <w:color w:val="000000" w:themeColor="text1"/>
        </w:rPr>
        <w:t>42</w:t>
      </w:r>
      <w:r w:rsidRPr="002E1DED">
        <w:rPr>
          <w:color w:val="000000" w:themeColor="text1"/>
        </w:rPr>
        <w:t>, 4614-4620, doi:10.1021/jm990144s.</w:t>
      </w:r>
    </w:p>
    <w:p w14:paraId="72BDE2B6" w14:textId="77777777" w:rsidR="00D70A86" w:rsidRPr="002E1DED" w:rsidRDefault="00D70A86" w:rsidP="00D70A86">
      <w:pPr>
        <w:pStyle w:val="EndNoteBibliography"/>
        <w:spacing w:after="0"/>
        <w:ind w:left="720" w:hanging="720"/>
        <w:rPr>
          <w:color w:val="000000" w:themeColor="text1"/>
        </w:rPr>
      </w:pPr>
      <w:r w:rsidRPr="002E1DED">
        <w:rPr>
          <w:color w:val="000000" w:themeColor="text1"/>
        </w:rPr>
        <w:t>19.</w:t>
      </w:r>
      <w:r w:rsidRPr="002E1DED">
        <w:rPr>
          <w:color w:val="000000" w:themeColor="text1"/>
        </w:rPr>
        <w:tab/>
        <w:t xml:space="preserve">Roy, P.; Bag, S.; Chakraborty, D.; Dasgupta, S. Exploring the Inhibitory and Antioxidant Effects of Fullerene and Fullerenol on Ribonuclease A. </w:t>
      </w:r>
      <w:r w:rsidRPr="002E1DED">
        <w:rPr>
          <w:i/>
          <w:color w:val="000000" w:themeColor="text1"/>
        </w:rPr>
        <w:t xml:space="preserve">ACS Omega </w:t>
      </w:r>
      <w:r w:rsidRPr="002E1DED">
        <w:rPr>
          <w:b/>
          <w:color w:val="000000" w:themeColor="text1"/>
        </w:rPr>
        <w:t>2018</w:t>
      </w:r>
      <w:r w:rsidRPr="002E1DED">
        <w:rPr>
          <w:color w:val="000000" w:themeColor="text1"/>
        </w:rPr>
        <w:t xml:space="preserve">, </w:t>
      </w:r>
      <w:r w:rsidRPr="002E1DED">
        <w:rPr>
          <w:i/>
          <w:color w:val="000000" w:themeColor="text1"/>
        </w:rPr>
        <w:t>3</w:t>
      </w:r>
      <w:r w:rsidRPr="002E1DED">
        <w:rPr>
          <w:color w:val="000000" w:themeColor="text1"/>
        </w:rPr>
        <w:t>, 12270-12283, doi:10.1021/acsomega.8b01584.</w:t>
      </w:r>
    </w:p>
    <w:p w14:paraId="67A5FF12" w14:textId="44695789" w:rsidR="00D70A86" w:rsidRPr="002E1DED" w:rsidRDefault="00D70A86" w:rsidP="00D70A86">
      <w:pPr>
        <w:pStyle w:val="EndNoteBibliography"/>
        <w:spacing w:after="0"/>
        <w:ind w:left="720" w:hanging="720"/>
        <w:rPr>
          <w:color w:val="000000" w:themeColor="text1"/>
        </w:rPr>
      </w:pPr>
      <w:r w:rsidRPr="002E1DED">
        <w:rPr>
          <w:color w:val="000000" w:themeColor="text1"/>
        </w:rPr>
        <w:t>20.</w:t>
      </w:r>
      <w:r w:rsidRPr="002E1DED">
        <w:rPr>
          <w:color w:val="000000" w:themeColor="text1"/>
        </w:rPr>
        <w:tab/>
        <w:t>Liu, X.; Ying, X.; Li, Y.; Yang, H.; Hao, W.; Yu, M. Identification differential behavior of Gd@C</w:t>
      </w:r>
      <w:r w:rsidRPr="002E1DED">
        <w:rPr>
          <w:color w:val="000000" w:themeColor="text1"/>
          <w:vertAlign w:val="subscript"/>
        </w:rPr>
        <w:t>82</w:t>
      </w:r>
      <w:r w:rsidRPr="002E1DED">
        <w:rPr>
          <w:color w:val="000000" w:themeColor="text1"/>
        </w:rPr>
        <w:t>(OH)</w:t>
      </w:r>
      <w:r w:rsidRPr="002E1DED">
        <w:rPr>
          <w:color w:val="000000" w:themeColor="text1"/>
          <w:vertAlign w:val="subscript"/>
        </w:rPr>
        <w:t>22</w:t>
      </w:r>
      <w:r w:rsidRPr="002E1DED">
        <w:rPr>
          <w:color w:val="000000" w:themeColor="text1"/>
        </w:rPr>
        <w:t xml:space="preserve"> upon interaction with serum albumin using spectroscopic analysis. </w:t>
      </w:r>
      <w:r w:rsidRPr="002E1DED">
        <w:rPr>
          <w:i/>
          <w:color w:val="000000" w:themeColor="text1"/>
        </w:rPr>
        <w:t xml:space="preserve">Spectrochimica Acta Part A: Molecular and Biomolecular Spectroscopy </w:t>
      </w:r>
      <w:r w:rsidRPr="002E1DED">
        <w:rPr>
          <w:b/>
          <w:color w:val="000000" w:themeColor="text1"/>
        </w:rPr>
        <w:t>2018</w:t>
      </w:r>
      <w:r w:rsidRPr="002E1DED">
        <w:rPr>
          <w:color w:val="000000" w:themeColor="text1"/>
        </w:rPr>
        <w:t xml:space="preserve">, </w:t>
      </w:r>
      <w:r w:rsidRPr="002E1DED">
        <w:rPr>
          <w:i/>
          <w:color w:val="000000" w:themeColor="text1"/>
        </w:rPr>
        <w:t>203</w:t>
      </w:r>
      <w:r w:rsidRPr="002E1DED">
        <w:rPr>
          <w:color w:val="000000" w:themeColor="text1"/>
        </w:rPr>
        <w:t>, 383-396, doi:</w:t>
      </w:r>
      <w:hyperlink r:id="rId18" w:history="1">
        <w:r w:rsidRPr="002E1DED">
          <w:rPr>
            <w:rStyle w:val="Hyperlink"/>
            <w:color w:val="000000" w:themeColor="text1"/>
          </w:rPr>
          <w:t>https://doi.org/10.1016/j.saa.2018.05.125</w:t>
        </w:r>
      </w:hyperlink>
      <w:r w:rsidRPr="002E1DED">
        <w:rPr>
          <w:color w:val="000000" w:themeColor="text1"/>
        </w:rPr>
        <w:t>.</w:t>
      </w:r>
    </w:p>
    <w:p w14:paraId="791530B4" w14:textId="1CAEE2E8" w:rsidR="00D70A86" w:rsidRPr="002E1DED" w:rsidRDefault="00D70A86" w:rsidP="00D70A86">
      <w:pPr>
        <w:pStyle w:val="EndNoteBibliography"/>
        <w:spacing w:after="0"/>
        <w:ind w:left="720" w:hanging="720"/>
        <w:rPr>
          <w:color w:val="000000" w:themeColor="text1"/>
        </w:rPr>
      </w:pPr>
      <w:r w:rsidRPr="002E1DED">
        <w:rPr>
          <w:color w:val="000000" w:themeColor="text1"/>
        </w:rPr>
        <w:t>21.</w:t>
      </w:r>
      <w:r w:rsidRPr="002E1DED">
        <w:rPr>
          <w:color w:val="000000" w:themeColor="text1"/>
        </w:rPr>
        <w:tab/>
        <w:t xml:space="preserve">Sharoyko, V.V.; Ageev, S.V.; Podolsky, N.E.; Petrov, A.V.; Litasova, E.V.; Vlasov, T.D.; Vasina, L.V.; Murin, I.V.; Piotrovskiy, L.B.; Semenov, K.N. Biologically active water-soluble fullerene adducts: Das Glasperlenspiel (by H. Hesse)? </w:t>
      </w:r>
      <w:r w:rsidRPr="002E1DED">
        <w:rPr>
          <w:i/>
          <w:color w:val="000000" w:themeColor="text1"/>
        </w:rPr>
        <w:t xml:space="preserve">Journal of Molecular Liquids </w:t>
      </w:r>
      <w:r w:rsidRPr="002E1DED">
        <w:rPr>
          <w:b/>
          <w:color w:val="000000" w:themeColor="text1"/>
        </w:rPr>
        <w:t>2021</w:t>
      </w:r>
      <w:r w:rsidRPr="002E1DED">
        <w:rPr>
          <w:color w:val="000000" w:themeColor="text1"/>
        </w:rPr>
        <w:t xml:space="preserve">, </w:t>
      </w:r>
      <w:r w:rsidRPr="002E1DED">
        <w:rPr>
          <w:i/>
          <w:color w:val="000000" w:themeColor="text1"/>
        </w:rPr>
        <w:t>323</w:t>
      </w:r>
      <w:r w:rsidRPr="002E1DED">
        <w:rPr>
          <w:color w:val="000000" w:themeColor="text1"/>
        </w:rPr>
        <w:t>, 114990, doi:</w:t>
      </w:r>
      <w:hyperlink r:id="rId19" w:history="1">
        <w:r w:rsidRPr="002E1DED">
          <w:rPr>
            <w:rStyle w:val="Hyperlink"/>
            <w:color w:val="000000" w:themeColor="text1"/>
          </w:rPr>
          <w:t>https://doi.org/10.1016/j.molliq.2020.114990</w:t>
        </w:r>
      </w:hyperlink>
      <w:r w:rsidRPr="002E1DED">
        <w:rPr>
          <w:color w:val="000000" w:themeColor="text1"/>
        </w:rPr>
        <w:t>.</w:t>
      </w:r>
    </w:p>
    <w:p w14:paraId="4904DC37" w14:textId="79CE3924" w:rsidR="00D70A86" w:rsidRPr="002E1DED" w:rsidRDefault="00D70A86" w:rsidP="00D70A86">
      <w:pPr>
        <w:pStyle w:val="EndNoteBibliography"/>
        <w:ind w:left="720" w:hanging="720"/>
        <w:rPr>
          <w:color w:val="000000" w:themeColor="text1"/>
        </w:rPr>
      </w:pPr>
      <w:r w:rsidRPr="002E1DED">
        <w:rPr>
          <w:color w:val="000000" w:themeColor="text1"/>
        </w:rPr>
        <w:t>22.</w:t>
      </w:r>
      <w:r w:rsidRPr="002E1DED">
        <w:rPr>
          <w:color w:val="000000" w:themeColor="text1"/>
        </w:rPr>
        <w:tab/>
        <w:t xml:space="preserve">Yang, L.-Y.; Hua, S.-Y.; Zhou, Z.-Q.; Wang, G.-C.; Jiang, F.-L.; Liu, Y. Characterization of fullerenol-protein interactions and an extended investigation on cytotoxicity. </w:t>
      </w:r>
      <w:r w:rsidRPr="002E1DED">
        <w:rPr>
          <w:i/>
          <w:color w:val="000000" w:themeColor="text1"/>
        </w:rPr>
        <w:t xml:space="preserve">Colloids and Surfaces B: Biointerfaces </w:t>
      </w:r>
      <w:r w:rsidRPr="002E1DED">
        <w:rPr>
          <w:b/>
          <w:color w:val="000000" w:themeColor="text1"/>
        </w:rPr>
        <w:t>2017</w:t>
      </w:r>
      <w:r w:rsidRPr="002E1DED">
        <w:rPr>
          <w:color w:val="000000" w:themeColor="text1"/>
        </w:rPr>
        <w:t xml:space="preserve">, </w:t>
      </w:r>
      <w:r w:rsidRPr="002E1DED">
        <w:rPr>
          <w:i/>
          <w:color w:val="000000" w:themeColor="text1"/>
        </w:rPr>
        <w:t>157</w:t>
      </w:r>
      <w:r w:rsidRPr="002E1DED">
        <w:rPr>
          <w:color w:val="000000" w:themeColor="text1"/>
        </w:rPr>
        <w:t>, 261-267, doi:</w:t>
      </w:r>
      <w:hyperlink r:id="rId20" w:history="1">
        <w:r w:rsidRPr="002E1DED">
          <w:rPr>
            <w:rStyle w:val="Hyperlink"/>
            <w:color w:val="000000" w:themeColor="text1"/>
          </w:rPr>
          <w:t>https://doi.org/10.1016/j.colsurfb.2017.05.065</w:t>
        </w:r>
      </w:hyperlink>
      <w:r w:rsidRPr="002E1DED">
        <w:rPr>
          <w:color w:val="000000" w:themeColor="text1"/>
        </w:rPr>
        <w:t>.</w:t>
      </w:r>
    </w:p>
    <w:p w14:paraId="481F23B4" w14:textId="2E3BD004" w:rsidR="00E3697E" w:rsidRPr="002E1DED" w:rsidRDefault="009435D3" w:rsidP="002B58EE">
      <w:pPr>
        <w:spacing w:after="0"/>
        <w:ind w:firstLine="709"/>
        <w:jc w:val="both"/>
        <w:rPr>
          <w:rFonts w:ascii="Palatino Linotype" w:hAnsi="Palatino Linotype" w:cs="Times New Roman"/>
          <w:color w:val="000000" w:themeColor="text1"/>
          <w:szCs w:val="28"/>
          <w:lang w:val="en-US"/>
        </w:rPr>
      </w:pPr>
      <w:r w:rsidRPr="002E1DED">
        <w:rPr>
          <w:rFonts w:ascii="Palatino Linotype" w:hAnsi="Palatino Linotype" w:cs="Times New Roman"/>
          <w:color w:val="000000" w:themeColor="text1"/>
          <w:sz w:val="24"/>
          <w:szCs w:val="24"/>
          <w:lang w:val="en-US"/>
        </w:rPr>
        <w:fldChar w:fldCharType="end"/>
      </w:r>
    </w:p>
    <w:sectPr w:rsidR="00E3697E" w:rsidRPr="002E1DED" w:rsidSect="00A956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7FD15" w14:textId="77777777" w:rsidR="00322426" w:rsidRDefault="00322426" w:rsidP="00B235D2">
      <w:pPr>
        <w:spacing w:after="0"/>
      </w:pPr>
      <w:r>
        <w:separator/>
      </w:r>
    </w:p>
  </w:endnote>
  <w:endnote w:type="continuationSeparator" w:id="0">
    <w:p w14:paraId="2D74E7B0" w14:textId="77777777" w:rsidR="00322426" w:rsidRDefault="00322426" w:rsidP="00B235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2575222"/>
      <w:docPartObj>
        <w:docPartGallery w:val="Page Numbers (Bottom of Page)"/>
        <w:docPartUnique/>
      </w:docPartObj>
    </w:sdtPr>
    <w:sdtEndPr/>
    <w:sdtContent>
      <w:p w14:paraId="265BE90C" w14:textId="7E0F32C9" w:rsidR="00B235D2" w:rsidRDefault="00B235D2" w:rsidP="00097192">
        <w:pPr>
          <w:pStyle w:val="Footer"/>
          <w:jc w:val="right"/>
        </w:pPr>
        <w:r>
          <w:rPr>
            <w:lang w:val="en-US"/>
          </w:rPr>
          <w:t>S</w:t>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A43BF" w14:textId="77777777" w:rsidR="00322426" w:rsidRDefault="00322426" w:rsidP="00B235D2">
      <w:pPr>
        <w:spacing w:after="0"/>
      </w:pPr>
      <w:r>
        <w:separator/>
      </w:r>
    </w:p>
  </w:footnote>
  <w:footnote w:type="continuationSeparator" w:id="0">
    <w:p w14:paraId="5DAE9122" w14:textId="77777777" w:rsidR="00322426" w:rsidRDefault="00322426" w:rsidP="00B235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07FA7"/>
    <w:multiLevelType w:val="multilevel"/>
    <w:tmpl w:val="041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32C2718"/>
    <w:multiLevelType w:val="multilevel"/>
    <w:tmpl w:val="C54ECE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xNTEzMjQyN7MwNzRW0lEKTi0uzszPAykwNK0FALavA8ItAAAA"/>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Palatino Linotype&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exdxdw6wvvtgev0dlvas2pwezeas0vzz5e&quot;&gt;MyLib&lt;record-ids&gt;&lt;item&gt;12951&lt;/item&gt;&lt;item&gt;19048&lt;/item&gt;&lt;item&gt;19062&lt;/item&gt;&lt;item&gt;19081&lt;/item&gt;&lt;item&gt;19082&lt;/item&gt;&lt;/record-ids&gt;&lt;/item&gt;&lt;/Libraries&gt;"/>
  </w:docVars>
  <w:rsids>
    <w:rsidRoot w:val="00E3697E"/>
    <w:rsid w:val="00005C8E"/>
    <w:rsid w:val="00013C9D"/>
    <w:rsid w:val="00065BB8"/>
    <w:rsid w:val="0007272A"/>
    <w:rsid w:val="00097192"/>
    <w:rsid w:val="000A0DF2"/>
    <w:rsid w:val="000F2B84"/>
    <w:rsid w:val="00103E8F"/>
    <w:rsid w:val="00151B0A"/>
    <w:rsid w:val="00193E0B"/>
    <w:rsid w:val="001A3E73"/>
    <w:rsid w:val="001C426C"/>
    <w:rsid w:val="001D7103"/>
    <w:rsid w:val="001E1707"/>
    <w:rsid w:val="00202045"/>
    <w:rsid w:val="002046DA"/>
    <w:rsid w:val="00215DCF"/>
    <w:rsid w:val="002637AD"/>
    <w:rsid w:val="002B58EE"/>
    <w:rsid w:val="002E1DED"/>
    <w:rsid w:val="00322426"/>
    <w:rsid w:val="00343480"/>
    <w:rsid w:val="00365B28"/>
    <w:rsid w:val="003E5350"/>
    <w:rsid w:val="003F346F"/>
    <w:rsid w:val="00424906"/>
    <w:rsid w:val="00430DD7"/>
    <w:rsid w:val="00457259"/>
    <w:rsid w:val="00475FBA"/>
    <w:rsid w:val="004953A0"/>
    <w:rsid w:val="004D46B8"/>
    <w:rsid w:val="004F2FF4"/>
    <w:rsid w:val="0050552B"/>
    <w:rsid w:val="0053121A"/>
    <w:rsid w:val="005430EF"/>
    <w:rsid w:val="00543600"/>
    <w:rsid w:val="00544E6C"/>
    <w:rsid w:val="0056347A"/>
    <w:rsid w:val="005A045D"/>
    <w:rsid w:val="005B06E1"/>
    <w:rsid w:val="005D7C9B"/>
    <w:rsid w:val="005F0AD4"/>
    <w:rsid w:val="006442C4"/>
    <w:rsid w:val="006524AC"/>
    <w:rsid w:val="00662A77"/>
    <w:rsid w:val="006637AF"/>
    <w:rsid w:val="00667E35"/>
    <w:rsid w:val="006800D6"/>
    <w:rsid w:val="00680CB8"/>
    <w:rsid w:val="006C0B77"/>
    <w:rsid w:val="006D2D30"/>
    <w:rsid w:val="00701AC4"/>
    <w:rsid w:val="00730FE2"/>
    <w:rsid w:val="007501E9"/>
    <w:rsid w:val="0077122F"/>
    <w:rsid w:val="007853F5"/>
    <w:rsid w:val="0079116F"/>
    <w:rsid w:val="00797BED"/>
    <w:rsid w:val="007B152B"/>
    <w:rsid w:val="007B7065"/>
    <w:rsid w:val="007C11D3"/>
    <w:rsid w:val="00802B60"/>
    <w:rsid w:val="0081055F"/>
    <w:rsid w:val="008242FF"/>
    <w:rsid w:val="00865749"/>
    <w:rsid w:val="00870751"/>
    <w:rsid w:val="0087741C"/>
    <w:rsid w:val="00881F13"/>
    <w:rsid w:val="008926B6"/>
    <w:rsid w:val="00894FBB"/>
    <w:rsid w:val="008A0550"/>
    <w:rsid w:val="008C041B"/>
    <w:rsid w:val="008E5B76"/>
    <w:rsid w:val="008F6043"/>
    <w:rsid w:val="00905164"/>
    <w:rsid w:val="00922C48"/>
    <w:rsid w:val="009370B7"/>
    <w:rsid w:val="009435D3"/>
    <w:rsid w:val="009527FE"/>
    <w:rsid w:val="00953467"/>
    <w:rsid w:val="00984BAC"/>
    <w:rsid w:val="00986443"/>
    <w:rsid w:val="0099026D"/>
    <w:rsid w:val="009A21A5"/>
    <w:rsid w:val="009B2836"/>
    <w:rsid w:val="009D465C"/>
    <w:rsid w:val="009E68AC"/>
    <w:rsid w:val="00A249ED"/>
    <w:rsid w:val="00A2613E"/>
    <w:rsid w:val="00A7496D"/>
    <w:rsid w:val="00A956E7"/>
    <w:rsid w:val="00AC5C95"/>
    <w:rsid w:val="00AD2448"/>
    <w:rsid w:val="00AE3D71"/>
    <w:rsid w:val="00B235D2"/>
    <w:rsid w:val="00B83DC4"/>
    <w:rsid w:val="00B915B7"/>
    <w:rsid w:val="00B967B9"/>
    <w:rsid w:val="00BA007E"/>
    <w:rsid w:val="00BE1DE0"/>
    <w:rsid w:val="00BF59EA"/>
    <w:rsid w:val="00C70B64"/>
    <w:rsid w:val="00C873D8"/>
    <w:rsid w:val="00CB7F81"/>
    <w:rsid w:val="00D025F1"/>
    <w:rsid w:val="00D06ACD"/>
    <w:rsid w:val="00D16F9F"/>
    <w:rsid w:val="00D20528"/>
    <w:rsid w:val="00D30AC1"/>
    <w:rsid w:val="00D33C86"/>
    <w:rsid w:val="00D70A86"/>
    <w:rsid w:val="00DB229E"/>
    <w:rsid w:val="00DE4CAF"/>
    <w:rsid w:val="00DE7831"/>
    <w:rsid w:val="00E05876"/>
    <w:rsid w:val="00E12E50"/>
    <w:rsid w:val="00E14152"/>
    <w:rsid w:val="00E2542F"/>
    <w:rsid w:val="00E3697E"/>
    <w:rsid w:val="00E5525B"/>
    <w:rsid w:val="00EA59DF"/>
    <w:rsid w:val="00ED4535"/>
    <w:rsid w:val="00EE4070"/>
    <w:rsid w:val="00EE7376"/>
    <w:rsid w:val="00F12966"/>
    <w:rsid w:val="00F12C76"/>
    <w:rsid w:val="00F22E46"/>
    <w:rsid w:val="00F35D41"/>
    <w:rsid w:val="00FB7D14"/>
    <w:rsid w:val="00FC0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6182"/>
  <w15:chartTrackingRefBased/>
  <w15:docId w15:val="{904966B6-450F-4F20-B50D-8D7BA60B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FE2"/>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9902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4906"/>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873D8"/>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873D8"/>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73D8"/>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73D8"/>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73D8"/>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73D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73D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0"/>
    <w:rsid w:val="009435D3"/>
    <w:pPr>
      <w:spacing w:after="0"/>
      <w:jc w:val="center"/>
    </w:pPr>
    <w:rPr>
      <w:rFonts w:ascii="Palatino Linotype" w:hAnsi="Palatino Linotype" w:cs="Times New Roman"/>
      <w:noProof/>
      <w:sz w:val="22"/>
      <w:lang w:val="en-US"/>
    </w:rPr>
  </w:style>
  <w:style w:type="character" w:customStyle="1" w:styleId="EndNoteBibliographyTitle0">
    <w:name w:val="EndNote Bibliography Title Знак"/>
    <w:basedOn w:val="DefaultParagraphFont"/>
    <w:link w:val="EndNoteBibliographyTitle"/>
    <w:rsid w:val="009435D3"/>
    <w:rPr>
      <w:rFonts w:ascii="Palatino Linotype" w:hAnsi="Palatino Linotype" w:cs="Times New Roman"/>
      <w:noProof/>
      <w:lang w:val="en-US"/>
    </w:rPr>
  </w:style>
  <w:style w:type="paragraph" w:customStyle="1" w:styleId="EndNoteBibliography">
    <w:name w:val="EndNote Bibliography"/>
    <w:basedOn w:val="Normal"/>
    <w:link w:val="EndNoteBibliography0"/>
    <w:rsid w:val="009435D3"/>
    <w:pPr>
      <w:jc w:val="both"/>
    </w:pPr>
    <w:rPr>
      <w:rFonts w:ascii="Palatino Linotype" w:hAnsi="Palatino Linotype" w:cs="Times New Roman"/>
      <w:noProof/>
      <w:sz w:val="22"/>
      <w:lang w:val="en-US"/>
    </w:rPr>
  </w:style>
  <w:style w:type="character" w:customStyle="1" w:styleId="EndNoteBibliography0">
    <w:name w:val="EndNote Bibliography Знак"/>
    <w:basedOn w:val="DefaultParagraphFont"/>
    <w:link w:val="EndNoteBibliography"/>
    <w:rsid w:val="009435D3"/>
    <w:rPr>
      <w:rFonts w:ascii="Palatino Linotype" w:hAnsi="Palatino Linotype" w:cs="Times New Roman"/>
      <w:noProof/>
      <w:lang w:val="en-US"/>
    </w:rPr>
  </w:style>
  <w:style w:type="character" w:styleId="PlaceholderText">
    <w:name w:val="Placeholder Text"/>
    <w:basedOn w:val="DefaultParagraphFont"/>
    <w:uiPriority w:val="99"/>
    <w:semiHidden/>
    <w:rsid w:val="00865749"/>
    <w:rPr>
      <w:color w:val="808080"/>
    </w:rPr>
  </w:style>
  <w:style w:type="paragraph" w:styleId="Caption">
    <w:name w:val="caption"/>
    <w:basedOn w:val="Normal"/>
    <w:next w:val="Normal"/>
    <w:uiPriority w:val="35"/>
    <w:unhideWhenUsed/>
    <w:qFormat/>
    <w:rsid w:val="007B152B"/>
    <w:pPr>
      <w:spacing w:after="200"/>
    </w:pPr>
    <w:rPr>
      <w:i/>
      <w:iCs/>
      <w:color w:val="44546A" w:themeColor="text2"/>
      <w:sz w:val="18"/>
      <w:szCs w:val="18"/>
    </w:rPr>
  </w:style>
  <w:style w:type="table" w:styleId="TableGrid">
    <w:name w:val="Table Grid"/>
    <w:basedOn w:val="TableNormal"/>
    <w:uiPriority w:val="99"/>
    <w:rsid w:val="00E14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02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2490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424906"/>
    <w:pPr>
      <w:spacing w:line="259" w:lineRule="auto"/>
      <w:outlineLvl w:val="9"/>
    </w:pPr>
    <w:rPr>
      <w:lang w:eastAsia="ru-RU"/>
    </w:rPr>
  </w:style>
  <w:style w:type="paragraph" w:styleId="TOC1">
    <w:name w:val="toc 1"/>
    <w:basedOn w:val="Normal"/>
    <w:next w:val="Normal"/>
    <w:autoRedefine/>
    <w:uiPriority w:val="39"/>
    <w:unhideWhenUsed/>
    <w:rsid w:val="00424906"/>
    <w:pPr>
      <w:spacing w:after="100"/>
    </w:pPr>
  </w:style>
  <w:style w:type="paragraph" w:styleId="TOC2">
    <w:name w:val="toc 2"/>
    <w:basedOn w:val="Normal"/>
    <w:next w:val="Normal"/>
    <w:autoRedefine/>
    <w:uiPriority w:val="39"/>
    <w:unhideWhenUsed/>
    <w:rsid w:val="00424906"/>
    <w:pPr>
      <w:spacing w:after="100"/>
      <w:ind w:left="280"/>
    </w:pPr>
  </w:style>
  <w:style w:type="character" w:styleId="Hyperlink">
    <w:name w:val="Hyperlink"/>
    <w:basedOn w:val="DefaultParagraphFont"/>
    <w:uiPriority w:val="99"/>
    <w:unhideWhenUsed/>
    <w:rsid w:val="00424906"/>
    <w:rPr>
      <w:color w:val="0563C1" w:themeColor="hyperlink"/>
      <w:u w:val="single"/>
    </w:rPr>
  </w:style>
  <w:style w:type="paragraph" w:styleId="Header">
    <w:name w:val="header"/>
    <w:basedOn w:val="Normal"/>
    <w:link w:val="HeaderChar"/>
    <w:uiPriority w:val="99"/>
    <w:unhideWhenUsed/>
    <w:rsid w:val="00B235D2"/>
    <w:pPr>
      <w:tabs>
        <w:tab w:val="center" w:pos="4677"/>
        <w:tab w:val="right" w:pos="9355"/>
      </w:tabs>
      <w:spacing w:after="0"/>
    </w:pPr>
  </w:style>
  <w:style w:type="character" w:customStyle="1" w:styleId="HeaderChar">
    <w:name w:val="Header Char"/>
    <w:basedOn w:val="DefaultParagraphFont"/>
    <w:link w:val="Header"/>
    <w:uiPriority w:val="99"/>
    <w:rsid w:val="00B235D2"/>
    <w:rPr>
      <w:rFonts w:ascii="Times New Roman" w:hAnsi="Times New Roman"/>
      <w:sz w:val="28"/>
    </w:rPr>
  </w:style>
  <w:style w:type="paragraph" w:styleId="Footer">
    <w:name w:val="footer"/>
    <w:basedOn w:val="Normal"/>
    <w:link w:val="FooterChar"/>
    <w:uiPriority w:val="99"/>
    <w:unhideWhenUsed/>
    <w:rsid w:val="00B235D2"/>
    <w:pPr>
      <w:tabs>
        <w:tab w:val="center" w:pos="4677"/>
        <w:tab w:val="right" w:pos="9355"/>
      </w:tabs>
      <w:spacing w:after="0"/>
    </w:pPr>
  </w:style>
  <w:style w:type="character" w:customStyle="1" w:styleId="FooterChar">
    <w:name w:val="Footer Char"/>
    <w:basedOn w:val="DefaultParagraphFont"/>
    <w:link w:val="Footer"/>
    <w:uiPriority w:val="99"/>
    <w:rsid w:val="00B235D2"/>
    <w:rPr>
      <w:rFonts w:ascii="Times New Roman" w:hAnsi="Times New Roman"/>
      <w:sz w:val="28"/>
    </w:rPr>
  </w:style>
  <w:style w:type="paragraph" w:customStyle="1" w:styleId="MDPI13authornames">
    <w:name w:val="MDPI_1.3_authornames"/>
    <w:next w:val="Normal"/>
    <w:qFormat/>
    <w:rsid w:val="002B58EE"/>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
    <w:next w:val="Normal"/>
    <w:qFormat/>
    <w:rsid w:val="002B58EE"/>
    <w:pPr>
      <w:adjustRightInd w:val="0"/>
      <w:snapToGrid w:val="0"/>
      <w:spacing w:after="0" w:line="240" w:lineRule="atLeast"/>
      <w:ind w:right="113"/>
    </w:pPr>
    <w:rPr>
      <w:rFonts w:ascii="Palatino Linotype" w:eastAsia="Times New Roman" w:hAnsi="Palatino Linotype" w:cs="Times New Roman"/>
      <w:color w:val="000000"/>
      <w:sz w:val="14"/>
      <w:szCs w:val="20"/>
      <w:lang w:val="en-US" w:eastAsia="de-DE" w:bidi="en-US"/>
    </w:rPr>
  </w:style>
  <w:style w:type="paragraph" w:customStyle="1" w:styleId="MDPI16affiliation">
    <w:name w:val="MDPI_1.6_affiliation"/>
    <w:qFormat/>
    <w:rsid w:val="002B58EE"/>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61Citation">
    <w:name w:val="MDPI_6.1_Citation"/>
    <w:qFormat/>
    <w:rsid w:val="002B58EE"/>
    <w:pPr>
      <w:adjustRightInd w:val="0"/>
      <w:snapToGrid w:val="0"/>
      <w:spacing w:after="0" w:line="240" w:lineRule="atLeast"/>
      <w:ind w:right="113"/>
    </w:pPr>
    <w:rPr>
      <w:rFonts w:ascii="Palatino Linotype" w:eastAsia="SimSun" w:hAnsi="Palatino Linotype" w:cs="Cordia New"/>
      <w:sz w:val="14"/>
      <w:lang w:val="en-US" w:eastAsia="zh-CN"/>
    </w:rPr>
  </w:style>
  <w:style w:type="paragraph" w:customStyle="1" w:styleId="MDPI63Notes">
    <w:name w:val="MDPI_6.3_Notes"/>
    <w:qFormat/>
    <w:rsid w:val="002B58EE"/>
    <w:pPr>
      <w:adjustRightInd w:val="0"/>
      <w:snapToGrid w:val="0"/>
      <w:spacing w:after="120" w:line="240" w:lineRule="atLeast"/>
      <w:ind w:right="113"/>
    </w:pPr>
    <w:rPr>
      <w:rFonts w:ascii="Palatino Linotype" w:eastAsia="SimSun" w:hAnsi="Palatino Linotype" w:cs="Times New Roman"/>
      <w:snapToGrid w:val="0"/>
      <w:color w:val="000000"/>
      <w:sz w:val="14"/>
      <w:szCs w:val="20"/>
      <w:lang w:val="en-US" w:bidi="en-US"/>
    </w:rPr>
  </w:style>
  <w:style w:type="paragraph" w:customStyle="1" w:styleId="MDPI51figurecaption">
    <w:name w:val="MDPI_5.1_figure_caption"/>
    <w:qFormat/>
    <w:rsid w:val="00730FE2"/>
    <w:pPr>
      <w:adjustRightInd w:val="0"/>
      <w:snapToGrid w:val="0"/>
      <w:spacing w:before="120" w:after="240" w:line="228" w:lineRule="auto"/>
      <w:ind w:left="2608"/>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730FE2"/>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32textnoindent">
    <w:name w:val="MDPI_3.2_text_no_indent"/>
    <w:basedOn w:val="MDPI31text"/>
    <w:qFormat/>
    <w:rsid w:val="000A0DF2"/>
    <w:pPr>
      <w:ind w:firstLine="0"/>
    </w:pPr>
  </w:style>
  <w:style w:type="paragraph" w:customStyle="1" w:styleId="MDPI31text">
    <w:name w:val="MDPI_3.1_text"/>
    <w:link w:val="MDPI31text0"/>
    <w:qFormat/>
    <w:rsid w:val="00C873D8"/>
    <w:pPr>
      <w:adjustRightInd w:val="0"/>
      <w:snapToGrid w:val="0"/>
      <w:spacing w:after="0" w:line="228" w:lineRule="auto"/>
      <w:ind w:firstLine="567"/>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qFormat/>
    <w:rsid w:val="000A0DF2"/>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2heading2">
    <w:name w:val="MDPI_2.2_heading2"/>
    <w:qFormat/>
    <w:rsid w:val="000A0DF2"/>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character" w:customStyle="1" w:styleId="MDPI31text0">
    <w:name w:val="MDPI_3.1_text Знак"/>
    <w:basedOn w:val="DefaultParagraphFont"/>
    <w:link w:val="MDPI31text"/>
    <w:rsid w:val="00C873D8"/>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qFormat/>
    <w:rsid w:val="000A0DF2"/>
    <w:pPr>
      <w:adjustRightInd w:val="0"/>
      <w:snapToGrid w:val="0"/>
      <w:spacing w:before="240" w:after="120" w:line="228" w:lineRule="auto"/>
      <w:ind w:left="2608"/>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0A0DF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qFormat/>
    <w:rsid w:val="000A0DF2"/>
    <w:pPr>
      <w:adjustRightInd w:val="0"/>
      <w:snapToGrid w:val="0"/>
      <w:spacing w:after="0" w:line="228" w:lineRule="auto"/>
      <w:ind w:left="2608"/>
    </w:pPr>
    <w:rPr>
      <w:rFonts w:ascii="Palatino Linotype" w:eastAsia="Times New Roman" w:hAnsi="Palatino Linotype" w:cs="Cordia New"/>
      <w:color w:val="000000"/>
      <w:sz w:val="18"/>
      <w:lang w:val="en-US" w:eastAsia="de-DE" w:bidi="en-US"/>
    </w:rPr>
  </w:style>
  <w:style w:type="character" w:customStyle="1" w:styleId="Heading3Char">
    <w:name w:val="Heading 3 Char"/>
    <w:basedOn w:val="DefaultParagraphFont"/>
    <w:link w:val="Heading3"/>
    <w:uiPriority w:val="9"/>
    <w:semiHidden/>
    <w:rsid w:val="00C873D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873D8"/>
    <w:rPr>
      <w:rFonts w:asciiTheme="majorHAnsi" w:eastAsiaTheme="majorEastAsia" w:hAnsiTheme="majorHAnsi" w:cstheme="majorBidi"/>
      <w:i/>
      <w:iCs/>
      <w:color w:val="2F5496" w:themeColor="accent1" w:themeShade="BF"/>
      <w:sz w:val="28"/>
    </w:rPr>
  </w:style>
  <w:style w:type="character" w:customStyle="1" w:styleId="Heading5Char">
    <w:name w:val="Heading 5 Char"/>
    <w:basedOn w:val="DefaultParagraphFont"/>
    <w:link w:val="Heading5"/>
    <w:uiPriority w:val="9"/>
    <w:semiHidden/>
    <w:rsid w:val="00C873D8"/>
    <w:rPr>
      <w:rFonts w:asciiTheme="majorHAnsi" w:eastAsiaTheme="majorEastAsia" w:hAnsiTheme="majorHAnsi" w:cstheme="majorBidi"/>
      <w:color w:val="2F5496" w:themeColor="accent1" w:themeShade="BF"/>
      <w:sz w:val="28"/>
    </w:rPr>
  </w:style>
  <w:style w:type="character" w:customStyle="1" w:styleId="Heading6Char">
    <w:name w:val="Heading 6 Char"/>
    <w:basedOn w:val="DefaultParagraphFont"/>
    <w:link w:val="Heading6"/>
    <w:uiPriority w:val="9"/>
    <w:semiHidden/>
    <w:rsid w:val="00C873D8"/>
    <w:rPr>
      <w:rFonts w:asciiTheme="majorHAnsi" w:eastAsiaTheme="majorEastAsia" w:hAnsiTheme="majorHAnsi" w:cstheme="majorBidi"/>
      <w:color w:val="1F3763" w:themeColor="accent1" w:themeShade="7F"/>
      <w:sz w:val="28"/>
    </w:rPr>
  </w:style>
  <w:style w:type="character" w:customStyle="1" w:styleId="Heading7Char">
    <w:name w:val="Heading 7 Char"/>
    <w:basedOn w:val="DefaultParagraphFont"/>
    <w:link w:val="Heading7"/>
    <w:uiPriority w:val="9"/>
    <w:semiHidden/>
    <w:rsid w:val="00C873D8"/>
    <w:rPr>
      <w:rFonts w:asciiTheme="majorHAnsi" w:eastAsiaTheme="majorEastAsia" w:hAnsiTheme="majorHAnsi" w:cstheme="majorBidi"/>
      <w:i/>
      <w:iCs/>
      <w:color w:val="1F3763" w:themeColor="accent1" w:themeShade="7F"/>
      <w:sz w:val="28"/>
    </w:rPr>
  </w:style>
  <w:style w:type="character" w:customStyle="1" w:styleId="Heading8Char">
    <w:name w:val="Heading 8 Char"/>
    <w:basedOn w:val="DefaultParagraphFont"/>
    <w:link w:val="Heading8"/>
    <w:uiPriority w:val="9"/>
    <w:semiHidden/>
    <w:rsid w:val="00C873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73D8"/>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D70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ultsonch.2021.105533" TargetMode="External"/><Relationship Id="rId18" Type="http://schemas.openxmlformats.org/officeDocument/2006/relationships/hyperlink" Target="https://doi.org/10.1016/j.saa.2018.05.1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doi.org/10.1006/jcat.2002.3694" TargetMode="External"/><Relationship Id="rId2" Type="http://schemas.openxmlformats.org/officeDocument/2006/relationships/numbering" Target="numbering.xml"/><Relationship Id="rId16" Type="http://schemas.openxmlformats.org/officeDocument/2006/relationships/hyperlink" Target="https://doi.org/10.1016/S0021-8502(96)00064-X" TargetMode="External"/><Relationship Id="rId20" Type="http://schemas.openxmlformats.org/officeDocument/2006/relationships/hyperlink" Target="https://doi.org/10.1016/j.colsurfb.2017.05.0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doi.org/10.1016/j.carbon.2020.06.004" TargetMode="External"/><Relationship Id="rId10" Type="http://schemas.openxmlformats.org/officeDocument/2006/relationships/image" Target="media/image2.emf"/><Relationship Id="rId19" Type="http://schemas.openxmlformats.org/officeDocument/2006/relationships/hyperlink" Target="https://doi.org/10.1016/j.molliq.2020.11499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mencom.2018.09.01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931D6-17BF-410B-ACA3-23F761AA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9</Pages>
  <Words>6531</Words>
  <Characters>37228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Mikheev</dc:creator>
  <cp:keywords/>
  <dc:description/>
  <cp:lastModifiedBy>Ivan Mikheev</cp:lastModifiedBy>
  <cp:revision>97</cp:revision>
  <dcterms:created xsi:type="dcterms:W3CDTF">2021-04-21T04:56:00Z</dcterms:created>
  <dcterms:modified xsi:type="dcterms:W3CDTF">2021-05-23T13:24:00Z</dcterms:modified>
</cp:coreProperties>
</file>