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692" w:rsidRPr="007368F3" w:rsidRDefault="00504692" w:rsidP="00504692">
      <w:pPr>
        <w:rPr>
          <w:rFonts w:asciiTheme="majorHAnsi" w:hAnsiTheme="majorHAnsi" w:cs="AdvOT1ef757c0"/>
          <w:b/>
          <w:sz w:val="22"/>
          <w:szCs w:val="22"/>
        </w:rPr>
      </w:pPr>
      <w:r>
        <w:rPr>
          <w:rFonts w:asciiTheme="majorHAnsi" w:hAnsiTheme="majorHAnsi" w:cs="AdvOT1ef757c0"/>
          <w:b/>
          <w:sz w:val="22"/>
          <w:szCs w:val="22"/>
        </w:rPr>
        <w:t>Table S1</w:t>
      </w:r>
      <w:r>
        <w:rPr>
          <w:rFonts w:asciiTheme="majorHAnsi" w:hAnsiTheme="majorHAnsi" w:cs="AdvOT1ef757c0"/>
          <w:b/>
          <w:sz w:val="22"/>
          <w:szCs w:val="22"/>
        </w:rPr>
        <w:t xml:space="preserve">: </w:t>
      </w:r>
      <w:r w:rsidRPr="007368F3">
        <w:rPr>
          <w:rFonts w:asciiTheme="majorHAnsi" w:hAnsiTheme="majorHAnsi" w:cs="AdvOT1ef757c0"/>
          <w:b/>
          <w:sz w:val="22"/>
          <w:szCs w:val="22"/>
        </w:rPr>
        <w:t xml:space="preserve">BCD checklist of handwashing behavioural components and determinants </w:t>
      </w:r>
    </w:p>
    <w:p w:rsidR="00504692" w:rsidRDefault="00504692" w:rsidP="00504692">
      <w:pPr>
        <w:rPr>
          <w:rFonts w:asciiTheme="majorHAnsi" w:hAnsiTheme="majorHAnsi" w:cs="AdvOT1ef757c0"/>
          <w:b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1790"/>
        <w:gridCol w:w="5989"/>
      </w:tblGrid>
      <w:tr w:rsidR="00504692" w:rsidRPr="007368F3" w:rsidTr="0014738D">
        <w:tc>
          <w:tcPr>
            <w:tcW w:w="12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en-GB"/>
              </w:rPr>
              <w:t xml:space="preserve">BCD component </w:t>
            </w:r>
          </w:p>
        </w:tc>
        <w:tc>
          <w:tcPr>
            <w:tcW w:w="17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b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b/>
                <w:sz w:val="22"/>
                <w:szCs w:val="22"/>
                <w:lang w:eastAsia="en-GB"/>
              </w:rPr>
              <w:t xml:space="preserve">Determinant </w:t>
            </w:r>
          </w:p>
        </w:tc>
        <w:tc>
          <w:tcPr>
            <w:tcW w:w="59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b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b/>
                <w:sz w:val="22"/>
                <w:szCs w:val="22"/>
                <w:lang w:eastAsia="en-GB"/>
              </w:rPr>
              <w:t xml:space="preserve">Definition of each determinant adapted to handwashing </w:t>
            </w:r>
          </w:p>
        </w:tc>
      </w:tr>
      <w:tr w:rsidR="00504692" w:rsidRPr="007368F3" w:rsidTr="0014738D">
        <w:tc>
          <w:tcPr>
            <w:tcW w:w="129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en-GB"/>
              </w:rPr>
              <w:t>Brain</w:t>
            </w:r>
          </w:p>
        </w:tc>
        <w:tc>
          <w:tcPr>
            <w:tcW w:w="17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Executive Brain</w:t>
            </w:r>
          </w:p>
        </w:tc>
        <w:tc>
          <w:tcPr>
            <w:tcW w:w="5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The extent to which knowledge of handwashing behaviour and its benefits affects handwashing intentions and plans, and eventually performance of the behaviour.</w:t>
            </w:r>
          </w:p>
        </w:tc>
      </w:tr>
      <w:tr w:rsidR="00504692" w:rsidRPr="007368F3" w:rsidTr="0014738D">
        <w:tc>
          <w:tcPr>
            <w:tcW w:w="1293" w:type="dxa"/>
            <w:vMerge/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Motivated Brain</w:t>
            </w:r>
          </w:p>
        </w:tc>
        <w:tc>
          <w:tcPr>
            <w:tcW w:w="5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 xml:space="preserve">The goal-related drivers of behaviour. Motives for handwashing can include (but 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are</w:t>
            </w: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 xml:space="preserve"> not limited to) disgust (the d</w:t>
            </w:r>
            <w:bookmarkStart w:id="0" w:name="_GoBack"/>
            <w:bookmarkEnd w:id="0"/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esire to avoid cues to sources of infection), affiliation (the desire to fit in with others) and nurture (the desire to care for your child).</w:t>
            </w:r>
          </w:p>
        </w:tc>
      </w:tr>
      <w:tr w:rsidR="00504692" w:rsidRPr="007368F3" w:rsidTr="0014738D">
        <w:tc>
          <w:tcPr>
            <w:tcW w:w="1293" w:type="dxa"/>
            <w:vMerge/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Reactive Brain</w:t>
            </w:r>
          </w:p>
        </w:tc>
        <w:tc>
          <w:tcPr>
            <w:tcW w:w="5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The extent to which handwashing can be automatically triggered based on past experience and repetition.</w:t>
            </w:r>
          </w:p>
        </w:tc>
      </w:tr>
      <w:tr w:rsidR="00504692" w:rsidRPr="007368F3" w:rsidTr="0014738D">
        <w:tc>
          <w:tcPr>
            <w:tcW w:w="1293" w:type="dxa"/>
            <w:vMerge/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Discounts</w:t>
            </w:r>
          </w:p>
        </w:tc>
        <w:tc>
          <w:tcPr>
            <w:tcW w:w="5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The perceived time, effort and costs of washing hands with soap as compared to other courses of action.</w:t>
            </w:r>
          </w:p>
        </w:tc>
      </w:tr>
      <w:tr w:rsidR="00504692" w:rsidRPr="007368F3" w:rsidTr="0014738D">
        <w:tc>
          <w:tcPr>
            <w:tcW w:w="129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en-GB"/>
              </w:rPr>
              <w:t>Body</w:t>
            </w:r>
          </w:p>
        </w:tc>
        <w:tc>
          <w:tcPr>
            <w:tcW w:w="17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Characteristics</w:t>
            </w:r>
          </w:p>
        </w:tc>
        <w:tc>
          <w:tcPr>
            <w:tcW w:w="5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Socio-demographic characteristics that may affect handwashing, including gender, wealth, age, education and employment.</w:t>
            </w:r>
          </w:p>
        </w:tc>
      </w:tr>
      <w:tr w:rsidR="00504692" w:rsidRPr="007368F3" w:rsidTr="0014738D">
        <w:tc>
          <w:tcPr>
            <w:tcW w:w="1293" w:type="dxa"/>
            <w:vMerge/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Senses</w:t>
            </w:r>
          </w:p>
        </w:tc>
        <w:tc>
          <w:tcPr>
            <w:tcW w:w="5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The sensory perceptions that may cue handwashing behaviour or be experienced during or after handwashing.</w:t>
            </w:r>
          </w:p>
        </w:tc>
      </w:tr>
      <w:tr w:rsidR="00504692" w:rsidRPr="007368F3" w:rsidTr="0014738D">
        <w:tc>
          <w:tcPr>
            <w:tcW w:w="1293" w:type="dxa"/>
            <w:vMerge/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Capabilities</w:t>
            </w:r>
          </w:p>
        </w:tc>
        <w:tc>
          <w:tcPr>
            <w:tcW w:w="5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 xml:space="preserve">Whether an individual has the skills required to wash their hands with soap. </w:t>
            </w:r>
          </w:p>
          <w:p w:rsidR="00504692" w:rsidRPr="007368F3" w:rsidRDefault="00504692" w:rsidP="0014738D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Whether an individual perceives themselves to be able and willing to actually wash their hands at the times required.</w:t>
            </w:r>
          </w:p>
        </w:tc>
      </w:tr>
      <w:tr w:rsidR="00504692" w:rsidRPr="007368F3" w:rsidTr="0014738D">
        <w:tc>
          <w:tcPr>
            <w:tcW w:w="129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en-GB"/>
              </w:rPr>
              <w:t>Behaviour settings</w:t>
            </w:r>
          </w:p>
        </w:tc>
        <w:tc>
          <w:tcPr>
            <w:tcW w:w="17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Stage</w:t>
            </w:r>
          </w:p>
        </w:tc>
        <w:tc>
          <w:tcPr>
            <w:tcW w:w="5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The design and set up of the specific physical spaces where handwashing behaviour takes place.</w:t>
            </w:r>
          </w:p>
        </w:tc>
      </w:tr>
      <w:tr w:rsidR="00504692" w:rsidRPr="007368F3" w:rsidTr="0014738D">
        <w:tc>
          <w:tcPr>
            <w:tcW w:w="1293" w:type="dxa"/>
            <w:vMerge/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Infrastructure</w:t>
            </w:r>
          </w:p>
        </w:tc>
        <w:tc>
          <w:tcPr>
            <w:tcW w:w="5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Durable infrastructure associated with handwashing such as water supply systems, sanitation, kitchen facilities and handwashing facilities.</w:t>
            </w:r>
          </w:p>
        </w:tc>
      </w:tr>
      <w:tr w:rsidR="00504692" w:rsidRPr="007368F3" w:rsidTr="0014738D">
        <w:tc>
          <w:tcPr>
            <w:tcW w:w="1293" w:type="dxa"/>
            <w:vMerge/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Props</w:t>
            </w:r>
          </w:p>
        </w:tc>
        <w:tc>
          <w:tcPr>
            <w:tcW w:w="5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The value, characteristics, usability, ownership and accessibility of soap and other objects used for handwashing.</w:t>
            </w:r>
          </w:p>
        </w:tc>
      </w:tr>
      <w:tr w:rsidR="00504692" w:rsidRPr="007368F3" w:rsidTr="0014738D">
        <w:tc>
          <w:tcPr>
            <w:tcW w:w="1293" w:type="dxa"/>
            <w:vMerge/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Roles</w:t>
            </w:r>
          </w:p>
        </w:tc>
        <w:tc>
          <w:tcPr>
            <w:tcW w:w="5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The ways in which an individual's role, identity or responsibilities influence their handwashing practices.</w:t>
            </w:r>
          </w:p>
        </w:tc>
      </w:tr>
      <w:tr w:rsidR="00504692" w:rsidRPr="007368F3" w:rsidTr="0014738D">
        <w:tc>
          <w:tcPr>
            <w:tcW w:w="1293" w:type="dxa"/>
            <w:vMerge/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Routine</w:t>
            </w:r>
          </w:p>
        </w:tc>
        <w:tc>
          <w:tcPr>
            <w:tcW w:w="5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The sequence of behaviours regularly performed in association with handwashing.</w:t>
            </w:r>
          </w:p>
        </w:tc>
      </w:tr>
      <w:tr w:rsidR="00504692" w:rsidRPr="007368F3" w:rsidTr="0014738D">
        <w:tc>
          <w:tcPr>
            <w:tcW w:w="1293" w:type="dxa"/>
            <w:vMerge/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Norms</w:t>
            </w:r>
          </w:p>
        </w:tc>
        <w:tc>
          <w:tcPr>
            <w:tcW w:w="5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 xml:space="preserve">The extent to which an individual's handwashing practice is influenced by their perception of normative setting-specific rules. This includes an individual's perception of whether handwashing is commonly practiced in their community (descriptive norm); whether handwashing is part of their role and their normal behaviour (personal norm); whether </w:t>
            </w: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lastRenderedPageBreak/>
              <w:t>handwashing is socially approved of (injunctive norm); and whether handwashing is practiced by their ‘valued others’ (subjective norm).</w:t>
            </w:r>
          </w:p>
        </w:tc>
      </w:tr>
      <w:tr w:rsidR="00504692" w:rsidRPr="007368F3" w:rsidTr="0014738D">
        <w:tc>
          <w:tcPr>
            <w:tcW w:w="129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en-GB"/>
              </w:rPr>
              <w:lastRenderedPageBreak/>
              <w:t>Environment</w:t>
            </w:r>
          </w:p>
        </w:tc>
        <w:tc>
          <w:tcPr>
            <w:tcW w:w="17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Physical environment</w:t>
            </w:r>
          </w:p>
        </w:tc>
        <w:tc>
          <w:tcPr>
            <w:tcW w:w="5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Factors in the physical or built environment including climate and geography.</w:t>
            </w:r>
          </w:p>
        </w:tc>
      </w:tr>
      <w:tr w:rsidR="00504692" w:rsidRPr="007368F3" w:rsidTr="0014738D">
        <w:tc>
          <w:tcPr>
            <w:tcW w:w="1293" w:type="dxa"/>
            <w:vMerge/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Biological Environment</w:t>
            </w:r>
          </w:p>
        </w:tc>
        <w:tc>
          <w:tcPr>
            <w:tcW w:w="5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Factors associated with an individual's interaction within their biological environment.</w:t>
            </w:r>
          </w:p>
        </w:tc>
      </w:tr>
      <w:tr w:rsidR="00504692" w:rsidRPr="007368F3" w:rsidTr="0014738D">
        <w:tc>
          <w:tcPr>
            <w:tcW w:w="1293" w:type="dxa"/>
            <w:vMerge/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Social Environment</w:t>
            </w:r>
          </w:p>
        </w:tc>
        <w:tc>
          <w:tcPr>
            <w:tcW w:w="5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The structure of an individual's social environment, including how they interact with it and perceive themselves within it.</w:t>
            </w:r>
          </w:p>
        </w:tc>
      </w:tr>
      <w:tr w:rsidR="00504692" w:rsidRPr="007368F3" w:rsidTr="0014738D">
        <w:tc>
          <w:tcPr>
            <w:tcW w:w="12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en-GB"/>
              </w:rPr>
              <w:t>External context</w:t>
            </w:r>
          </w:p>
        </w:tc>
        <w:tc>
          <w:tcPr>
            <w:tcW w:w="17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Political and historical context</w:t>
            </w:r>
          </w:p>
        </w:tc>
        <w:tc>
          <w:tcPr>
            <w:tcW w:w="59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692" w:rsidRPr="007368F3" w:rsidRDefault="00504692" w:rsidP="0014738D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</w:pPr>
            <w:r w:rsidRPr="007368F3">
              <w:rPr>
                <w:rFonts w:asciiTheme="majorHAnsi" w:eastAsia="Times New Roman" w:hAnsiTheme="majorHAnsi" w:cs="Times New Roman"/>
                <w:sz w:val="22"/>
                <w:szCs w:val="22"/>
                <w:lang w:eastAsia="en-GB"/>
              </w:rPr>
              <w:t>The historical and cultural events that have shaped current perceptions and practices of handwashing. The extent to which handwashing-related policies or local and national leadership on handwashing issues, shape handwashing perceptions and practices at the individual level.</w:t>
            </w:r>
          </w:p>
        </w:tc>
      </w:tr>
    </w:tbl>
    <w:p w:rsidR="00504692" w:rsidRPr="007368F3" w:rsidRDefault="00504692" w:rsidP="00504692">
      <w:p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="00680605" w:rsidRDefault="00680605"/>
    <w:sectPr w:rsidR="00680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vOT1ef757c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83E83"/>
    <w:multiLevelType w:val="hybridMultilevel"/>
    <w:tmpl w:val="6F1059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683987"/>
    <w:multiLevelType w:val="hybridMultilevel"/>
    <w:tmpl w:val="3CB209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92"/>
    <w:rsid w:val="00504692"/>
    <w:rsid w:val="0068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AE861"/>
  <w15:chartTrackingRefBased/>
  <w15:docId w15:val="{22038EBE-BC28-41C7-91C9-E1781B26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692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04692"/>
    <w:pPr>
      <w:ind w:left="720"/>
      <w:contextualSpacing/>
    </w:pPr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046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Yolisa Nalule</dc:creator>
  <cp:keywords/>
  <dc:description/>
  <cp:lastModifiedBy>Yolisa Nalule</cp:lastModifiedBy>
  <cp:revision>1</cp:revision>
  <dcterms:created xsi:type="dcterms:W3CDTF">2021-03-18T11:56:00Z</dcterms:created>
  <dcterms:modified xsi:type="dcterms:W3CDTF">2021-03-18T11:58:00Z</dcterms:modified>
</cp:coreProperties>
</file>