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00CF" w14:textId="77777777" w:rsidR="008D1C6F" w:rsidRDefault="008D1C6F" w:rsidP="008D1C6F">
      <w:pPr>
        <w:pStyle w:val="Titolo2"/>
        <w:spacing w:after="240"/>
        <w:ind w:left="425"/>
      </w:pPr>
      <w:r>
        <w:t>Supplementary Data</w:t>
      </w:r>
    </w:p>
    <w:p w14:paraId="013DDE11" w14:textId="67B04F61" w:rsidR="008D1C6F" w:rsidRDefault="008D1C6F" w:rsidP="008D1C6F"/>
    <w:p w14:paraId="71E23818" w14:textId="0E8ED43A" w:rsidR="008D1C6F" w:rsidRDefault="008D1C6F" w:rsidP="008D1C6F"/>
    <w:p w14:paraId="187070F1" w14:textId="77777777" w:rsidR="008D1C6F" w:rsidRDefault="008D1C6F" w:rsidP="008D1C6F"/>
    <w:p w14:paraId="3D7CF5FD" w14:textId="7CFE9E56" w:rsidR="008D1C6F" w:rsidRDefault="008D1C6F" w:rsidP="008D1C6F">
      <w:pPr>
        <w:spacing w:before="240" w:after="120"/>
        <w:rPr>
          <w:rFonts w:ascii="Palatino Linotype" w:eastAsia="Palatino Linotype" w:hAnsi="Palatino Linotype" w:cs="Palatino Linotype"/>
          <w:sz w:val="20"/>
          <w:szCs w:val="20"/>
          <w:highlight w:val="yellow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Tab S1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Comparison between peak open probability and deactivation time constants values obtained from our implementation and the ones reported by the original models. Values were obtained by simulati</w:t>
      </w:r>
      <w:r w:rsidR="00025453">
        <w:rPr>
          <w:rFonts w:ascii="Palatino Linotype" w:eastAsia="Palatino Linotype" w:hAnsi="Palatino Linotype" w:cs="Palatino Linotype"/>
          <w:i/>
          <w:sz w:val="20"/>
          <w:szCs w:val="20"/>
        </w:rPr>
        <w:t>ng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the respective models with 1 glutamate pulse of 1 mM amplitude and 1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</w:rPr>
        <w:t>ms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of glutamate width.</w:t>
      </w:r>
    </w:p>
    <w:tbl>
      <w:tblPr>
        <w:tblW w:w="6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395"/>
        <w:gridCol w:w="1245"/>
        <w:gridCol w:w="1320"/>
        <w:gridCol w:w="1185"/>
      </w:tblGrid>
      <w:tr w:rsidR="008D1C6F" w14:paraId="511EACC0" w14:textId="77777777" w:rsidTr="00DD5A01">
        <w:trPr>
          <w:trHeight w:val="315"/>
        </w:trPr>
        <w:tc>
          <w:tcPr>
            <w:tcW w:w="1215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5AD25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</w:p>
        </w:tc>
        <w:tc>
          <w:tcPr>
            <w:tcW w:w="26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05F9F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Peak open probability</w:t>
            </w:r>
          </w:p>
        </w:tc>
        <w:tc>
          <w:tcPr>
            <w:tcW w:w="250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14848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Deactivation time constant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8D1C6F" w14:paraId="504223BD" w14:textId="77777777" w:rsidTr="00DD5A01">
        <w:trPr>
          <w:trHeight w:val="360"/>
        </w:trPr>
        <w:tc>
          <w:tcPr>
            <w:tcW w:w="1215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1D3D" w14:textId="77777777" w:rsidR="008D1C6F" w:rsidRDefault="008D1C6F" w:rsidP="00DD5A01">
            <w:pPr>
              <w:jc w:val="center"/>
              <w:rPr>
                <w:rFonts w:ascii="Palatino Linotype" w:eastAsia="Palatino Linotype" w:hAnsi="Palatino Linotype" w:cs="Palatino Linotype"/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C7EAE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PySB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model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4CB07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Original model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DA202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PySB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model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D1819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Original model</w:t>
            </w:r>
          </w:p>
        </w:tc>
      </w:tr>
      <w:tr w:rsidR="008D1C6F" w14:paraId="14C8123C" w14:textId="77777777" w:rsidTr="00DD5A01">
        <w:trPr>
          <w:trHeight w:val="525"/>
        </w:trPr>
        <w:tc>
          <w:tcPr>
            <w:tcW w:w="12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ED65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AMPA</w:t>
            </w:r>
          </w:p>
        </w:tc>
        <w:tc>
          <w:tcPr>
            <w:tcW w:w="139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CE61B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0.32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445F1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highlight w:val="yellow"/>
                <w:vertAlign w:val="superscript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0.32 </w:t>
            </w:r>
            <w:hyperlink r:id="rId4">
              <w:r>
                <w:rPr>
                  <w:rFonts w:ascii="Palatino Linotype" w:eastAsia="Palatino Linotype" w:hAnsi="Palatino Linotype" w:cs="Palatino Linotype"/>
                  <w:sz w:val="18"/>
                  <w:szCs w:val="18"/>
                </w:rPr>
                <w:t>[36]</w:t>
              </w:r>
            </w:hyperlink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C07DD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0.54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696E8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  <w:highlight w:val="white"/>
              </w:rPr>
              <w:t xml:space="preserve">0.52 </w:t>
            </w:r>
            <w:hyperlink r:id="rId5">
              <w:r>
                <w:rPr>
                  <w:rFonts w:ascii="Palatino Linotype" w:eastAsia="Palatino Linotype" w:hAnsi="Palatino Linotype" w:cs="Palatino Linotype"/>
                  <w:sz w:val="18"/>
                  <w:szCs w:val="18"/>
                  <w:highlight w:val="white"/>
                </w:rPr>
                <w:t>[36]</w:t>
              </w:r>
            </w:hyperlink>
          </w:p>
        </w:tc>
      </w:tr>
      <w:tr w:rsidR="008D1C6F" w14:paraId="239EF9E4" w14:textId="77777777" w:rsidTr="00DD5A01">
        <w:trPr>
          <w:trHeight w:val="390"/>
        </w:trPr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3401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NMDA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7EAA6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0.27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1A572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highlight w:val="yellow"/>
                <w:vertAlign w:val="superscript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0.27 </w:t>
            </w:r>
            <w:hyperlink r:id="rId6">
              <w:r>
                <w:rPr>
                  <w:rFonts w:ascii="Palatino Linotype" w:eastAsia="Palatino Linotype" w:hAnsi="Palatino Linotype" w:cs="Palatino Linotype"/>
                  <w:sz w:val="18"/>
                  <w:szCs w:val="18"/>
                </w:rPr>
                <w:t>[37]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4B04D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162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C420F" w14:textId="77777777" w:rsidR="008D1C6F" w:rsidRDefault="008D1C6F" w:rsidP="00DD5A01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  <w:highlight w:val="yellow"/>
                <w:vertAlign w:val="superscript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173 </w:t>
            </w:r>
            <w:hyperlink r:id="rId7">
              <w:r>
                <w:rPr>
                  <w:rFonts w:ascii="Palatino Linotype" w:eastAsia="Palatino Linotype" w:hAnsi="Palatino Linotype" w:cs="Palatino Linotype"/>
                  <w:sz w:val="18"/>
                  <w:szCs w:val="18"/>
                </w:rPr>
                <w:t>[37]</w:t>
              </w:r>
            </w:hyperlink>
          </w:p>
        </w:tc>
      </w:tr>
    </w:tbl>
    <w:p w14:paraId="7E88528C" w14:textId="4ED3BD0B" w:rsidR="008D1C6F" w:rsidRDefault="008D1C6F">
      <w:pPr>
        <w:jc w:val="left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br w:type="page"/>
      </w:r>
    </w:p>
    <w:p w14:paraId="2C083653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</w:p>
    <w:p w14:paraId="6D38A205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Tab S2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List of the parameters used in the equations of the CPC module.</w:t>
      </w:r>
    </w:p>
    <w:tbl>
      <w:tblPr>
        <w:tblW w:w="53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990"/>
        <w:gridCol w:w="1320"/>
        <w:gridCol w:w="1762"/>
      </w:tblGrid>
      <w:tr w:rsidR="008D1C6F" w14:paraId="53293AEC" w14:textId="77777777" w:rsidTr="00025453">
        <w:tc>
          <w:tcPr>
            <w:tcW w:w="1305" w:type="dxa"/>
            <w:tcBorders>
              <w:top w:val="single" w:sz="12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8F3B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Parameter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8" w:space="0" w:color="FFFFFF"/>
              <w:bottom w:val="single" w:sz="4" w:space="0" w:color="00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962F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Value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8" w:space="0" w:color="999999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7B69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Parameter</w:t>
            </w:r>
          </w:p>
        </w:tc>
        <w:tc>
          <w:tcPr>
            <w:tcW w:w="1762" w:type="dxa"/>
            <w:tcBorders>
              <w:top w:val="single" w:sz="12" w:space="0" w:color="000000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7263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Value</w:t>
            </w:r>
          </w:p>
        </w:tc>
      </w:tr>
      <w:tr w:rsidR="008D1C6F" w14:paraId="50360F41" w14:textId="77777777" w:rsidTr="00025453">
        <w:tc>
          <w:tcPr>
            <w:tcW w:w="1305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64C58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B94B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+67 (mV)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2653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AMPA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AFAD7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 (mV)</w:t>
            </w:r>
          </w:p>
        </w:tc>
      </w:tr>
      <w:tr w:rsidR="008D1C6F" w14:paraId="10A59B57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01E9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fast</w:t>
            </w:r>
            <w:proofErr w:type="spellEnd"/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248E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0.75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3E6B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NMDA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C58BF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 (mV)</w:t>
            </w:r>
          </w:p>
        </w:tc>
      </w:tr>
      <w:tr w:rsidR="008D1C6F" w14:paraId="6C38187C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0723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I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slow</w:t>
            </w:r>
            <w:proofErr w:type="spellEnd"/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9BD6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0.25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3D95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K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32A2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0.093 (</w:t>
            </w:r>
            <w:proofErr w:type="gram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mV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perscript"/>
              </w:rPr>
              <w:t>-1</w:t>
            </w:r>
            <w:proofErr w:type="gram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</w:tr>
      <w:tr w:rsidR="008D1C6F" w14:paraId="1E03BB4C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509F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𝜏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fast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BC19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3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ms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1135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R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S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2D721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500 (MΩ)</w:t>
            </w:r>
          </w:p>
        </w:tc>
      </w:tr>
      <w:tr w:rsidR="008D1C6F" w14:paraId="6C7E7EA0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50FD4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𝜏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slow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FADA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25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ms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57EF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G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Ca2+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4464" w14:textId="7E206BDB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0.002 (µM</w:t>
            </w:r>
            <w:r w:rsidR="00025453">
              <w:rPr>
                <w:rFonts w:ascii="Palatino Linotype" w:eastAsia="Palatino Linotype" w:hAnsi="Palatino Linotype" w:cs="Palatino Linotype"/>
                <w:sz w:val="16"/>
                <w:szCs w:val="16"/>
              </w:rPr>
              <w:t>·ms</w:t>
            </w:r>
            <w:r w:rsidR="00025453">
              <w:rPr>
                <w:rFonts w:ascii="Palatino Linotype" w:eastAsia="Palatino Linotype" w:hAnsi="Palatino Linotype" w:cs="Palatino Linotype"/>
                <w:sz w:val="16"/>
                <w:szCs w:val="16"/>
                <w:vertAlign w:val="superscript"/>
              </w:rPr>
              <w:t>-1</w:t>
            </w:r>
            <w:r w:rsidR="00025453">
              <w:rPr>
                <w:rFonts w:ascii="Palatino Linotype" w:eastAsia="Palatino Linotype" w:hAnsi="Palatino Linotype" w:cs="Palatino Linotype"/>
                <w:sz w:val="16"/>
                <w:szCs w:val="16"/>
              </w:rPr>
              <w:t>·mV</w:t>
            </w:r>
            <w:r w:rsidR="00025453">
              <w:rPr>
                <w:rFonts w:ascii="Palatino Linotype" w:eastAsia="Palatino Linotype" w:hAnsi="Palatino Linotype" w:cs="Palatino Linotype"/>
                <w:sz w:val="16"/>
                <w:szCs w:val="16"/>
                <w:vertAlign w:val="superscript"/>
              </w:rPr>
              <w:t>-1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</w:tr>
      <w:tr w:rsidR="008D1C6F" w14:paraId="02AF333A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B935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G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AMPA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147A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15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pS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4737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V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Ca2+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D9FB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130 (mV)</w:t>
            </w:r>
          </w:p>
        </w:tc>
      </w:tr>
      <w:tr w:rsidR="008D1C6F" w14:paraId="69C638F5" w14:textId="77777777" w:rsidTr="00025453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DEA9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G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NMDA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C1C8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40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pS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  <w:tc>
          <w:tcPr>
            <w:tcW w:w="1320" w:type="dxa"/>
            <w:tcBorders>
              <w:top w:val="single" w:sz="8" w:space="0" w:color="FFFFFF"/>
              <w:left w:val="single" w:sz="8" w:space="0" w:color="999999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CB9C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𝜏</w:t>
            </w:r>
            <w:r>
              <w:rPr>
                <w:rFonts w:ascii="Palatino Linotype" w:eastAsia="Palatino Linotype" w:hAnsi="Palatino Linotype" w:cs="Palatino Linotype"/>
                <w:sz w:val="16"/>
                <w:szCs w:val="16"/>
                <w:vertAlign w:val="subscript"/>
              </w:rPr>
              <w:t>Ca2+</w:t>
            </w:r>
          </w:p>
        </w:tc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3CAC1" w14:textId="77777777" w:rsidR="008D1C6F" w:rsidRDefault="008D1C6F" w:rsidP="00DD5A01">
            <w:pPr>
              <w:widowControl w:val="0"/>
              <w:jc w:val="left"/>
              <w:rPr>
                <w:rFonts w:ascii="Palatino Linotype" w:eastAsia="Palatino Linotype" w:hAnsi="Palatino Linotype" w:cs="Palatino Linotype"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20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ms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)</w:t>
            </w:r>
          </w:p>
        </w:tc>
      </w:tr>
    </w:tbl>
    <w:p w14:paraId="74840FF4" w14:textId="14479C48" w:rsidR="008D1C6F" w:rsidRDefault="008D1C6F" w:rsidP="008D1C6F">
      <w:pPr>
        <w:spacing w:before="240" w:after="240"/>
      </w:pPr>
    </w:p>
    <w:p w14:paraId="1A432DD5" w14:textId="77777777" w:rsidR="008D1C6F" w:rsidRDefault="008D1C6F">
      <w:pPr>
        <w:jc w:val="left"/>
      </w:pPr>
      <w:r>
        <w:br w:type="page"/>
      </w:r>
    </w:p>
    <w:p w14:paraId="1D8F0F38" w14:textId="77777777" w:rsidR="008D1C6F" w:rsidRDefault="008D1C6F" w:rsidP="008D1C6F">
      <w:pPr>
        <w:spacing w:before="240" w:after="240"/>
      </w:pPr>
    </w:p>
    <w:p w14:paraId="0964F4A3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</w:p>
    <w:p w14:paraId="0109C166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i/>
          <w:noProof/>
          <w:sz w:val="20"/>
          <w:szCs w:val="20"/>
          <w:highlight w:val="white"/>
        </w:rPr>
        <w:drawing>
          <wp:inline distT="114300" distB="114300" distL="114300" distR="114300" wp14:anchorId="492F962A" wp14:editId="41A09C81">
            <wp:extent cx="5654106" cy="2319338"/>
            <wp:effectExtent l="0" t="0" r="0" b="0"/>
            <wp:docPr id="27" name="image24.png" descr="Diagram, engineer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4.png" descr="Diagram, engineering drawing&#10;&#10;Description automatically generated"/>
                    <pic:cNvPicPr preferRelativeResize="0"/>
                  </pic:nvPicPr>
                  <pic:blipFill>
                    <a:blip r:embed="rId8"/>
                    <a:srcRect r="16960" b="62846"/>
                    <a:stretch>
                      <a:fillRect/>
                    </a:stretch>
                  </pic:blipFill>
                  <pic:spPr>
                    <a:xfrm>
                      <a:off x="0" y="0"/>
                      <a:ext cx="5654106" cy="2319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4D11A9" w14:textId="3F70223A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  <w:highlight w:val="white"/>
        </w:rPr>
        <w:t xml:space="preserve">Fig S1 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AMPA-mediated EPSPs generated by pre-synaptic stimulations composed of </w:t>
      </w:r>
      <w:r w:rsidR="0018651E" w:rsidRPr="0018651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highlight w:val="white"/>
        </w:rPr>
        <w:t>(</w:t>
      </w:r>
      <w:r>
        <w:rPr>
          <w:rFonts w:ascii="Palatino Linotype" w:eastAsia="Palatino Linotype" w:hAnsi="Palatino Linotype" w:cs="Palatino Linotype"/>
          <w:b/>
          <w:i/>
          <w:sz w:val="20"/>
          <w:szCs w:val="20"/>
          <w:highlight w:val="white"/>
        </w:rPr>
        <w:t>A)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a single glutamate pulse or </w:t>
      </w:r>
      <w:r w:rsidR="0018651E" w:rsidRPr="0018651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highlight w:val="white"/>
        </w:rPr>
        <w:t>(</w:t>
      </w:r>
      <w:r>
        <w:rPr>
          <w:rFonts w:ascii="Palatino Linotype" w:eastAsia="Palatino Linotype" w:hAnsi="Palatino Linotype" w:cs="Palatino Linotype"/>
          <w:b/>
          <w:i/>
          <w:sz w:val="20"/>
          <w:szCs w:val="20"/>
          <w:highlight w:val="white"/>
        </w:rPr>
        <w:t>B)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a burst of 5 glutamate pulses delivered at 100 Hz. For each stimulation pattern glutamate pulses of 1 mM amplitude were simulated with different widths of 1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ms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(black traces), 5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ms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(dark gray traces) and 10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ms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(light gray traces). We can observe that a small temporal summation only occurs with a pulse duration of 10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ms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, reflecting the fast deactivation and desensitization kinetics predicted by the model. Simulations were performed in the presence of 20 AMPA, 15 NMDA and 1 mM Mg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  <w:vertAlign w:val="superscript"/>
        </w:rPr>
        <w:t>2+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.</w:t>
      </w:r>
    </w:p>
    <w:p w14:paraId="1DAB75A9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</w:p>
    <w:p w14:paraId="55CD9DC0" w14:textId="151B613F" w:rsidR="008D1C6F" w:rsidRDefault="008D1C6F">
      <w:pPr>
        <w:jc w:val="left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br w:type="page"/>
      </w:r>
    </w:p>
    <w:p w14:paraId="566E7CA3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</w:p>
    <w:p w14:paraId="4C29A1EC" w14:textId="77777777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i/>
          <w:noProof/>
          <w:sz w:val="20"/>
          <w:szCs w:val="20"/>
          <w:highlight w:val="white"/>
        </w:rPr>
        <w:drawing>
          <wp:inline distT="114300" distB="114300" distL="114300" distR="114300" wp14:anchorId="49A0D322" wp14:editId="39D0AA20">
            <wp:extent cx="4968399" cy="3757613"/>
            <wp:effectExtent l="0" t="0" r="0" b="0"/>
            <wp:docPr id="8" name="image32.png" descr="A picture containing oran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.png" descr="A picture containing orang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399" cy="3757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35A609" w14:textId="1F65399A" w:rsidR="008D1C6F" w:rsidRDefault="008D1C6F" w:rsidP="008D1C6F">
      <w:pPr>
        <w:spacing w:before="240" w:after="240"/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</w:pPr>
      <w:r>
        <w:rPr>
          <w:rFonts w:ascii="Palatino Linotype" w:eastAsia="Palatino Linotype" w:hAnsi="Palatino Linotype" w:cs="Palatino Linotype"/>
          <w:b/>
          <w:i/>
          <w:sz w:val="20"/>
          <w:szCs w:val="20"/>
          <w:highlight w:val="white"/>
        </w:rPr>
        <w:t xml:space="preserve">Fig S2 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Kinetic schemes used for simulating the gating mechanisms of </w:t>
      </w:r>
      <w:r w:rsidR="0018651E" w:rsidRPr="0018651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highlight w:val="white"/>
        </w:rPr>
        <w:t>(</w:t>
      </w:r>
      <w:r w:rsidRPr="0018651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highlight w:val="white"/>
        </w:rPr>
        <w:t>A)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NMDA and </w:t>
      </w:r>
      <w:r w:rsidR="0018651E" w:rsidRPr="0018651E">
        <w:rPr>
          <w:rFonts w:ascii="Palatino Linotype" w:eastAsia="Palatino Linotype" w:hAnsi="Palatino Linotype" w:cs="Palatino Linotype"/>
          <w:b/>
          <w:bCs/>
          <w:i/>
          <w:sz w:val="20"/>
          <w:szCs w:val="20"/>
          <w:highlight w:val="white"/>
        </w:rPr>
        <w:t>(</w:t>
      </w:r>
      <w:r>
        <w:rPr>
          <w:rFonts w:ascii="Palatino Linotype" w:eastAsia="Palatino Linotype" w:hAnsi="Palatino Linotype" w:cs="Palatino Linotype"/>
          <w:b/>
          <w:i/>
          <w:sz w:val="20"/>
          <w:szCs w:val="20"/>
          <w:highlight w:val="white"/>
        </w:rPr>
        <w:t>B)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AMPA receptors. R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  <w:vertAlign w:val="subscript"/>
        </w:rPr>
        <w:t>U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represent un</w:t>
      </w:r>
      <w:r w:rsidR="0018651E"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bound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states, R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  <w:vertAlign w:val="subscript"/>
        </w:rPr>
        <w:t>M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represent mono-liga</w:t>
      </w:r>
      <w:r w:rsidR="00025453"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nd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ed states (bound to one glutamate), C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  <w:vertAlign w:val="subscript"/>
        </w:rPr>
        <w:t>n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represent close</w:t>
      </w:r>
      <w:r w:rsidR="00025453"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d</w:t>
      </w:r>
      <w:bookmarkStart w:id="0" w:name="_GoBack"/>
      <w:bookmarkEnd w:id="0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, </w:t>
      </w:r>
      <w:r w:rsidR="0018651E"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fully bound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states (bound to two glutamate), </w:t>
      </w:r>
      <w:proofErr w:type="spellStart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D</w:t>
      </w:r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  <w:vertAlign w:val="subscript"/>
        </w:rPr>
        <w:t>n</w:t>
      </w:r>
      <w:proofErr w:type="spellEnd"/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 xml:space="preserve"> represent desensitized states and O represent open states. All the reaction rate constants can be found in the respective articles </w:t>
      </w:r>
      <w:hyperlink r:id="rId10">
        <w:r>
          <w:rPr>
            <w:rFonts w:ascii="Palatino Linotype" w:eastAsia="Palatino Linotype" w:hAnsi="Palatino Linotype" w:cs="Palatino Linotype"/>
            <w:i/>
            <w:sz w:val="20"/>
            <w:szCs w:val="20"/>
            <w:highlight w:val="white"/>
          </w:rPr>
          <w:t>[36,37]</w:t>
        </w:r>
      </w:hyperlink>
      <w:r>
        <w:rPr>
          <w:rFonts w:ascii="Palatino Linotype" w:eastAsia="Palatino Linotype" w:hAnsi="Palatino Linotype" w:cs="Palatino Linotype"/>
          <w:i/>
          <w:sz w:val="20"/>
          <w:szCs w:val="20"/>
          <w:highlight w:val="white"/>
        </w:rPr>
        <w:t>.</w:t>
      </w:r>
    </w:p>
    <w:p w14:paraId="06EA082A" w14:textId="77777777" w:rsidR="005B6EBF" w:rsidRDefault="005B6EBF"/>
    <w:sectPr w:rsidR="005B6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6F"/>
    <w:rsid w:val="00025453"/>
    <w:rsid w:val="0018651E"/>
    <w:rsid w:val="00265C4B"/>
    <w:rsid w:val="002F2CD0"/>
    <w:rsid w:val="003247E4"/>
    <w:rsid w:val="005B6EBF"/>
    <w:rsid w:val="005C1549"/>
    <w:rsid w:val="008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8AE0"/>
  <w15:chartTrackingRefBased/>
  <w15:docId w15:val="{23F6C742-18DC-3142-8F61-86EE29DD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C6F"/>
    <w:pPr>
      <w:jc w:val="both"/>
    </w:pPr>
    <w:rPr>
      <w:rFonts w:ascii="Times New Roman" w:eastAsia="Times New Roman" w:hAnsi="Times New Roman" w:cs="Times New Roman"/>
      <w:lang w:val="en-US" w:eastAsia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1C6F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D1C6F"/>
    <w:rPr>
      <w:rFonts w:ascii="Times New Roman" w:eastAsia="Times New Roman" w:hAnsi="Times New Roman" w:cs="Times New Roman"/>
      <w:b/>
      <w:sz w:val="36"/>
      <w:szCs w:val="3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Pedro Fernandes Ribeiro</dc:creator>
  <cp:keywords/>
  <dc:description/>
  <cp:lastModifiedBy>pmicheli</cp:lastModifiedBy>
  <cp:revision>3</cp:revision>
  <dcterms:created xsi:type="dcterms:W3CDTF">2020-11-30T14:02:00Z</dcterms:created>
  <dcterms:modified xsi:type="dcterms:W3CDTF">2020-12-01T14:12:00Z</dcterms:modified>
</cp:coreProperties>
</file>