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E6E43" w14:textId="0829ABB2" w:rsidR="0031333E" w:rsidRPr="0031333E" w:rsidRDefault="0031333E" w:rsidP="0031333E">
      <w:pPr>
        <w:jc w:val="center"/>
        <w:rPr>
          <w:rFonts w:ascii="Palatino Linotype" w:hAnsi="Palatino Linotype"/>
          <w:b/>
          <w:bCs/>
          <w:sz w:val="20"/>
          <w:szCs w:val="20"/>
        </w:rPr>
      </w:pPr>
      <w:r w:rsidRPr="0031333E">
        <w:rPr>
          <w:rFonts w:ascii="Palatino Linotype" w:hAnsi="Palatino Linotype"/>
          <w:b/>
          <w:bCs/>
          <w:sz w:val="20"/>
          <w:szCs w:val="20"/>
        </w:rPr>
        <w:t xml:space="preserve">Supplement 1: </w:t>
      </w:r>
      <w:r w:rsidRPr="0031333E">
        <w:rPr>
          <w:rFonts w:ascii="Palatino Linotype" w:hAnsi="Palatino Linotype"/>
          <w:b/>
          <w:bCs/>
          <w:sz w:val="20"/>
          <w:szCs w:val="20"/>
        </w:rPr>
        <w:t>The checklist for documentation of Google Trends searches</w:t>
      </w:r>
      <w:r w:rsidRPr="0031333E">
        <w:rPr>
          <w:rFonts w:ascii="Palatino Linotype" w:hAnsi="Palatino Linotype"/>
          <w:b/>
          <w:bCs/>
          <w:sz w:val="20"/>
          <w:szCs w:val="20"/>
        </w:rPr>
        <w:t xml:space="preserve">, </w:t>
      </w:r>
      <w:r w:rsidRPr="0031333E">
        <w:rPr>
          <w:rFonts w:ascii="Palatino Linotype" w:hAnsi="Palatino Linotype" w:cs="Arial"/>
          <w:b/>
          <w:bCs/>
          <w:sz w:val="20"/>
          <w:szCs w:val="20"/>
        </w:rPr>
        <w:t xml:space="preserve">suggestion from </w:t>
      </w:r>
      <w:proofErr w:type="spellStart"/>
      <w:r w:rsidRPr="0031333E">
        <w:rPr>
          <w:rFonts w:ascii="Palatino Linotype" w:hAnsi="Palatino Linotype" w:cs="Arial"/>
          <w:b/>
          <w:bCs/>
          <w:sz w:val="20"/>
          <w:szCs w:val="20"/>
        </w:rPr>
        <w:t>Nuti</w:t>
      </w:r>
      <w:proofErr w:type="spellEnd"/>
      <w:r w:rsidRPr="0031333E">
        <w:rPr>
          <w:rFonts w:ascii="Palatino Linotype" w:hAnsi="Palatino Linotype" w:cs="Arial"/>
          <w:b/>
          <w:bCs/>
          <w:sz w:val="20"/>
          <w:szCs w:val="20"/>
        </w:rPr>
        <w:t xml:space="preserve"> et al.</w:t>
      </w:r>
    </w:p>
    <w:tbl>
      <w:tblPr>
        <w:tblStyle w:val="TableGrid"/>
        <w:tblW w:w="0" w:type="auto"/>
        <w:tblLook w:val="04A0" w:firstRow="1" w:lastRow="0" w:firstColumn="1" w:lastColumn="0" w:noHBand="0" w:noVBand="1"/>
      </w:tblPr>
      <w:tblGrid>
        <w:gridCol w:w="1795"/>
        <w:gridCol w:w="7555"/>
      </w:tblGrid>
      <w:tr w:rsidR="0031333E" w:rsidRPr="0031333E" w14:paraId="72B2683B" w14:textId="77777777" w:rsidTr="001C4BE0">
        <w:tc>
          <w:tcPr>
            <w:tcW w:w="1795" w:type="dxa"/>
          </w:tcPr>
          <w:p w14:paraId="21265CB8"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 xml:space="preserve">Section/Topic </w:t>
            </w:r>
          </w:p>
        </w:tc>
        <w:tc>
          <w:tcPr>
            <w:tcW w:w="7555" w:type="dxa"/>
          </w:tcPr>
          <w:p w14:paraId="57BFC341"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Checklist item</w:t>
            </w:r>
          </w:p>
        </w:tc>
      </w:tr>
      <w:tr w:rsidR="0031333E" w:rsidRPr="0031333E" w14:paraId="61D4E2E8" w14:textId="77777777" w:rsidTr="001C4BE0">
        <w:tc>
          <w:tcPr>
            <w:tcW w:w="1795" w:type="dxa"/>
          </w:tcPr>
          <w:p w14:paraId="4155948C"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Search Variables</w:t>
            </w:r>
          </w:p>
        </w:tc>
        <w:tc>
          <w:tcPr>
            <w:tcW w:w="7555" w:type="dxa"/>
          </w:tcPr>
          <w:p w14:paraId="0B30951B" w14:textId="77777777" w:rsidR="0031333E" w:rsidRPr="0031333E" w:rsidRDefault="0031333E" w:rsidP="001C4BE0">
            <w:pPr>
              <w:jc w:val="both"/>
              <w:rPr>
                <w:rFonts w:ascii="Palatino Linotype" w:hAnsi="Palatino Linotype"/>
                <w:sz w:val="20"/>
                <w:szCs w:val="20"/>
              </w:rPr>
            </w:pPr>
          </w:p>
        </w:tc>
      </w:tr>
      <w:tr w:rsidR="0031333E" w:rsidRPr="0031333E" w14:paraId="4A289C1F" w14:textId="77777777" w:rsidTr="001C4BE0">
        <w:tc>
          <w:tcPr>
            <w:tcW w:w="1795" w:type="dxa"/>
          </w:tcPr>
          <w:p w14:paraId="3F11BDAA"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Access Date</w:t>
            </w:r>
          </w:p>
        </w:tc>
        <w:tc>
          <w:tcPr>
            <w:tcW w:w="7555" w:type="dxa"/>
          </w:tcPr>
          <w:p w14:paraId="26A6055E"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15 December 2020</w:t>
            </w:r>
          </w:p>
        </w:tc>
      </w:tr>
      <w:tr w:rsidR="0031333E" w:rsidRPr="0031333E" w14:paraId="359B84C8" w14:textId="77777777" w:rsidTr="001C4BE0">
        <w:tc>
          <w:tcPr>
            <w:tcW w:w="1795" w:type="dxa"/>
          </w:tcPr>
          <w:p w14:paraId="12FA3B37"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Period</w:t>
            </w:r>
          </w:p>
        </w:tc>
        <w:tc>
          <w:tcPr>
            <w:tcW w:w="7555" w:type="dxa"/>
          </w:tcPr>
          <w:p w14:paraId="24BE5A50"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From January 1, 2018, to December 13, 2020</w:t>
            </w:r>
          </w:p>
        </w:tc>
      </w:tr>
      <w:tr w:rsidR="0031333E" w:rsidRPr="0031333E" w14:paraId="5A2B24F5" w14:textId="77777777" w:rsidTr="001C4BE0">
        <w:tc>
          <w:tcPr>
            <w:tcW w:w="1795" w:type="dxa"/>
          </w:tcPr>
          <w:p w14:paraId="2A41BEB4"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 xml:space="preserve">Query Category </w:t>
            </w:r>
          </w:p>
        </w:tc>
        <w:tc>
          <w:tcPr>
            <w:tcW w:w="7555" w:type="dxa"/>
          </w:tcPr>
          <w:p w14:paraId="373DD542"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Search term</w:t>
            </w:r>
          </w:p>
        </w:tc>
      </w:tr>
      <w:tr w:rsidR="0031333E" w:rsidRPr="0031333E" w14:paraId="09CCCE50" w14:textId="77777777" w:rsidTr="001C4BE0">
        <w:tc>
          <w:tcPr>
            <w:tcW w:w="1795" w:type="dxa"/>
          </w:tcPr>
          <w:p w14:paraId="4435BEFE"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Region</w:t>
            </w:r>
          </w:p>
        </w:tc>
        <w:tc>
          <w:tcPr>
            <w:tcW w:w="7555" w:type="dxa"/>
          </w:tcPr>
          <w:p w14:paraId="5CECF701"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Worldwide</w:t>
            </w:r>
          </w:p>
        </w:tc>
      </w:tr>
      <w:tr w:rsidR="0031333E" w:rsidRPr="0031333E" w14:paraId="7E4D6751" w14:textId="77777777" w:rsidTr="001C4BE0">
        <w:tc>
          <w:tcPr>
            <w:tcW w:w="1795" w:type="dxa"/>
          </w:tcPr>
          <w:p w14:paraId="11138A96"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Countries with Low Search Volume</w:t>
            </w:r>
          </w:p>
        </w:tc>
        <w:tc>
          <w:tcPr>
            <w:tcW w:w="7555" w:type="dxa"/>
          </w:tcPr>
          <w:p w14:paraId="35B866D2"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Excluded</w:t>
            </w:r>
          </w:p>
        </w:tc>
      </w:tr>
      <w:tr w:rsidR="0031333E" w:rsidRPr="0031333E" w14:paraId="44A0B787" w14:textId="77777777" w:rsidTr="001C4BE0">
        <w:tc>
          <w:tcPr>
            <w:tcW w:w="1795" w:type="dxa"/>
          </w:tcPr>
          <w:p w14:paraId="7A81973E"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Search Input</w:t>
            </w:r>
          </w:p>
        </w:tc>
        <w:tc>
          <w:tcPr>
            <w:tcW w:w="7555" w:type="dxa"/>
          </w:tcPr>
          <w:p w14:paraId="58941970" w14:textId="77777777" w:rsidR="0031333E" w:rsidRPr="0031333E" w:rsidRDefault="0031333E" w:rsidP="001C4BE0">
            <w:pPr>
              <w:jc w:val="both"/>
              <w:rPr>
                <w:rFonts w:ascii="Palatino Linotype" w:hAnsi="Palatino Linotype"/>
                <w:sz w:val="20"/>
                <w:szCs w:val="20"/>
              </w:rPr>
            </w:pPr>
          </w:p>
        </w:tc>
      </w:tr>
      <w:tr w:rsidR="0031333E" w:rsidRPr="0031333E" w14:paraId="11285EEB" w14:textId="77777777" w:rsidTr="001C4BE0">
        <w:tc>
          <w:tcPr>
            <w:tcW w:w="1795" w:type="dxa"/>
          </w:tcPr>
          <w:p w14:paraId="64AD87B7"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Full search input</w:t>
            </w:r>
          </w:p>
        </w:tc>
        <w:tc>
          <w:tcPr>
            <w:tcW w:w="7555" w:type="dxa"/>
          </w:tcPr>
          <w:p w14:paraId="703C50DE"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(1) Coronavirus: “coronavirus” for correlation analysis</w:t>
            </w:r>
          </w:p>
          <w:p w14:paraId="54F7493C" w14:textId="77777777" w:rsidR="0031333E" w:rsidRPr="0031333E" w:rsidRDefault="0031333E" w:rsidP="001C4BE0">
            <w:pPr>
              <w:jc w:val="both"/>
              <w:rPr>
                <w:rFonts w:ascii="Palatino Linotype" w:hAnsi="Palatino Linotype" w:cs="Arial"/>
                <w:sz w:val="20"/>
                <w:szCs w:val="20"/>
              </w:rPr>
            </w:pPr>
            <w:r w:rsidRPr="0031333E">
              <w:rPr>
                <w:rFonts w:ascii="Palatino Linotype" w:hAnsi="Palatino Linotype" w:cs="Arial"/>
                <w:sz w:val="20"/>
                <w:szCs w:val="20"/>
              </w:rPr>
              <w:t>(2) Environmental and economic factors:</w:t>
            </w:r>
          </w:p>
          <w:p w14:paraId="2DC174EA" w14:textId="77777777" w:rsidR="0031333E" w:rsidRPr="0031333E" w:rsidRDefault="0031333E" w:rsidP="001C4BE0">
            <w:pPr>
              <w:pStyle w:val="ListParagraph"/>
              <w:numPr>
                <w:ilvl w:val="0"/>
                <w:numId w:val="2"/>
              </w:numPr>
              <w:jc w:val="both"/>
              <w:rPr>
                <w:rFonts w:ascii="Palatino Linotype" w:hAnsi="Palatino Linotype"/>
                <w:sz w:val="20"/>
                <w:szCs w:val="20"/>
              </w:rPr>
            </w:pPr>
            <w:r w:rsidRPr="0031333E">
              <w:rPr>
                <w:rFonts w:ascii="Palatino Linotype" w:hAnsi="Palatino Linotype" w:cs="Arial"/>
                <w:sz w:val="20"/>
                <w:szCs w:val="20"/>
              </w:rPr>
              <w:t xml:space="preserve">Food security: </w:t>
            </w:r>
            <w:r w:rsidRPr="0031333E">
              <w:rPr>
                <w:rFonts w:ascii="Palatino Linotype" w:hAnsi="Palatino Linotype"/>
                <w:sz w:val="20"/>
                <w:szCs w:val="20"/>
              </w:rPr>
              <w:t>“food security”, “food shortage”, “food bank”, “free food”, “free meal”</w:t>
            </w:r>
          </w:p>
          <w:p w14:paraId="71AF00FB" w14:textId="77777777" w:rsidR="0031333E" w:rsidRPr="0031333E" w:rsidRDefault="0031333E" w:rsidP="001C4BE0">
            <w:pPr>
              <w:pStyle w:val="ListParagraph"/>
              <w:numPr>
                <w:ilvl w:val="0"/>
                <w:numId w:val="2"/>
              </w:numPr>
              <w:jc w:val="both"/>
              <w:rPr>
                <w:rFonts w:ascii="Palatino Linotype" w:hAnsi="Palatino Linotype" w:cs="Arial"/>
                <w:sz w:val="20"/>
                <w:szCs w:val="20"/>
              </w:rPr>
            </w:pPr>
            <w:r w:rsidRPr="0031333E">
              <w:rPr>
                <w:rFonts w:ascii="Palatino Linotype" w:hAnsi="Palatino Linotype" w:cs="Arial"/>
                <w:sz w:val="20"/>
                <w:szCs w:val="20"/>
              </w:rPr>
              <w:t>Individual economics: “Job”, “Unemployment”, “Money”, “Tax”, “Price”</w:t>
            </w:r>
          </w:p>
          <w:p w14:paraId="61C5A46D" w14:textId="77777777" w:rsidR="0031333E" w:rsidRPr="0031333E" w:rsidRDefault="0031333E" w:rsidP="001C4BE0">
            <w:pPr>
              <w:jc w:val="both"/>
              <w:rPr>
                <w:rFonts w:ascii="Palatino Linotype" w:hAnsi="Palatino Linotype" w:cs="Arial"/>
                <w:sz w:val="20"/>
                <w:szCs w:val="20"/>
              </w:rPr>
            </w:pPr>
            <w:r w:rsidRPr="0031333E">
              <w:rPr>
                <w:rFonts w:ascii="Palatino Linotype" w:hAnsi="Palatino Linotype" w:cs="Arial"/>
                <w:sz w:val="20"/>
                <w:szCs w:val="20"/>
              </w:rPr>
              <w:t xml:space="preserve">(3) Health- and food-safety concerns </w:t>
            </w:r>
          </w:p>
          <w:p w14:paraId="7641E48D" w14:textId="77777777" w:rsidR="0031333E" w:rsidRPr="0031333E" w:rsidRDefault="0031333E" w:rsidP="001C4BE0">
            <w:pPr>
              <w:pStyle w:val="ListParagraph"/>
              <w:numPr>
                <w:ilvl w:val="0"/>
                <w:numId w:val="3"/>
              </w:numPr>
              <w:jc w:val="both"/>
              <w:rPr>
                <w:rFonts w:ascii="Palatino Linotype" w:hAnsi="Palatino Linotype" w:cs="Arial"/>
                <w:sz w:val="20"/>
                <w:szCs w:val="20"/>
              </w:rPr>
            </w:pPr>
            <w:r w:rsidRPr="0031333E">
              <w:rPr>
                <w:rFonts w:ascii="Palatino Linotype" w:hAnsi="Palatino Linotype" w:cs="Arial"/>
                <w:sz w:val="20"/>
                <w:szCs w:val="20"/>
              </w:rPr>
              <w:t>Food safety:</w:t>
            </w:r>
            <w:r w:rsidRPr="0031333E">
              <w:rPr>
                <w:rFonts w:ascii="Palatino Linotype" w:hAnsi="Palatino Linotype"/>
                <w:sz w:val="20"/>
                <w:szCs w:val="20"/>
              </w:rPr>
              <w:t xml:space="preserve"> “</w:t>
            </w:r>
            <w:r w:rsidRPr="0031333E">
              <w:rPr>
                <w:rFonts w:ascii="Palatino Linotype" w:hAnsi="Palatino Linotype" w:cs="Arial"/>
                <w:sz w:val="20"/>
                <w:szCs w:val="20"/>
              </w:rPr>
              <w:t>Food storage containers”, “Food safety”, “Food poisoning”, “Food packaging”, “Sanitation”</w:t>
            </w:r>
          </w:p>
          <w:p w14:paraId="58E9F832" w14:textId="77777777" w:rsidR="0031333E" w:rsidRPr="0031333E" w:rsidRDefault="0031333E" w:rsidP="001C4BE0">
            <w:pPr>
              <w:pStyle w:val="ListParagraph"/>
              <w:numPr>
                <w:ilvl w:val="0"/>
                <w:numId w:val="3"/>
              </w:numPr>
              <w:jc w:val="both"/>
              <w:rPr>
                <w:rFonts w:ascii="Palatino Linotype" w:hAnsi="Palatino Linotype" w:cs="Arial"/>
                <w:sz w:val="20"/>
                <w:szCs w:val="20"/>
              </w:rPr>
            </w:pPr>
            <w:r w:rsidRPr="0031333E">
              <w:rPr>
                <w:rFonts w:ascii="Palatino Linotype" w:hAnsi="Palatino Linotype" w:cs="Arial"/>
                <w:sz w:val="20"/>
                <w:szCs w:val="20"/>
              </w:rPr>
              <w:t>Immune-boosting nutrients: “Vitamin”, “Vitamin C”, “Vitamin D”, “Zinc”, “Immunity”</w:t>
            </w:r>
          </w:p>
          <w:p w14:paraId="22E3837D" w14:textId="77777777" w:rsidR="0031333E" w:rsidRPr="0031333E" w:rsidRDefault="0031333E" w:rsidP="001C4BE0">
            <w:pPr>
              <w:jc w:val="both"/>
              <w:rPr>
                <w:rFonts w:ascii="Palatino Linotype" w:hAnsi="Palatino Linotype" w:cs="Arial"/>
                <w:sz w:val="20"/>
                <w:szCs w:val="20"/>
              </w:rPr>
            </w:pPr>
            <w:r w:rsidRPr="0031333E">
              <w:rPr>
                <w:rFonts w:ascii="Palatino Linotype" w:hAnsi="Palatino Linotype" w:cs="Arial"/>
                <w:sz w:val="20"/>
                <w:szCs w:val="20"/>
              </w:rPr>
              <w:t xml:space="preserve">(4) Food choices and preferences </w:t>
            </w:r>
          </w:p>
          <w:p w14:paraId="0D38066A"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Starchy food: “Rice”, “Bread”, “Pasta”, “Potato”, “Flour”</w:t>
            </w:r>
          </w:p>
          <w:p w14:paraId="395AC63B"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Meat: “Beef”, “Pork”, “Chicken”, “Egg”, “Fish”</w:t>
            </w:r>
          </w:p>
          <w:p w14:paraId="6A73A856"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Milk and dairy products: “Milk”, “Ice cream”, “Yogurt”, “Cheese”, “Butter”</w:t>
            </w:r>
          </w:p>
          <w:p w14:paraId="720DE273"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Vegetables and fruits: “Fruit”, “Vegetable”, “Mushroom”, “Bean”</w:t>
            </w:r>
            <w:proofErr w:type="gramStart"/>
            <w:r w:rsidRPr="0031333E">
              <w:rPr>
                <w:rFonts w:ascii="Palatino Linotype" w:hAnsi="Palatino Linotype" w:cs="Arial"/>
                <w:sz w:val="20"/>
                <w:szCs w:val="20"/>
              </w:rPr>
              <w:t>, ”Lentil</w:t>
            </w:r>
            <w:proofErr w:type="gramEnd"/>
            <w:r w:rsidRPr="0031333E">
              <w:rPr>
                <w:rFonts w:ascii="Palatino Linotype" w:hAnsi="Palatino Linotype" w:cs="Arial"/>
                <w:sz w:val="20"/>
                <w:szCs w:val="20"/>
              </w:rPr>
              <w:t>”</w:t>
            </w:r>
          </w:p>
          <w:p w14:paraId="19B5559C"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Cooking-oil: “Olive oil”, “Coconut oil”, “Palm oil”, “Lard”, “Soybean oil”</w:t>
            </w:r>
          </w:p>
          <w:p w14:paraId="5CA1F0A7"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Canned foods: “Canned soup”, “Canned meat”</w:t>
            </w:r>
            <w:r w:rsidRPr="0031333E">
              <w:rPr>
                <w:rFonts w:ascii="Palatino Linotype" w:hAnsi="Palatino Linotype"/>
                <w:sz w:val="20"/>
                <w:szCs w:val="20"/>
              </w:rPr>
              <w:t>, “</w:t>
            </w:r>
            <w:r w:rsidRPr="0031333E">
              <w:rPr>
                <w:rFonts w:ascii="Palatino Linotype" w:hAnsi="Palatino Linotype" w:cs="Arial"/>
                <w:sz w:val="20"/>
                <w:szCs w:val="20"/>
              </w:rPr>
              <w:t>Canned fish”, “Canned tomato”, “Baked beans”</w:t>
            </w:r>
          </w:p>
          <w:p w14:paraId="4B9A0C3C"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Sugary foods: “Cake”, “Cookie”, “Chocolate”, “Pancake”, “Tart”</w:t>
            </w:r>
          </w:p>
          <w:p w14:paraId="6FD44444"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Alcoholic beverages: “Bar”, “Party”, “Beer”, “Wine”, “Liquor”</w:t>
            </w:r>
          </w:p>
          <w:p w14:paraId="3D4BE92D"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Food types: “Fresh food”, “Canned food”, “Frozen food”, “Dried food”, “Cold food”</w:t>
            </w:r>
          </w:p>
          <w:p w14:paraId="243D4295" w14:textId="77777777" w:rsidR="0031333E" w:rsidRPr="0031333E" w:rsidRDefault="0031333E" w:rsidP="001C4BE0">
            <w:pPr>
              <w:pStyle w:val="ListParagraph"/>
              <w:numPr>
                <w:ilvl w:val="0"/>
                <w:numId w:val="5"/>
              </w:numPr>
              <w:jc w:val="both"/>
              <w:rPr>
                <w:rFonts w:ascii="Palatino Linotype" w:hAnsi="Palatino Linotype" w:cs="Arial"/>
                <w:sz w:val="20"/>
                <w:szCs w:val="20"/>
              </w:rPr>
            </w:pPr>
            <w:r w:rsidRPr="0031333E">
              <w:rPr>
                <w:rFonts w:ascii="Palatino Linotype" w:hAnsi="Palatino Linotype" w:cs="Arial"/>
                <w:sz w:val="20"/>
                <w:szCs w:val="20"/>
              </w:rPr>
              <w:t>Food sourcing: “Local food”, “Local farm”, “Community-supported agriculture”, “Local fruit”, “Local meat”</w:t>
            </w:r>
          </w:p>
          <w:p w14:paraId="5D3022CC" w14:textId="77777777" w:rsidR="0031333E" w:rsidRPr="0031333E" w:rsidRDefault="0031333E" w:rsidP="001C4BE0">
            <w:pPr>
              <w:jc w:val="both"/>
              <w:rPr>
                <w:rFonts w:ascii="Palatino Linotype" w:hAnsi="Palatino Linotype" w:cs="Arial"/>
                <w:sz w:val="20"/>
                <w:szCs w:val="20"/>
              </w:rPr>
            </w:pPr>
            <w:r w:rsidRPr="0031333E">
              <w:rPr>
                <w:rFonts w:ascii="Palatino Linotype" w:hAnsi="Palatino Linotype" w:cs="Arial"/>
                <w:sz w:val="20"/>
                <w:szCs w:val="20"/>
              </w:rPr>
              <w:t>(5) Social factors: “Restaurant”, “Delivery”, “Take-out”, “Recipe”, “Cooking”</w:t>
            </w:r>
          </w:p>
          <w:p w14:paraId="1AB3CFB1" w14:textId="77777777" w:rsidR="0031333E" w:rsidRPr="0031333E" w:rsidRDefault="0031333E" w:rsidP="001C4BE0">
            <w:pPr>
              <w:jc w:val="both"/>
              <w:rPr>
                <w:rFonts w:ascii="Palatino Linotype" w:hAnsi="Palatino Linotype" w:cs="Arial"/>
                <w:sz w:val="20"/>
                <w:szCs w:val="20"/>
              </w:rPr>
            </w:pPr>
            <w:r w:rsidRPr="0031333E">
              <w:rPr>
                <w:rFonts w:ascii="Palatino Linotype" w:hAnsi="Palatino Linotype" w:cs="Arial"/>
                <w:sz w:val="20"/>
                <w:szCs w:val="20"/>
              </w:rPr>
              <w:t>(6) Individual factors:</w:t>
            </w:r>
            <w:r w:rsidRPr="0031333E">
              <w:rPr>
                <w:rFonts w:ascii="Palatino Linotype" w:hAnsi="Palatino Linotype"/>
                <w:sz w:val="20"/>
                <w:szCs w:val="20"/>
              </w:rPr>
              <w:t xml:space="preserve"> “</w:t>
            </w:r>
            <w:r w:rsidRPr="0031333E">
              <w:rPr>
                <w:rFonts w:ascii="Palatino Linotype" w:hAnsi="Palatino Linotype" w:cs="Arial"/>
                <w:sz w:val="20"/>
                <w:szCs w:val="20"/>
              </w:rPr>
              <w:t>Weight loss”, “Calorie”, “Weight gain”, “Aerobic exercise”, “Weight”</w:t>
            </w:r>
          </w:p>
          <w:p w14:paraId="7F337C22" w14:textId="77777777" w:rsidR="0031333E" w:rsidRPr="0031333E" w:rsidRDefault="0031333E" w:rsidP="001C4BE0">
            <w:pPr>
              <w:jc w:val="both"/>
              <w:rPr>
                <w:rFonts w:ascii="Palatino Linotype" w:hAnsi="Palatino Linotype" w:cs="Arial"/>
                <w:sz w:val="20"/>
                <w:szCs w:val="20"/>
              </w:rPr>
            </w:pPr>
            <w:r w:rsidRPr="0031333E">
              <w:rPr>
                <w:rFonts w:ascii="Palatino Linotype" w:hAnsi="Palatino Linotype" w:cs="Arial"/>
                <w:sz w:val="20"/>
                <w:szCs w:val="20"/>
              </w:rPr>
              <w:t>(7) Lifestyle factors</w:t>
            </w:r>
          </w:p>
          <w:p w14:paraId="752E2573" w14:textId="77777777" w:rsidR="0031333E" w:rsidRPr="0031333E" w:rsidRDefault="0031333E" w:rsidP="001C4BE0">
            <w:pPr>
              <w:pStyle w:val="ListParagraph"/>
              <w:numPr>
                <w:ilvl w:val="0"/>
                <w:numId w:val="6"/>
              </w:numPr>
              <w:jc w:val="both"/>
              <w:rPr>
                <w:rFonts w:ascii="Palatino Linotype" w:hAnsi="Palatino Linotype" w:cs="Arial"/>
                <w:sz w:val="20"/>
                <w:szCs w:val="20"/>
              </w:rPr>
            </w:pPr>
            <w:r w:rsidRPr="0031333E">
              <w:rPr>
                <w:rFonts w:ascii="Palatino Linotype" w:hAnsi="Palatino Linotype" w:cs="Arial"/>
                <w:sz w:val="20"/>
                <w:szCs w:val="20"/>
              </w:rPr>
              <w:t>Food purchasing: “Grocery store”, “Supermarket”, “Market”, “Shopping mall”, “Online shopping”</w:t>
            </w:r>
          </w:p>
          <w:p w14:paraId="065FABC9" w14:textId="77777777" w:rsidR="0031333E" w:rsidRPr="0031333E" w:rsidRDefault="0031333E" w:rsidP="001C4BE0">
            <w:pPr>
              <w:pStyle w:val="ListParagraph"/>
              <w:numPr>
                <w:ilvl w:val="0"/>
                <w:numId w:val="6"/>
              </w:numPr>
              <w:jc w:val="both"/>
              <w:rPr>
                <w:rFonts w:ascii="Palatino Linotype" w:hAnsi="Palatino Linotype" w:cs="Arial"/>
                <w:sz w:val="20"/>
                <w:szCs w:val="20"/>
              </w:rPr>
            </w:pPr>
            <w:r w:rsidRPr="0031333E">
              <w:rPr>
                <w:rFonts w:ascii="Palatino Linotype" w:hAnsi="Palatino Linotype" w:cs="Arial"/>
                <w:sz w:val="20"/>
                <w:szCs w:val="20"/>
              </w:rPr>
              <w:t>Physical activities: “Running”, “Walking”</w:t>
            </w:r>
            <w:r w:rsidRPr="0031333E">
              <w:rPr>
                <w:rFonts w:ascii="Palatino Linotype" w:hAnsi="Palatino Linotype"/>
                <w:sz w:val="20"/>
                <w:szCs w:val="20"/>
              </w:rPr>
              <w:t>, “</w:t>
            </w:r>
            <w:r w:rsidRPr="0031333E">
              <w:rPr>
                <w:rFonts w:ascii="Palatino Linotype" w:hAnsi="Palatino Linotype" w:cs="Arial"/>
                <w:sz w:val="20"/>
                <w:szCs w:val="20"/>
              </w:rPr>
              <w:t>Gym”, “Cycling”, “Swimming”</w:t>
            </w:r>
          </w:p>
          <w:p w14:paraId="1F4DED00" w14:textId="77777777" w:rsidR="0031333E" w:rsidRPr="0031333E" w:rsidRDefault="0031333E" w:rsidP="001C4BE0">
            <w:pPr>
              <w:pStyle w:val="ListParagraph"/>
              <w:numPr>
                <w:ilvl w:val="0"/>
                <w:numId w:val="6"/>
              </w:numPr>
              <w:jc w:val="both"/>
              <w:rPr>
                <w:rFonts w:ascii="Palatino Linotype" w:hAnsi="Palatino Linotype" w:cs="Arial"/>
                <w:sz w:val="20"/>
                <w:szCs w:val="20"/>
              </w:rPr>
            </w:pPr>
            <w:r w:rsidRPr="0031333E">
              <w:rPr>
                <w:rFonts w:ascii="Palatino Linotype" w:hAnsi="Palatino Linotype" w:cs="Arial"/>
                <w:sz w:val="20"/>
                <w:szCs w:val="20"/>
              </w:rPr>
              <w:t>Sports equipment: “Health club”, “Yoga mat”, “Treadmill”, “Stationary bicycle”, “Dumbbell”</w:t>
            </w:r>
          </w:p>
          <w:p w14:paraId="0B89EE92" w14:textId="77777777" w:rsidR="0031333E" w:rsidRPr="0031333E" w:rsidRDefault="0031333E" w:rsidP="001C4BE0">
            <w:pPr>
              <w:pStyle w:val="ListParagraph"/>
              <w:numPr>
                <w:ilvl w:val="0"/>
                <w:numId w:val="6"/>
              </w:numPr>
              <w:jc w:val="both"/>
              <w:rPr>
                <w:rFonts w:ascii="Palatino Linotype" w:hAnsi="Palatino Linotype" w:cs="Arial"/>
                <w:sz w:val="20"/>
                <w:szCs w:val="20"/>
              </w:rPr>
            </w:pPr>
            <w:r w:rsidRPr="0031333E">
              <w:rPr>
                <w:rFonts w:ascii="Palatino Linotype" w:hAnsi="Palatino Linotype" w:cs="Arial"/>
                <w:sz w:val="20"/>
                <w:szCs w:val="20"/>
              </w:rPr>
              <w:t>Leisure activities:</w:t>
            </w:r>
            <w:r w:rsidRPr="0031333E">
              <w:rPr>
                <w:rFonts w:ascii="Palatino Linotype" w:hAnsi="Palatino Linotype"/>
                <w:sz w:val="20"/>
                <w:szCs w:val="20"/>
              </w:rPr>
              <w:t xml:space="preserve"> “</w:t>
            </w:r>
            <w:r w:rsidRPr="0031333E">
              <w:rPr>
                <w:rFonts w:ascii="Palatino Linotype" w:hAnsi="Palatino Linotype" w:cs="Arial"/>
                <w:sz w:val="20"/>
                <w:szCs w:val="20"/>
              </w:rPr>
              <w:t>Movie theater”, “Concert”, “Video game”, “Book”, “Music”</w:t>
            </w:r>
          </w:p>
          <w:p w14:paraId="45921B26" w14:textId="77777777" w:rsidR="0031333E" w:rsidRPr="0031333E" w:rsidRDefault="0031333E" w:rsidP="001C4BE0">
            <w:pPr>
              <w:jc w:val="both"/>
              <w:rPr>
                <w:rFonts w:ascii="Palatino Linotype" w:hAnsi="Palatino Linotype" w:cs="Arial"/>
                <w:sz w:val="20"/>
                <w:szCs w:val="20"/>
              </w:rPr>
            </w:pPr>
            <w:r w:rsidRPr="0031333E">
              <w:rPr>
                <w:rFonts w:ascii="Palatino Linotype" w:hAnsi="Palatino Linotype" w:cs="Arial"/>
                <w:sz w:val="20"/>
                <w:szCs w:val="20"/>
              </w:rPr>
              <w:t>(8) Psychological aspects: “Insomnia”, “Depression”, “Isolation”, “Boredom”, “Anxiety”</w:t>
            </w:r>
          </w:p>
        </w:tc>
      </w:tr>
      <w:tr w:rsidR="0031333E" w:rsidRPr="0031333E" w14:paraId="60C4C461" w14:textId="77777777" w:rsidTr="001C4BE0">
        <w:tc>
          <w:tcPr>
            <w:tcW w:w="1795" w:type="dxa"/>
          </w:tcPr>
          <w:p w14:paraId="54CE163E"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Quotation Marks</w:t>
            </w:r>
          </w:p>
        </w:tc>
        <w:tc>
          <w:tcPr>
            <w:tcW w:w="7555" w:type="dxa"/>
          </w:tcPr>
          <w:p w14:paraId="01381D32"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If there was one word in the search term, those words were queried with quotation marks</w:t>
            </w:r>
          </w:p>
        </w:tc>
      </w:tr>
      <w:tr w:rsidR="0031333E" w:rsidRPr="0031333E" w14:paraId="1F798761" w14:textId="77777777" w:rsidTr="001C4BE0">
        <w:tc>
          <w:tcPr>
            <w:tcW w:w="1795" w:type="dxa"/>
          </w:tcPr>
          <w:p w14:paraId="77AEA670"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The rationale for Search Strategy</w:t>
            </w:r>
          </w:p>
        </w:tc>
        <w:tc>
          <w:tcPr>
            <w:tcW w:w="7555" w:type="dxa"/>
          </w:tcPr>
          <w:p w14:paraId="0233FCE5" w14:textId="77777777" w:rsidR="0031333E" w:rsidRPr="0031333E" w:rsidRDefault="0031333E" w:rsidP="001C4BE0">
            <w:pPr>
              <w:jc w:val="both"/>
              <w:rPr>
                <w:rFonts w:ascii="Palatino Linotype" w:hAnsi="Palatino Linotype"/>
                <w:sz w:val="20"/>
                <w:szCs w:val="20"/>
              </w:rPr>
            </w:pPr>
          </w:p>
        </w:tc>
      </w:tr>
      <w:tr w:rsidR="0031333E" w:rsidRPr="0031333E" w14:paraId="17FF4619" w14:textId="77777777" w:rsidTr="001C4BE0">
        <w:tc>
          <w:tcPr>
            <w:tcW w:w="1795" w:type="dxa"/>
          </w:tcPr>
          <w:p w14:paraId="144B51D6"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lastRenderedPageBreak/>
              <w:t>For Search Input</w:t>
            </w:r>
          </w:p>
        </w:tc>
        <w:tc>
          <w:tcPr>
            <w:tcW w:w="7555" w:type="dxa"/>
          </w:tcPr>
          <w:p w14:paraId="288F2EB3"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 xml:space="preserve">The searched terms were related to change in human eating behavior and its related factors during the year presence of COVID-19 (January 2020 till December 13, 2020), which compared with the similar period in the previous of two reference years (years without the presence of COVID-19 - The year 2018 and 2019) </w:t>
            </w:r>
          </w:p>
        </w:tc>
      </w:tr>
      <w:tr w:rsidR="0031333E" w:rsidRPr="0031333E" w14:paraId="45E94C13" w14:textId="77777777" w:rsidTr="001C4BE0">
        <w:tc>
          <w:tcPr>
            <w:tcW w:w="1795" w:type="dxa"/>
          </w:tcPr>
          <w:p w14:paraId="3730E1FB"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For Setting Chosen</w:t>
            </w:r>
          </w:p>
        </w:tc>
        <w:tc>
          <w:tcPr>
            <w:tcW w:w="7555" w:type="dxa"/>
          </w:tcPr>
          <w:p w14:paraId="695A3D29"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Web search was chosen</w:t>
            </w:r>
          </w:p>
        </w:tc>
      </w:tr>
      <w:tr w:rsidR="0031333E" w:rsidRPr="0031333E" w14:paraId="2A4DD49E" w14:textId="77777777" w:rsidTr="001C4BE0">
        <w:tc>
          <w:tcPr>
            <w:tcW w:w="1795" w:type="dxa"/>
          </w:tcPr>
          <w:p w14:paraId="22184A3F"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Hypothetical example</w:t>
            </w:r>
          </w:p>
        </w:tc>
        <w:tc>
          <w:tcPr>
            <w:tcW w:w="7555" w:type="dxa"/>
          </w:tcPr>
          <w:p w14:paraId="18E52875" w14:textId="77777777" w:rsidR="0031333E" w:rsidRPr="0031333E" w:rsidRDefault="0031333E" w:rsidP="001C4BE0">
            <w:pPr>
              <w:jc w:val="both"/>
              <w:rPr>
                <w:rFonts w:ascii="Palatino Linotype" w:hAnsi="Palatino Linotype"/>
                <w:sz w:val="20"/>
                <w:szCs w:val="20"/>
              </w:rPr>
            </w:pPr>
          </w:p>
        </w:tc>
      </w:tr>
      <w:tr w:rsidR="0031333E" w:rsidRPr="0031333E" w14:paraId="36E88FAD" w14:textId="77777777" w:rsidTr="001C4BE0">
        <w:tc>
          <w:tcPr>
            <w:tcW w:w="9350" w:type="dxa"/>
            <w:gridSpan w:val="2"/>
          </w:tcPr>
          <w:p w14:paraId="06E26926" w14:textId="77777777" w:rsidR="0031333E" w:rsidRPr="0031333E" w:rsidRDefault="0031333E" w:rsidP="001C4BE0">
            <w:pPr>
              <w:jc w:val="both"/>
              <w:rPr>
                <w:rFonts w:ascii="Palatino Linotype" w:hAnsi="Palatino Linotype"/>
                <w:sz w:val="20"/>
                <w:szCs w:val="20"/>
              </w:rPr>
            </w:pPr>
            <w:r w:rsidRPr="0031333E">
              <w:rPr>
                <w:rFonts w:ascii="Palatino Linotype" w:hAnsi="Palatino Linotype"/>
                <w:sz w:val="20"/>
                <w:szCs w:val="20"/>
              </w:rPr>
              <w:t>On December 15, 2020, we queried Google Trends and downloaded the data for the above search input. We searched the worldwide data from January 1, 2018, to December 13, 2020, with no restriction on the query category. We search those terms based on the hypothesis that our eating behavior and its related factors may change since the Covid-19 pandemic, including the lockdown period and lockdown easement period. We select the period before Covid-19 starting from January 1, 2018, till December 31, 2019, as a reference period (stable periodically year) to compare with the trending during the Covid-19 outbreak occurred.</w:t>
            </w:r>
          </w:p>
        </w:tc>
      </w:tr>
    </w:tbl>
    <w:p w14:paraId="12DCB485" w14:textId="77777777" w:rsidR="0031333E" w:rsidRPr="0031333E" w:rsidRDefault="0031333E" w:rsidP="0031333E">
      <w:pPr>
        <w:jc w:val="both"/>
        <w:rPr>
          <w:rFonts w:ascii="Palatino Linotype" w:hAnsi="Palatino Linotype"/>
          <w:sz w:val="20"/>
          <w:szCs w:val="20"/>
        </w:rPr>
      </w:pPr>
    </w:p>
    <w:p w14:paraId="0727E91B" w14:textId="77777777" w:rsidR="0031333E" w:rsidRPr="0031333E" w:rsidRDefault="0031333E" w:rsidP="0031333E">
      <w:pPr>
        <w:rPr>
          <w:rFonts w:ascii="Palatino Linotype" w:hAnsi="Palatino Linotype"/>
          <w:sz w:val="20"/>
          <w:szCs w:val="20"/>
        </w:rPr>
      </w:pPr>
    </w:p>
    <w:sectPr w:rsidR="0031333E" w:rsidRPr="0031333E" w:rsidSect="005B3367">
      <w:pgSz w:w="11907" w:h="16840" w:code="9"/>
      <w:pgMar w:top="1418" w:right="964" w:bottom="107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149"/>
    <w:multiLevelType w:val="hybridMultilevel"/>
    <w:tmpl w:val="B8BCA778"/>
    <w:lvl w:ilvl="0" w:tplc="5CA6DB28">
      <w:numFmt w:val="bullet"/>
      <w:lvlText w:val="-"/>
      <w:lvlJc w:val="left"/>
      <w:pPr>
        <w:ind w:left="36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5387"/>
    <w:multiLevelType w:val="hybridMultilevel"/>
    <w:tmpl w:val="35BA80C8"/>
    <w:lvl w:ilvl="0" w:tplc="5CA6DB28">
      <w:numFmt w:val="bullet"/>
      <w:lvlText w:val="-"/>
      <w:lvlJc w:val="left"/>
      <w:pPr>
        <w:ind w:left="36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17FD0"/>
    <w:multiLevelType w:val="hybridMultilevel"/>
    <w:tmpl w:val="2BC2FEDC"/>
    <w:lvl w:ilvl="0" w:tplc="5CA6DB28">
      <w:numFmt w:val="bullet"/>
      <w:lvlText w:val="-"/>
      <w:lvlJc w:val="left"/>
      <w:pPr>
        <w:ind w:left="360" w:hanging="360"/>
      </w:pPr>
      <w:rPr>
        <w:rFonts w:ascii="Palatino Linotype" w:eastAsiaTheme="minorHAnsi" w:hAnsi="Palatino Linotyp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26795"/>
    <w:multiLevelType w:val="hybridMultilevel"/>
    <w:tmpl w:val="0350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A3F92"/>
    <w:multiLevelType w:val="hybridMultilevel"/>
    <w:tmpl w:val="EA08D920"/>
    <w:lvl w:ilvl="0" w:tplc="5CA6DB28">
      <w:numFmt w:val="bullet"/>
      <w:lvlText w:val="-"/>
      <w:lvlJc w:val="left"/>
      <w:pPr>
        <w:ind w:left="36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534F8"/>
    <w:multiLevelType w:val="hybridMultilevel"/>
    <w:tmpl w:val="AFEECE02"/>
    <w:lvl w:ilvl="0" w:tplc="5CA6DB28">
      <w:numFmt w:val="bullet"/>
      <w:lvlText w:val="-"/>
      <w:lvlJc w:val="left"/>
      <w:pPr>
        <w:ind w:left="36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NDcztDAzsDQ2NzJX0lEKTi0uzszPAykwqgUAhFzVqSwAAAA="/>
  </w:docVars>
  <w:rsids>
    <w:rsidRoot w:val="00E01139"/>
    <w:rsid w:val="002843FE"/>
    <w:rsid w:val="0031333E"/>
    <w:rsid w:val="005B3367"/>
    <w:rsid w:val="00826804"/>
    <w:rsid w:val="008D0FBB"/>
    <w:rsid w:val="00A5480C"/>
    <w:rsid w:val="00A743DF"/>
    <w:rsid w:val="00AE75D5"/>
    <w:rsid w:val="00C011C3"/>
    <w:rsid w:val="00E0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62D0"/>
  <w15:chartTrackingRefBased/>
  <w15:docId w15:val="{32A65D66-59A4-4D24-BB0D-46B608CD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2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5</cp:revision>
  <dcterms:created xsi:type="dcterms:W3CDTF">2020-11-18T06:21:00Z</dcterms:created>
  <dcterms:modified xsi:type="dcterms:W3CDTF">2020-12-27T05:05:00Z</dcterms:modified>
</cp:coreProperties>
</file>