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BB11B" w14:textId="77777777" w:rsidR="00456D5F" w:rsidRDefault="00456D5F" w:rsidP="00456D5F">
      <w:pPr>
        <w:pStyle w:val="Heading1"/>
        <w:jc w:val="both"/>
      </w:pPr>
      <w:r>
        <w:t>The Demographic, Social, and Economic Correlates of HIV Infection Status in Sub-Saharan Africa</w:t>
      </w:r>
    </w:p>
    <w:p w14:paraId="06B65352" w14:textId="48BC56BB" w:rsidR="00456D5F" w:rsidRDefault="00570FBC" w:rsidP="00570FBC">
      <w:pPr>
        <w:pStyle w:val="Heading1"/>
      </w:pPr>
      <w:r w:rsidRPr="00570FBC">
        <w:t>Supplementary Information</w:t>
      </w:r>
    </w:p>
    <w:p w14:paraId="1BA72398" w14:textId="77777777" w:rsidR="00456D5F" w:rsidRDefault="00456D5F" w:rsidP="00456D5F">
      <w:bookmarkStart w:id="0" w:name="_89owlk2rkonq" w:colFirst="0" w:colLast="0"/>
      <w:bookmarkEnd w:id="0"/>
    </w:p>
    <w:p w14:paraId="7418813F" w14:textId="5FFE1638" w:rsidR="00456D5F" w:rsidRDefault="00456D5F" w:rsidP="00456D5F">
      <w:pPr>
        <w:rPr>
          <w:vertAlign w:val="superscript"/>
        </w:rPr>
      </w:pPr>
      <w:r>
        <w:t xml:space="preserve">Chirag J. Patel, Kajal Claypool, Eric Chow, Jake Chung, Don Mai, Jessie Chen, Eran </w:t>
      </w:r>
      <w:proofErr w:type="spellStart"/>
      <w:r>
        <w:t>Bendavid</w:t>
      </w:r>
      <w:proofErr w:type="spellEnd"/>
    </w:p>
    <w:p w14:paraId="78D09C54" w14:textId="77777777" w:rsidR="00456D5F" w:rsidRDefault="00456D5F" w:rsidP="00456D5F">
      <w:pPr>
        <w:pStyle w:val="Heading2"/>
      </w:pPr>
    </w:p>
    <w:p w14:paraId="67B147F7" w14:textId="77777777" w:rsidR="00570FBC" w:rsidRDefault="00570FBC" w:rsidP="00570FBC">
      <w:pPr>
        <w:pStyle w:val="Heading1"/>
        <w:jc w:val="both"/>
        <w:rPr>
          <w:u w:val="single"/>
        </w:rPr>
      </w:pPr>
      <w:r>
        <w:t>Supplementary Methods</w:t>
      </w:r>
    </w:p>
    <w:p w14:paraId="2944C838" w14:textId="77777777" w:rsidR="00570FBC" w:rsidRDefault="00570FBC" w:rsidP="00570FBC"/>
    <w:p w14:paraId="4EC1D7DF" w14:textId="77777777" w:rsidR="00570FBC" w:rsidRDefault="00570FBC" w:rsidP="00570FBC">
      <w:pPr>
        <w:rPr>
          <w:u w:val="single"/>
        </w:rPr>
      </w:pPr>
      <w:r>
        <w:rPr>
          <w:u w:val="single"/>
        </w:rPr>
        <w:t>DHS Data sources</w:t>
      </w:r>
    </w:p>
    <w:p w14:paraId="7D836372" w14:textId="77777777" w:rsidR="00570FBC" w:rsidRDefault="00570FBC" w:rsidP="00570FBC">
      <w:r>
        <w:t xml:space="preserve">The DHS datasets were downloaded as zipped Stata files (available at </w:t>
      </w:r>
      <w:hyperlink r:id="rId6">
        <w:r>
          <w:rPr>
            <w:color w:val="1155CC"/>
            <w:u w:val="single"/>
          </w:rPr>
          <w:t>https://dhsprogram.com</w:t>
        </w:r>
      </w:hyperlink>
      <w:r>
        <w:t xml:space="preserve">). Up to six files were obtained per country-survey if they were available: household member </w:t>
      </w:r>
      <w:proofErr w:type="gramStart"/>
      <w:r>
        <w:t>recode</w:t>
      </w:r>
      <w:proofErr w:type="gramEnd"/>
      <w:r>
        <w:t xml:space="preserve"> (PR), individual recode (IR), men’s recode (MR), household recode (HR), HIV test results recode (AR), and geographic data (GE). </w:t>
      </w:r>
    </w:p>
    <w:p w14:paraId="348AF9A9" w14:textId="77777777" w:rsidR="00570FBC" w:rsidRDefault="00570FBC" w:rsidP="00570FBC"/>
    <w:p w14:paraId="52989BF0" w14:textId="77777777" w:rsidR="00570FBC" w:rsidRDefault="00570FBC" w:rsidP="00570FBC">
      <w:pPr>
        <w:rPr>
          <w:u w:val="single"/>
        </w:rPr>
      </w:pPr>
      <w:r>
        <w:rPr>
          <w:u w:val="single"/>
        </w:rPr>
        <w:t xml:space="preserve">Appending the women and </w:t>
      </w:r>
      <w:proofErr w:type="gramStart"/>
      <w:r>
        <w:rPr>
          <w:u w:val="single"/>
        </w:rPr>
        <w:t>men’s</w:t>
      </w:r>
      <w:proofErr w:type="gramEnd"/>
      <w:r>
        <w:rPr>
          <w:u w:val="single"/>
        </w:rPr>
        <w:t xml:space="preserve"> recode</w:t>
      </w:r>
    </w:p>
    <w:p w14:paraId="43A33455" w14:textId="77777777" w:rsidR="00570FBC" w:rsidRDefault="00570FBC" w:rsidP="00570FBC">
      <w:r>
        <w:t xml:space="preserve">While appending the individual and </w:t>
      </w:r>
      <w:proofErr w:type="gramStart"/>
      <w:r>
        <w:t>men’s</w:t>
      </w:r>
      <w:proofErr w:type="gramEnd"/>
      <w:r>
        <w:t xml:space="preserve"> recode datasets (IR and MR), we also systematically identified common variables to map between MR and IR. The following prefix changes were made to variables in MR in this sequence: removing “_”, “mv” to “v”, removing “s”, “</w:t>
      </w:r>
      <w:proofErr w:type="spellStart"/>
      <w:r>
        <w:t>mcase</w:t>
      </w:r>
      <w:proofErr w:type="spellEnd"/>
      <w:r>
        <w:t>” to “case”, “m” to “v”, “</w:t>
      </w:r>
      <w:proofErr w:type="spellStart"/>
      <w:r>
        <w:t>sm</w:t>
      </w:r>
      <w:proofErr w:type="spellEnd"/>
      <w:r>
        <w:t xml:space="preserve">” to “mm” or “s” if no “mm” candidates exist, “dm” to “d”, and “sm6” to “s8” and “mv304a” to “v304a_”. </w:t>
      </w:r>
    </w:p>
    <w:p w14:paraId="671B7B2A" w14:textId="77777777" w:rsidR="00570FBC" w:rsidRDefault="00570FBC" w:rsidP="00570FBC"/>
    <w:p w14:paraId="2450F5BE" w14:textId="77777777" w:rsidR="00570FBC" w:rsidRDefault="00570FBC" w:rsidP="00570FBC">
      <w:r>
        <w:t xml:space="preserve">Additionally, IR variables that had at least a 70% syntactic similarity to MR variables (computed using </w:t>
      </w:r>
      <w:proofErr w:type="spellStart"/>
      <w:r>
        <w:t>Levenshtein</w:t>
      </w:r>
      <w:proofErr w:type="spellEnd"/>
      <w:r>
        <w:t xml:space="preserve"> distance) were mapped using Amazon Mechanical Turk (</w:t>
      </w:r>
      <w:proofErr w:type="spellStart"/>
      <w:r>
        <w:t>MTurk</w:t>
      </w:r>
      <w:proofErr w:type="spellEnd"/>
      <w:r>
        <w:t xml:space="preserve">) Master Workers. These workers were trained briefly and presented with an MR variable and a set of potential IR candidates. They selected the IR candidate that they thought was the best </w:t>
      </w:r>
      <w:proofErr w:type="gramStart"/>
      <w:r>
        <w:t>match, or</w:t>
      </w:r>
      <w:proofErr w:type="gramEnd"/>
      <w:r>
        <w:t xml:space="preserve"> indicated that the MR variable was an individual category of the question header label, or that none of the IR candidates were appropriate. We validated the </w:t>
      </w:r>
      <w:proofErr w:type="spellStart"/>
      <w:r>
        <w:t>MTurk</w:t>
      </w:r>
      <w:proofErr w:type="spellEnd"/>
      <w:r>
        <w:t xml:space="preserve"> responses by excluding any workers who only selected the same positional answer (or semantically similar answers), or whose responses were not submitted through the </w:t>
      </w:r>
      <w:proofErr w:type="spellStart"/>
      <w:r>
        <w:t>MTurk</w:t>
      </w:r>
      <w:proofErr w:type="spellEnd"/>
      <w:r>
        <w:t xml:space="preserve"> interface. A majority vote rule (70%) was used to select the MR-IR variable mapping, and any candidate mappings that were indeterminate remained unmapped.</w:t>
      </w:r>
    </w:p>
    <w:p w14:paraId="50F03AB0" w14:textId="77777777" w:rsidR="00570FBC" w:rsidRDefault="00570FBC" w:rsidP="00570FBC"/>
    <w:p w14:paraId="2B084269" w14:textId="77777777" w:rsidR="00570FBC" w:rsidRDefault="00570FBC" w:rsidP="00570FBC">
      <w:pPr>
        <w:spacing w:line="240" w:lineRule="auto"/>
        <w:jc w:val="both"/>
        <w:rPr>
          <w:u w:val="single"/>
        </w:rPr>
      </w:pPr>
      <w:r>
        <w:rPr>
          <w:u w:val="single"/>
        </w:rPr>
        <w:t>Harmonizing the Household, Male, and Female surveys</w:t>
      </w:r>
    </w:p>
    <w:p w14:paraId="76E89321" w14:textId="77777777" w:rsidR="00570FBC" w:rsidRPr="004D2136" w:rsidRDefault="00570FBC" w:rsidP="00570FBC">
      <w:pPr>
        <w:spacing w:line="240" w:lineRule="auto"/>
        <w:jc w:val="both"/>
      </w:pPr>
      <w:r>
        <w:t>Each DHS contains several parts: a census of all household members, in-depth interviews with reproductive-age (15-49 years old) women,</w:t>
      </w:r>
      <w:r w:rsidDel="00B878A1">
        <w:t xml:space="preserve"> </w:t>
      </w:r>
      <w:r>
        <w:t xml:space="preserve">men (15-59 years old), a ledger of household information, and HIV test results for each tested individual. We harmonized the surveys to match </w:t>
      </w:r>
      <w:r>
        <w:lastRenderedPageBreak/>
        <w:t xml:space="preserve">individuals in the household with available in-depth data, household data, and HIV test results. Variables that represented the same concept </w:t>
      </w:r>
      <w:r w:rsidRPr="004D2136">
        <w:t xml:space="preserve">were identified by similarities in their variable name or the variable </w:t>
      </w:r>
      <w:proofErr w:type="gramStart"/>
      <w:r w:rsidRPr="004D2136">
        <w:t>description, and</w:t>
      </w:r>
      <w:proofErr w:type="gramEnd"/>
      <w:r w:rsidRPr="004D2136">
        <w:t xml:space="preserve"> merged together. Amazon Mechanical Turk (</w:t>
      </w:r>
      <w:proofErr w:type="spellStart"/>
      <w:r w:rsidRPr="004D2136">
        <w:t>mTurk</w:t>
      </w:r>
      <w:proofErr w:type="spellEnd"/>
      <w:r w:rsidRPr="004D2136">
        <w:t>) was used to match men’s and women’s variables when the relationship between the variable names was intermediate.</w:t>
      </w:r>
      <w:r>
        <w:fldChar w:fldCharType="begin"/>
      </w:r>
      <w:r>
        <w:instrText xml:space="preserve"> ADDIN ZOTERO_ITEM CSL_CITATION {"citationID":"TWfkI32Q","properties":{"formattedCitation":"[16]","plainCitation":"[16]","noteIndex":0},"citationItems":[{"id":"B8v9b51C/i7kxjJZu","uris":["http://zotero.org/users/2485092/items/AE9KJQKB"],"uri":["http://zotero.org/users/2485092/items/AE9KJQKB"],"itemData":{"id":3249,"type":"paper-conference","abstract":"We show how to outsource data annotation to Amazon Mechanical Turk. Doing so has produced annotations in quite large numbers relatively cheaply. The quality is good, and can be checked and controlled. Annotations are produced quickly. We describe results for several different annotation problems. We describe some strategies for determining when the task is well specified and properly priced.","container-title":"2008 IEEE Computer Society Conference on Computer Vision and Pattern Recognition Workshops","DOI":"10.1109/CVPRW.2008.4562953","event":"2008 IEEE Computer Society Conference on Computer Vision and Pattern Recognition Workshops","note":"ISSN: 2160-7508","page":"1-8","source":"IEEE Xplore","title":"Utility data annotation with Amazon Mechanical Turk","author":[{"family":"Sorokin","given":"Alexander"},{"family":"Forsyth","given":"David"}],"issued":{"date-parts":[["2008",6]]}}}],"schema":"https://github.com/citation-style-language/schema/raw/master/csl-citation.json"} </w:instrText>
      </w:r>
      <w:r>
        <w:fldChar w:fldCharType="separate"/>
      </w:r>
      <w:r>
        <w:t>[16]</w:t>
      </w:r>
      <w:r>
        <w:fldChar w:fldCharType="end"/>
      </w:r>
      <w:r w:rsidRPr="004D2136">
        <w:t xml:space="preserve"> A harmonized dataset was created for each country-survey, and each of these merged surveys was then analyzed. </w:t>
      </w:r>
    </w:p>
    <w:p w14:paraId="536142C9" w14:textId="77777777" w:rsidR="00570FBC" w:rsidRPr="004D2136" w:rsidRDefault="00570FBC" w:rsidP="00570FBC">
      <w:pPr>
        <w:spacing w:line="240" w:lineRule="auto"/>
        <w:jc w:val="both"/>
        <w:rPr>
          <w:u w:val="single"/>
        </w:rPr>
      </w:pPr>
    </w:p>
    <w:p w14:paraId="554C0524" w14:textId="60E24CE8" w:rsidR="00570FBC" w:rsidRPr="000E4C21" w:rsidRDefault="00570FBC" w:rsidP="00570FBC">
      <w:pPr>
        <w:spacing w:line="240" w:lineRule="auto"/>
        <w:jc w:val="both"/>
        <w:rPr>
          <w:color w:val="000000" w:themeColor="text1"/>
        </w:rPr>
      </w:pPr>
      <w:r w:rsidRPr="004D2136">
        <w:t xml:space="preserve">We analyzed the harmonized surveys from </w:t>
      </w:r>
      <w:r w:rsidRPr="00815F78">
        <w:rPr>
          <w:color w:val="000000" w:themeColor="text1"/>
        </w:rPr>
        <w:t xml:space="preserve">all sub-Saharan African countries and survey years that performed the DHS HIV testing protocol. </w:t>
      </w:r>
      <w:r w:rsidRPr="00815F78">
        <w:rPr>
          <w:rFonts w:eastAsia="Arial Unicode MS"/>
          <w:color w:val="000000" w:themeColor="text1"/>
        </w:rPr>
        <w:t>All surveys that reported an HIV prevalence ≥ 0.01 were included in our analysis</w:t>
      </w:r>
      <w:r w:rsidR="005956FD">
        <w:rPr>
          <w:rFonts w:eastAsia="Arial Unicode MS"/>
          <w:color w:val="000000" w:themeColor="text1"/>
        </w:rPr>
        <w:t xml:space="preserve"> </w:t>
      </w:r>
      <w:r w:rsidRPr="00815F78">
        <w:rPr>
          <w:color w:val="000000" w:themeColor="text1"/>
        </w:rPr>
        <w:t>(</w:t>
      </w:r>
      <w:r w:rsidRPr="005956FD">
        <w:rPr>
          <w:color w:val="000000" w:themeColor="text1"/>
        </w:rPr>
        <w:t>see Table S1</w:t>
      </w:r>
      <w:r w:rsidRPr="00815F78">
        <w:rPr>
          <w:color w:val="000000" w:themeColor="text1"/>
        </w:rPr>
        <w:t>).</w:t>
      </w:r>
    </w:p>
    <w:p w14:paraId="606E1409" w14:textId="77777777" w:rsidR="00570FBC" w:rsidRDefault="00570FBC" w:rsidP="00570FBC"/>
    <w:p w14:paraId="7A0394ED" w14:textId="77777777" w:rsidR="00570FBC" w:rsidRDefault="00570FBC" w:rsidP="00570FBC">
      <w:pPr>
        <w:rPr>
          <w:u w:val="single"/>
        </w:rPr>
      </w:pPr>
      <w:r>
        <w:rPr>
          <w:u w:val="single"/>
        </w:rPr>
        <w:t>Resolving value-label conflicts</w:t>
      </w:r>
    </w:p>
    <w:p w14:paraId="76754B5E" w14:textId="77777777" w:rsidR="00570FBC" w:rsidRDefault="00570FBC" w:rsidP="00570FBC">
      <w:r>
        <w:t xml:space="preserve">When mapping categorical variables together in IR and MR, we resolved conflicting value labels by: 1) obtaining a complete list of all possible values of categorical variables, 2) merging all labels to the values if value-labels are available in the native Stata data dictionary, 3) appending both complete lists of value-labels from IR and MR, 4) removing duplicates from this new value-label dictionary, 5) finding conflicting value-labels (where the same value in a variable has two different labels, e.g. 1 = “Yes” in IR but 1 = “Definitely” in MR) and re-levelling one of the conflicting value-labels. If a conflict is found, then the value without a label receives priority (and the labelled conflict is relevelled); </w:t>
      </w:r>
      <w:proofErr w:type="gramStart"/>
      <w:r>
        <w:t>otherwise</w:t>
      </w:r>
      <w:proofErr w:type="gramEnd"/>
      <w:r>
        <w:t xml:space="preserve"> the IR value keeps its level while the MR value gets relevelled to the next larger level number in the set of levels in that variable.  All value-labels are prefixed with their original value in square brackets in the label (</w:t>
      </w:r>
      <w:proofErr w:type="gramStart"/>
      <w:r>
        <w:t>e.g.</w:t>
      </w:r>
      <w:proofErr w:type="gramEnd"/>
      <w:r>
        <w:t xml:space="preserve"> the relevelled value of 2 might have the label “[1] Yes” because the value of 1 had two conflicting labels).</w:t>
      </w:r>
    </w:p>
    <w:p w14:paraId="0CD95E58" w14:textId="77777777" w:rsidR="00570FBC" w:rsidRDefault="00570FBC" w:rsidP="00570FBC"/>
    <w:p w14:paraId="0A051FED" w14:textId="77777777" w:rsidR="00570FBC" w:rsidRDefault="00570FBC" w:rsidP="00570FBC">
      <w:pPr>
        <w:rPr>
          <w:u w:val="single"/>
        </w:rPr>
      </w:pPr>
      <w:r>
        <w:rPr>
          <w:u w:val="single"/>
        </w:rPr>
        <w:t xml:space="preserve">Merging recode datasets </w:t>
      </w:r>
    </w:p>
    <w:p w14:paraId="01A6854B" w14:textId="77777777" w:rsidR="00570FBC" w:rsidRDefault="00570FBC" w:rsidP="00570FBC">
      <w:r>
        <w:t>The household member recode (PR) is then left-joined with the appended IR/MR file (with variables mapped and levels relevelled) in a 1:1 merge using (1) the cluster ID (v001), (2) household ID (v002), (3) respondent line number (v003), and occasionally, (4) structure ID (</w:t>
      </w:r>
      <w:proofErr w:type="spellStart"/>
      <w:r>
        <w:t>sstruct</w:t>
      </w:r>
      <w:proofErr w:type="spellEnd"/>
      <w:r>
        <w:t xml:space="preserve">, sconces, </w:t>
      </w:r>
      <w:proofErr w:type="spellStart"/>
      <w:r>
        <w:t>svivi</w:t>
      </w:r>
      <w:proofErr w:type="spellEnd"/>
      <w:r>
        <w:t xml:space="preserve">, </w:t>
      </w:r>
      <w:proofErr w:type="spellStart"/>
      <w:r>
        <w:t>sqnumber</w:t>
      </w:r>
      <w:proofErr w:type="spellEnd"/>
      <w:r>
        <w:t xml:space="preserve">, or </w:t>
      </w:r>
      <w:proofErr w:type="spellStart"/>
      <w:r>
        <w:t>snumber</w:t>
      </w:r>
      <w:proofErr w:type="spellEnd"/>
      <w:r>
        <w:t xml:space="preserve">) if it is needed to uniquely identify a respondent. Not all PR records are merged to a record in the appended IR/MR </w:t>
      </w:r>
      <w:proofErr w:type="gramStart"/>
      <w:r>
        <w:t>file, but</w:t>
      </w:r>
      <w:proofErr w:type="gramEnd"/>
      <w:r>
        <w:t xml:space="preserve"> are retained in the dataset with empty cells for the IR/MR variables.  The HR dataset is left-joined to the PR/IR/MR dataset in a 1:m merge using (1) the cluster ID, and (2) household ID. The AR dataset (which contains the HIV test result of a subset of respondents) is left-joined to the PR/IR/MR/HR dataset in a 1:1 merge and left as missing if not available. In the AR file, v001 = </w:t>
      </w:r>
      <w:proofErr w:type="spellStart"/>
      <w:r>
        <w:t>hivclust</w:t>
      </w:r>
      <w:proofErr w:type="spellEnd"/>
      <w:r>
        <w:t xml:space="preserve">, v002 = </w:t>
      </w:r>
      <w:proofErr w:type="spellStart"/>
      <w:r>
        <w:t>hivnumb</w:t>
      </w:r>
      <w:proofErr w:type="spellEnd"/>
      <w:r>
        <w:t xml:space="preserve"> and v003 = </w:t>
      </w:r>
      <w:proofErr w:type="spellStart"/>
      <w:r>
        <w:t>hivline</w:t>
      </w:r>
      <w:proofErr w:type="spellEnd"/>
      <w:r>
        <w:t>.  The GE dataset is left-joined in a 1:m merge using cluster ID only.</w:t>
      </w:r>
    </w:p>
    <w:p w14:paraId="6C543894" w14:textId="77777777" w:rsidR="00570FBC" w:rsidRDefault="00570FBC" w:rsidP="00570FBC"/>
    <w:p w14:paraId="760B77A8" w14:textId="77777777" w:rsidR="00570FBC" w:rsidRDefault="00570FBC" w:rsidP="00570FBC">
      <w:pPr>
        <w:rPr>
          <w:u w:val="single"/>
        </w:rPr>
      </w:pPr>
      <w:r>
        <w:rPr>
          <w:u w:val="single"/>
        </w:rPr>
        <w:t>Handling missing recode datasets</w:t>
      </w:r>
    </w:p>
    <w:p w14:paraId="30FA5102" w14:textId="77777777" w:rsidR="00570FBC" w:rsidRDefault="00570FBC" w:rsidP="00570FBC">
      <w:r>
        <w:t xml:space="preserve">The IR dataset is the minimum file needed for merging. If the IR dataset is not present, the datasets are not merged. Alerts are given if &lt;75% of the IR/MR records are merged to PR, or if &gt;25% of the IR/MR records are not mergeable to PR.  Similarly, alerts are given if &lt;75% of HR records are merged to PR, or if &gt;25% of HR records are not mergeable to PR. Alerts are given if &lt;50% of HIV test result data are merged to PR. The final merged dataset of PR, IR/MR, HR, and AR was saved as a Stata 15 file with the embedded data-dictionary and named after the country-survey code and given the “flattened” suffix. </w:t>
      </w:r>
    </w:p>
    <w:p w14:paraId="0E027FA3" w14:textId="77777777" w:rsidR="00570FBC" w:rsidRDefault="00570FBC" w:rsidP="00570FBC"/>
    <w:p w14:paraId="207F36FA" w14:textId="27F396EF" w:rsidR="0038136D" w:rsidRDefault="0038136D" w:rsidP="00570FBC">
      <w:pPr>
        <w:spacing w:line="240" w:lineRule="auto"/>
        <w:rPr>
          <w:u w:val="single"/>
        </w:rPr>
      </w:pPr>
      <w:r>
        <w:rPr>
          <w:u w:val="single"/>
        </w:rPr>
        <w:lastRenderedPageBreak/>
        <w:t>Processing of duplicate and</w:t>
      </w:r>
      <w:r w:rsidR="008316E2">
        <w:rPr>
          <w:u w:val="single"/>
        </w:rPr>
        <w:t xml:space="preserve"> categorical</w:t>
      </w:r>
      <w:r>
        <w:rPr>
          <w:u w:val="single"/>
        </w:rPr>
        <w:t xml:space="preserve"> variables</w:t>
      </w:r>
    </w:p>
    <w:p w14:paraId="340F35DE" w14:textId="63A7E5E6" w:rsidR="0038136D" w:rsidRDefault="0038136D" w:rsidP="00570FBC">
      <w:pPr>
        <w:spacing w:line="240" w:lineRule="auto"/>
      </w:pPr>
      <w:r>
        <w:t xml:space="preserve">We removed variables that exhibited no variation or were “duplicates”. </w:t>
      </w:r>
      <w:r w:rsidRPr="00D04551">
        <w:t xml:space="preserve">We </w:t>
      </w:r>
      <w:r>
        <w:t xml:space="preserve">then </w:t>
      </w:r>
      <w:r w:rsidRPr="00D04551">
        <w:t>computed pairwise Pearson correlations for all variables in a given survey across all 50 surveys. We identified groups of variables whose pairwise Pearson correlation was 0.9 or greater.</w:t>
      </w:r>
      <w:r w:rsidRPr="00D04551" w:rsidDel="00C622D4">
        <w:t xml:space="preserve"> </w:t>
      </w:r>
      <w:r w:rsidRPr="00D04551">
        <w:t xml:space="preserve">For each of these groups of variables that were highly correlated with one another, we selected one to represent the group that had the largest average sample size for the variable across all surveys. These decision rules eliminated redundant variables, preserved most meaningfully continuous variables, and discretized most non-ordinal variables.  </w:t>
      </w:r>
      <w:r w:rsidR="00712DFD">
        <w:t>All continuous variables were scaled and centered.</w:t>
      </w:r>
    </w:p>
    <w:p w14:paraId="1F7CD05B" w14:textId="0F2CD1ED" w:rsidR="00712DFD" w:rsidRDefault="00712DFD" w:rsidP="00570FBC">
      <w:pPr>
        <w:spacing w:line="240" w:lineRule="auto"/>
      </w:pPr>
    </w:p>
    <w:p w14:paraId="457E2CAA" w14:textId="3C830AAF" w:rsidR="00712DFD" w:rsidRPr="00712DFD" w:rsidRDefault="00712DFD" w:rsidP="00570FBC">
      <w:pPr>
        <w:spacing w:line="240" w:lineRule="auto"/>
        <w:rPr>
          <w:u w:val="single"/>
        </w:rPr>
      </w:pPr>
      <w:r>
        <w:rPr>
          <w:u w:val="single"/>
        </w:rPr>
        <w:t>Number of surveys available per country</w:t>
      </w:r>
    </w:p>
    <w:p w14:paraId="6EC03C81" w14:textId="3DC903E9" w:rsidR="00712DFD" w:rsidRDefault="00712DFD" w:rsidP="00570FBC">
      <w:pPr>
        <w:spacing w:line="240" w:lineRule="auto"/>
        <w:rPr>
          <w:u w:val="single"/>
        </w:rPr>
      </w:pPr>
      <w:r>
        <w:t xml:space="preserve">Five countries had 3 surveys available for analysis (Lesotho, Malawi, Rwanda, Tanzania, Zimbabwe), 11 had 2 surveys (Burkina Faso, Democratic Republic of Congo, Cote d'Ivoire, Ethiopia, Ghana, Guinea, Kenya, Liberia, Mali, Sierra Leone, Zambia). The 13 remaining countries had 1 survey (Angola, Burundi, Cameroon, Chad, Congo, Gabon, Mozambique, Namibia, Sao Tome and Principe, Senegal, eSwatini, Togo, and Uganda). </w:t>
      </w:r>
    </w:p>
    <w:p w14:paraId="75CB2E15" w14:textId="77777777" w:rsidR="0038136D" w:rsidRDefault="0038136D" w:rsidP="00570FBC">
      <w:pPr>
        <w:spacing w:line="240" w:lineRule="auto"/>
        <w:rPr>
          <w:u w:val="single"/>
        </w:rPr>
      </w:pPr>
    </w:p>
    <w:p w14:paraId="10E755C0" w14:textId="3AB45AE1" w:rsidR="00570FBC" w:rsidRDefault="00570FBC" w:rsidP="00570FBC">
      <w:pPr>
        <w:spacing w:line="240" w:lineRule="auto"/>
        <w:rPr>
          <w:u w:val="single"/>
        </w:rPr>
      </w:pPr>
      <w:r>
        <w:rPr>
          <w:u w:val="single"/>
        </w:rPr>
        <w:t>Pan Sub-Saharan sex-specific systematic meta-analyses across all years and countries</w:t>
      </w:r>
    </w:p>
    <w:p w14:paraId="15D16FCF" w14:textId="77777777" w:rsidR="00570FBC" w:rsidRDefault="00570FBC" w:rsidP="00570FBC">
      <w:pPr>
        <w:spacing w:line="240" w:lineRule="auto"/>
      </w:pPr>
      <w:r>
        <w:t xml:space="preserve">For each variable, we combined associations across all of the surveys (year and country combination) for males and females with a random effects meta-analysis procedure. Specifically, given an association between a variable (e.g., marital status, call it </w:t>
      </w:r>
      <m:oMath>
        <m:r>
          <w:rPr>
            <w:rFonts w:ascii="Cambria Math" w:hAnsi="Cambria Math"/>
          </w:rPr>
          <m:t>X</m:t>
        </m:r>
        <m:r>
          <w:rPr>
            <w:rFonts w:ascii="Cambria Math" w:hAnsi="Cambria Math"/>
            <w:vertAlign w:val="subscript"/>
          </w:rPr>
          <m:t>1</m:t>
        </m:r>
      </m:oMath>
      <w:r>
        <w:t xml:space="preserve">) and HIV+ in a survey for a sex (e.g., Zambia, 2013-2014, females denoted by </w:t>
      </w:r>
      <m:oMath>
        <m:sSubSup>
          <m:sSubSupPr>
            <m:ctrlPr>
              <w:rPr>
                <w:rFonts w:ascii="Cambria Math" w:hAnsi="Cambria Math"/>
              </w:rPr>
            </m:ctrlPr>
          </m:sSubSupPr>
          <m:e>
            <m:r>
              <w:rPr>
                <w:rFonts w:ascii="Cambria Math" w:hAnsi="Cambria Math"/>
              </w:rPr>
              <m:t>β</m:t>
            </m:r>
          </m:e>
          <m:sub>
            <m:r>
              <w:rPr>
                <w:rFonts w:ascii="Cambria Math" w:hAnsi="Cambria Math"/>
              </w:rPr>
              <m:t>Zambia,2013-2014, females</m:t>
            </m:r>
          </m:sub>
          <m:sup>
            <m:r>
              <w:rPr>
                <w:rFonts w:ascii="Cambria Math" w:hAnsi="Cambria Math"/>
              </w:rPr>
              <m:t>1</m:t>
            </m:r>
          </m:sup>
        </m:sSubSup>
      </m:oMath>
      <w:r>
        <w:t xml:space="preserve"> ; Zimbabwe, 2005, females, denoted by </w:t>
      </w:r>
      <m:oMath>
        <m:sSubSup>
          <m:sSubSupPr>
            <m:ctrlPr>
              <w:rPr>
                <w:rFonts w:ascii="Cambria Math" w:hAnsi="Cambria Math"/>
              </w:rPr>
            </m:ctrlPr>
          </m:sSubSupPr>
          <m:e>
            <m:r>
              <w:rPr>
                <w:rFonts w:ascii="Cambria Math" w:hAnsi="Cambria Math"/>
              </w:rPr>
              <m:t>β</m:t>
            </m:r>
          </m:e>
          <m:sub>
            <m:r>
              <w:rPr>
                <w:rFonts w:ascii="Cambria Math" w:hAnsi="Cambria Math"/>
              </w:rPr>
              <m:t>Zimbabwe,2005, females</m:t>
            </m:r>
          </m:sub>
          <m:sup>
            <m:r>
              <w:rPr>
                <w:rFonts w:ascii="Cambria Math" w:hAnsi="Cambria Math"/>
              </w:rPr>
              <m:t>1</m:t>
            </m:r>
          </m:sup>
        </m:sSubSup>
      </m:oMath>
      <w:r>
        <w:t>), we estimated the overall association for each of the variables and measures of their heterogeneity, including the I</w:t>
      </w:r>
      <w:r>
        <w:rPr>
          <w:vertAlign w:val="superscript"/>
        </w:rPr>
        <w:t>2</w:t>
      </w:r>
      <w:r>
        <w:t xml:space="preserve"> for males and females using a </w:t>
      </w:r>
      <w:proofErr w:type="spellStart"/>
      <w:r>
        <w:t>DerSimonian</w:t>
      </w:r>
      <w:proofErr w:type="spellEnd"/>
      <w:r>
        <w:t>-Laird random effects meta-analysis model, arriving at an overall estimate of association (e.g., for our example,</w:t>
      </w:r>
      <m:oMath>
        <m:sSubSup>
          <m:sSubSupPr>
            <m:ctrlPr>
              <w:rPr>
                <w:rFonts w:ascii="Cambria Math" w:hAnsi="Cambria Math"/>
              </w:rPr>
            </m:ctrlPr>
          </m:sSubSupPr>
          <m:e>
            <m:r>
              <w:rPr>
                <w:rFonts w:ascii="Cambria Math" w:hAnsi="Cambria Math"/>
              </w:rPr>
              <m:t>β</m:t>
            </m:r>
          </m:e>
          <m:sub>
            <m:r>
              <w:rPr>
                <w:rFonts w:ascii="Cambria Math" w:hAnsi="Cambria Math"/>
              </w:rPr>
              <m:t>females</m:t>
            </m:r>
          </m:sub>
          <m:sup>
            <m:r>
              <w:rPr>
                <w:rFonts w:ascii="Cambria Math" w:hAnsi="Cambria Math"/>
              </w:rPr>
              <m:t>1</m:t>
            </m:r>
          </m:sup>
        </m:sSubSup>
      </m:oMath>
      <w:r>
        <w:t>).</w:t>
      </w:r>
      <w:r>
        <w:fldChar w:fldCharType="begin"/>
      </w:r>
      <w:r>
        <w:instrText xml:space="preserve"> ADDIN ZOTERO_ITEM CSL_CITATION {"citationID":"e7wmhdup","properties":{"formattedCitation":"[17]","plainCitation":"[17]","noteIndex":0},"citationItems":[{"id":"B8v9b51C/a9pTDfOJ","uris":["http://zotero.org/users/2485092/items/BR9QW894"],"uri":["http://zotero.org/users/2485092/items/BR9QW894"],"itemData":{"id":3258,"type":"book","abstract":"This book provides a clear and thorough introduction to meta-analysis, the process of synthesizing data from a series of separate studies. Meta-analysis has become a critically important tool in fields as diverse as medicine, pharmacology, epidemiology, education, psychology, business, and ecology. Introduction to Meta-Analysis:  Outlines the role of meta-analysis in the research process Shows how to compute effects sizes and treatment effects Explains the fixed-effect and random-effects models for synthesizing data Demonstrates how to assess and interpret variation in effect size across studies Clarifies concepts using text and figures, followed by formulas and examples Explains how to avoid common mistakes in meta-analysis Discusses controversies in meta-analysis Features a web site with additional material and exercises  A superb combination of lucid prose and informative graphics, written by four of the world’s leading experts on all aspects of meta-analysis. Borenstein, Hedges, Higgins, and Rothstein provide a refreshing departure from cookbook approaches with their clear explanations of the what and why of meta-analysis. The book is ideal as a course textbook or for self-study. My students, who used pre-publication versions of some of the chapters, raved about the clarity of the explanations and examples. David Rindskopf, Distinguished Professor of Educational Psychology, City University of New York, Graduate School and University Center, &amp; Editor of the Journal of Educational and Behavioral Statistics. The approach taken by Introduction to Meta-analysis is intended to be primarily conceptual, and it is amazingly successful at achieving that goal. The reader can comfortably skip the formulas and still understand their application and underlying motivation. For the more statistically sophisticated reader, the relevant formulas and worked examples provide a superb practical guide to performing a meta-analysis. The book provides an eclectic mix of examples from education, social science, biomedical studies, and even ecology. For anyone considering leading a course in meta-analysis, or pursuing self-directed study, Introduction to Meta-analysis would be a clear first choice. Jesse A. Berlin, ScD  Introduction to Meta-Analysis is an excellent resource for novices and experts alike. The book provides a clear and comprehensive presentation of all basic and most advanced approaches to meta-analysis. This book will be referenced for decades. Michael A. McDaniel, Professor of Human Resources and Organizational Behavior, Virginia Commonwealth University","edition":"1st Edition","language":"English","number-of-pages":"612","publisher":"Wiley","source":"Amazon","title":"Introduction to Meta-Analysis","author":[{"family":"Borenstein","given":"Michael"},{"family":"Hedges","given":"Larry V."},{"family":"Higgins","given":"Julian P. T."},{"family":"Rothstein","given":"Hannah R."}],"issued":{"date-parts":[["2011",8,24]]}}}],"schema":"https://github.com/citation-style-language/schema/raw/master/csl-citation.json"} </w:instrText>
      </w:r>
      <w:r>
        <w:fldChar w:fldCharType="separate"/>
      </w:r>
      <w:r>
        <w:t>[17]</w:t>
      </w:r>
      <w:r>
        <w:fldChar w:fldCharType="end"/>
      </w:r>
      <w:r>
        <w:t xml:space="preserve">  Out of the 7,251 and 6,288 variables unique available for females and males, 2,830 and 2,307 variables for females and males were measured in greater than one survey and thus available for a meta-analysis (Supplementary Figure 1AB). As examples, 4421 and 3921 variables were only available in 1 survey for males and females respectively. 79 and 57 variables were available across all 50 surveys for females and males respectively. For the 4421 and 3921 variables that appeared only in one survey (for females and males), we retained the survey-specific estimate. We used the </w:t>
      </w:r>
      <w:proofErr w:type="spellStart"/>
      <w:r>
        <w:rPr>
          <w:i/>
        </w:rPr>
        <w:t>metafor</w:t>
      </w:r>
      <w:proofErr w:type="spellEnd"/>
      <w:r>
        <w:t xml:space="preserve"> package in R to compute the meta-analytic association estimates.</w:t>
      </w:r>
      <w:r>
        <w:fldChar w:fldCharType="begin"/>
      </w:r>
      <w:r>
        <w:instrText xml:space="preserve"> ADDIN ZOTERO_ITEM CSL_CITATION {"citationID":"KSpcf1l6","properties":{"formattedCitation":"[18]","plainCitation":"[18]","noteIndex":0},"citationItems":[{"id":"B8v9b51C/xaWdRqDr","uris":["http://zotero.org/users/2485092/items/AGZRRXNE"],"uri":["http://zotero.org/users/2485092/items/AGZRRXNE"],"itemData":{"id":3260,"type":"article-journal","container-title":"Journal of Statistical Software","DOI":"10.18637/jss.v036.i03","ISSN":"1548-7660","issue":"1","language":"en","note":"number: 1","page":"1-48","source":"www.jstatsoft.org","title":"Conducting Meta-Analyses in R with the metafor Package","URL":"https://www.jstatsoft.org/index.php/jss/article/view/v036i03","volume":"36","author":[{"family":"Viechtbauer","given":"Wolfgang"}],"accessed":{"date-parts":[["2020",10,6]]},"issued":{"date-parts":[["2010",8,5]]}}}],"schema":"https://github.com/citation-style-language/schema/raw/master/csl-citation.json"} </w:instrText>
      </w:r>
      <w:r>
        <w:fldChar w:fldCharType="separate"/>
      </w:r>
      <w:r>
        <w:t>[18]</w:t>
      </w:r>
      <w:r>
        <w:fldChar w:fldCharType="end"/>
      </w:r>
    </w:p>
    <w:p w14:paraId="094E56ED" w14:textId="77777777" w:rsidR="00570FBC" w:rsidRDefault="00570FBC" w:rsidP="00570FBC"/>
    <w:p w14:paraId="1D698922" w14:textId="77777777" w:rsidR="00570FBC" w:rsidRDefault="00570FBC" w:rsidP="00570FBC">
      <w:pPr>
        <w:spacing w:line="240" w:lineRule="auto"/>
        <w:jc w:val="both"/>
      </w:pPr>
      <w:r>
        <w:rPr>
          <w:u w:val="single"/>
        </w:rPr>
        <w:t>Sex-specific meta-analyses within countries</w:t>
      </w:r>
    </w:p>
    <w:p w14:paraId="74BE9851" w14:textId="1DB9EB71" w:rsidR="00570FBC" w:rsidRDefault="00570FBC" w:rsidP="00570FBC">
      <w:pPr>
        <w:spacing w:line="240" w:lineRule="auto"/>
      </w:pPr>
      <w:r>
        <w:t>For each variable, we combined associations of all of the surveys within a country (e.g., Zambia, 2007 and Zambia 2013-2014) to estimate a country specific association for each sex. Given an association between a variable (</w:t>
      </w:r>
      <w:proofErr w:type="spellStart"/>
      <w:r>
        <w:t>i.e</w:t>
      </w:r>
      <w:proofErr w:type="spellEnd"/>
      <w:r>
        <w:t xml:space="preserve">, marital status, call it </w:t>
      </w:r>
      <m:oMath>
        <m:r>
          <w:rPr>
            <w:rFonts w:ascii="Cambria Math" w:hAnsi="Cambria Math"/>
          </w:rPr>
          <m:t>X1</m:t>
        </m:r>
      </m:oMath>
      <w:r>
        <w:t>) and HIV+ in a survey for a sex (</w:t>
      </w:r>
      <w:proofErr w:type="spellStart"/>
      <w:r>
        <w:t>i.e</w:t>
      </w:r>
      <w:proofErr w:type="spellEnd"/>
      <w:r>
        <w:t xml:space="preserve">, Zambia, 2013-2014, females denoted by </w:t>
      </w:r>
      <m:oMath>
        <m:sSubSup>
          <m:sSubSupPr>
            <m:ctrlPr>
              <w:rPr>
                <w:rFonts w:ascii="Cambria Math" w:hAnsi="Cambria Math"/>
              </w:rPr>
            </m:ctrlPr>
          </m:sSubSupPr>
          <m:e>
            <m:r>
              <w:rPr>
                <w:rFonts w:ascii="Cambria Math" w:hAnsi="Cambria Math"/>
              </w:rPr>
              <m:t>β</m:t>
            </m:r>
          </m:e>
          <m:sub>
            <m:r>
              <w:rPr>
                <w:rFonts w:ascii="Cambria Math" w:hAnsi="Cambria Math"/>
              </w:rPr>
              <m:t>Zambia,2013-2014, females</m:t>
            </m:r>
          </m:sub>
          <m:sup>
            <m:r>
              <w:rPr>
                <w:rFonts w:ascii="Cambria Math" w:hAnsi="Cambria Math"/>
              </w:rPr>
              <m:t>1</m:t>
            </m:r>
          </m:sup>
        </m:sSubSup>
      </m:oMath>
      <w:r>
        <w:t xml:space="preserve"> </w:t>
      </w:r>
      <w:r w:rsidR="006B6B36">
        <w:t>in the equation</w:t>
      </w:r>
      <w:r>
        <w:t xml:space="preserve">; Zambia, 2007, females, denoted by </w:t>
      </w:r>
      <m:oMath>
        <m:sSubSup>
          <m:sSubSupPr>
            <m:ctrlPr>
              <w:rPr>
                <w:rFonts w:ascii="Cambria Math" w:hAnsi="Cambria Math"/>
              </w:rPr>
            </m:ctrlPr>
          </m:sSubSupPr>
          <m:e>
            <m:r>
              <w:rPr>
                <w:rFonts w:ascii="Cambria Math" w:hAnsi="Cambria Math"/>
              </w:rPr>
              <m:t>β</m:t>
            </m:r>
          </m:e>
          <m:sub>
            <m:r>
              <w:rPr>
                <w:rFonts w:ascii="Cambria Math" w:hAnsi="Cambria Math"/>
              </w:rPr>
              <m:t>Zambia,2007, females</m:t>
            </m:r>
          </m:sub>
          <m:sup>
            <m:r>
              <w:rPr>
                <w:rFonts w:ascii="Cambria Math" w:hAnsi="Cambria Math"/>
              </w:rPr>
              <m:t>1</m:t>
            </m:r>
          </m:sup>
        </m:sSubSup>
      </m:oMath>
      <w:r>
        <w:t>), we estimated the overall association for each of the variables for males and females using a DerSimonian-Laird random effects meta-analysis model, arriving at an overall estimate of association (</w:t>
      </w:r>
      <m:oMath>
        <m:sSubSup>
          <m:sSubSupPr>
            <m:ctrlPr>
              <w:rPr>
                <w:rFonts w:ascii="Cambria Math" w:hAnsi="Cambria Math"/>
              </w:rPr>
            </m:ctrlPr>
          </m:sSubSupPr>
          <m:e>
            <m:r>
              <w:rPr>
                <w:rFonts w:ascii="Cambria Math" w:hAnsi="Cambria Math"/>
              </w:rPr>
              <m:t>β</m:t>
            </m:r>
          </m:e>
          <m:sub>
            <m:r>
              <w:rPr>
                <w:rFonts w:ascii="Cambria Math" w:hAnsi="Cambria Math"/>
              </w:rPr>
              <m:t>Zambia, females</m:t>
            </m:r>
          </m:sub>
          <m:sup>
            <m:r>
              <w:rPr>
                <w:rFonts w:ascii="Cambria Math" w:hAnsi="Cambria Math"/>
              </w:rPr>
              <m:t>1</m:t>
            </m:r>
          </m:sup>
        </m:sSubSup>
      </m:oMath>
      <w:r>
        <w:t xml:space="preserve">).  </w:t>
      </w:r>
    </w:p>
    <w:p w14:paraId="4EE659C1" w14:textId="3D29245D" w:rsidR="00570FBC" w:rsidRDefault="00570FBC" w:rsidP="00570FBC"/>
    <w:p w14:paraId="5B09D54B" w14:textId="32B9C10D" w:rsidR="00EC32DA" w:rsidRPr="00EC32DA" w:rsidRDefault="00EC32DA" w:rsidP="00EC32DA">
      <w:pPr>
        <w:spacing w:line="240" w:lineRule="auto"/>
        <w:rPr>
          <w:u w:val="single"/>
        </w:rPr>
      </w:pPr>
      <w:r>
        <w:rPr>
          <w:u w:val="single"/>
        </w:rPr>
        <w:t>Comparison of associations assayed across multiple countries</w:t>
      </w:r>
    </w:p>
    <w:p w14:paraId="109AD3A0" w14:textId="107E5EDC" w:rsidR="00EC32DA" w:rsidRDefault="00EC32DA" w:rsidP="00EC32DA">
      <w:pPr>
        <w:spacing w:line="240" w:lineRule="auto"/>
      </w:pPr>
      <w:r>
        <w:t xml:space="preserve">To facilitate comparison of associations that are measured in multiple countries, we binned by the number of countries in which the variables appear, including 1 country, 2-10 countries, 11-19 countries, and 20-29 countries (Figure 1, Supplementary Figure 2A-C, Table 3). Variables that were identified and assessed across a larger number of countries exhibited similar </w:t>
      </w:r>
      <w:proofErr w:type="spellStart"/>
      <w:r>
        <w:lastRenderedPageBreak/>
        <w:t>Nagelkerke</w:t>
      </w:r>
      <w:proofErr w:type="spellEnd"/>
      <w:r>
        <w:t xml:space="preserve"> R</w:t>
      </w:r>
      <w:r w:rsidRPr="006F2951">
        <w:rPr>
          <w:vertAlign w:val="superscript"/>
        </w:rPr>
        <w:t>2</w:t>
      </w:r>
      <w:r>
        <w:t xml:space="preserve"> distributions (Figure 1A, Supplementary Figure S2A); however, their odds ratios were attenuated (Figure 1B, Supplementary Figure S2B). </w:t>
      </w:r>
    </w:p>
    <w:p w14:paraId="6E64C8F1" w14:textId="6C97A4D1" w:rsidR="00EC32DA" w:rsidRPr="00EC32DA" w:rsidRDefault="00EC32DA" w:rsidP="00570FBC">
      <w:pPr>
        <w:rPr>
          <w:u w:val="single"/>
        </w:rPr>
      </w:pPr>
    </w:p>
    <w:p w14:paraId="6FA8E369" w14:textId="77777777" w:rsidR="00EC32DA" w:rsidRDefault="00EC32DA" w:rsidP="00570FBC"/>
    <w:p w14:paraId="760E248A" w14:textId="77777777" w:rsidR="00570FBC" w:rsidRDefault="00570FBC" w:rsidP="00570FBC">
      <w:pPr>
        <w:spacing w:line="240" w:lineRule="auto"/>
        <w:rPr>
          <w:u w:val="single"/>
        </w:rPr>
      </w:pPr>
      <w:r>
        <w:rPr>
          <w:u w:val="single"/>
        </w:rPr>
        <w:t>Prediction of HIV+ across Sub-Saharan Africa</w:t>
      </w:r>
    </w:p>
    <w:p w14:paraId="179CC3C3" w14:textId="68C2F0AD" w:rsidR="00570FBC" w:rsidRPr="005E1B5A" w:rsidRDefault="00570FBC" w:rsidP="00570FBC">
      <w:pPr>
        <w:spacing w:line="240" w:lineRule="auto"/>
      </w:pPr>
      <w:r>
        <w:t>We calculated the predicted probability of HIV as a function of the variables that were identified in common in 29 African countries. First, we identified the latest survey with HIV status for each country and then built a logistic regression model for the top 10 identified factors (had p-value less than 1</w:t>
      </w:r>
      <w:r w:rsidR="00B916F4">
        <w:t>x10</w:t>
      </w:r>
      <w:r w:rsidRPr="00B77777">
        <w:rPr>
          <w:vertAlign w:val="superscript"/>
        </w:rPr>
        <w:t>-6</w:t>
      </w:r>
      <w:r>
        <w:t xml:space="preserve"> and R2 greater than 0.001) present in all 29 countries. We removed DHS participants who did not have all 10 variables available. Using this model, we estimated the area under the curve and the predicted probability for each individual. </w:t>
      </w:r>
    </w:p>
    <w:p w14:paraId="740ECC9B" w14:textId="77777777" w:rsidR="00570FBC" w:rsidRDefault="00570FBC" w:rsidP="00570FBC">
      <w:pPr>
        <w:spacing w:line="240" w:lineRule="auto"/>
        <w:rPr>
          <w:u w:val="single"/>
        </w:rPr>
      </w:pPr>
    </w:p>
    <w:p w14:paraId="76CC3C0F" w14:textId="77777777" w:rsidR="00570FBC" w:rsidRDefault="00570FBC" w:rsidP="00570FBC">
      <w:pPr>
        <w:spacing w:line="240" w:lineRule="auto"/>
      </w:pPr>
      <w:r w:rsidRPr="0096573A">
        <w:t xml:space="preserve">The </w:t>
      </w:r>
      <w:r>
        <w:t>Area Under the Curve (</w:t>
      </w:r>
      <w:r w:rsidRPr="0096573A">
        <w:t>AUC</w:t>
      </w:r>
      <w:r>
        <w:t>)</w:t>
      </w:r>
      <w:r w:rsidRPr="0096573A">
        <w:t xml:space="preserve"> estimates were calculated by varying the threshold at which a person was considered “HIV+” based on their predicted probability, estimating the sensitivity and specificity based on these thresholds, and calculating the area under the </w:t>
      </w:r>
      <w:r>
        <w:t xml:space="preserve">receiver operator </w:t>
      </w:r>
      <w:r w:rsidRPr="0096573A">
        <w:t>curve</w:t>
      </w:r>
      <w:r>
        <w:t xml:space="preserve"> (AUC)</w:t>
      </w:r>
      <w:r w:rsidRPr="0096573A">
        <w:t xml:space="preserve">. Precision-recall curves </w:t>
      </w:r>
      <w:r>
        <w:t xml:space="preserve">are preferred when the proportion of cases are much lower than non-cases by </w:t>
      </w:r>
      <w:r w:rsidRPr="0096573A">
        <w:t>focus</w:t>
      </w:r>
      <w:r>
        <w:t>ing</w:t>
      </w:r>
      <w:r w:rsidRPr="0096573A">
        <w:t xml:space="preserve"> on positive case</w:t>
      </w:r>
      <w:r>
        <w:t xml:space="preserve">s and are estimated by computing the </w:t>
      </w:r>
      <w:r w:rsidRPr="0096573A">
        <w:t>area under the precision (positive-predictive value) v</w:t>
      </w:r>
      <w:r>
        <w:t>ersus</w:t>
      </w:r>
      <w:r w:rsidRPr="0096573A">
        <w:t xml:space="preserve"> recall (sensitivity) curve</w:t>
      </w:r>
      <w:r>
        <w:t xml:space="preserve"> (PRAUC)</w:t>
      </w:r>
      <w:r w:rsidRPr="0096573A">
        <w:t>.</w:t>
      </w:r>
      <w:r>
        <w:t xml:space="preserve"> For random predictors, the AUC will be equal to approximately 0.5 and the PRAUC will be equal to the prevalence of HIV+.  Therefore, a predictor that achieves an AUC greater than 0.5 or a PRAUC greater than the prevalence is considered to be better than random. A perfect AUC or PRAUC is 1.</w:t>
      </w:r>
    </w:p>
    <w:p w14:paraId="1428FF11" w14:textId="77777777" w:rsidR="00570FBC" w:rsidRPr="005E1B5A" w:rsidRDefault="00570FBC" w:rsidP="00570FBC">
      <w:pPr>
        <w:spacing w:line="240" w:lineRule="auto"/>
      </w:pPr>
    </w:p>
    <w:p w14:paraId="03CDED25" w14:textId="77777777" w:rsidR="00570FBC" w:rsidRPr="005E1B5A" w:rsidRDefault="00570FBC" w:rsidP="00570FBC">
      <w:pPr>
        <w:spacing w:line="240" w:lineRule="auto"/>
      </w:pPr>
      <w:r>
        <w:t>Finally, we assess the concentration of HIV risk. We do this by calculating the proportion of the population that carries the predicted probability of HIV from our model. This allows us to calculate a “</w:t>
      </w:r>
      <w:proofErr w:type="spellStart"/>
      <w:r>
        <w:t>gini</w:t>
      </w:r>
      <w:proofErr w:type="spellEnd"/>
      <w:r>
        <w:t xml:space="preserve">” coefficient of HIV risk by estimating the cumulative HIV risk distribution that is accounted for by the portion of the sample population using the </w:t>
      </w:r>
      <w:proofErr w:type="spellStart"/>
      <w:r w:rsidRPr="6AD9E8F7">
        <w:rPr>
          <w:i/>
          <w:iCs/>
        </w:rPr>
        <w:t>ineq</w:t>
      </w:r>
      <w:proofErr w:type="spellEnd"/>
      <w:r>
        <w:t xml:space="preserve"> package in R.</w:t>
      </w:r>
      <w:r>
        <w:fldChar w:fldCharType="begin"/>
      </w:r>
      <w:r>
        <w:instrText xml:space="preserve"> ADDIN ZOTERO_ITEM CSL_CITATION {"citationID":"iBVSrqtL","properties":{"formattedCitation":"[19]","plainCitation":"[19]","noteIndex":0},"citationItems":[{"id":"B8v9b51C/ewMonymr","uris":["http://zotero.org/users/2485092/items/H26JT8XC"],"uri":["http://zotero.org/users/2485092/items/H26JT8XC"],"itemData":{"id":3269,"type":"webpage","abstract":"Inequality, concentration, and poverty measures. Lorenz curves (empirical and theoretical).","language":"en","title":"ineq: Measuring Inequality, Concentration, and Poverty version 0.2-13 from CRAN","title-short":"ineq","URL":"https://rdrr.io/cran/ineq/","accessed":{"date-parts":[["2020",10,13]]}}}],"schema":"https://github.com/citation-style-language/schema/raw/master/csl-citation.json"} </w:instrText>
      </w:r>
      <w:r>
        <w:fldChar w:fldCharType="separate"/>
      </w:r>
      <w:r>
        <w:t>[19]</w:t>
      </w:r>
      <w:r>
        <w:fldChar w:fldCharType="end"/>
      </w:r>
      <w:r>
        <w:t xml:space="preserve"> For example, the </w:t>
      </w:r>
      <w:proofErr w:type="spellStart"/>
      <w:r>
        <w:t>gini</w:t>
      </w:r>
      <w:proofErr w:type="spellEnd"/>
      <w:r>
        <w:t xml:space="preserve"> coefficient allows us to see if 20% of HIV risk is accounted for by 80% of the population as ranked by predicted risk.</w:t>
      </w:r>
      <w:r>
        <w:fldChar w:fldCharType="begin"/>
      </w:r>
      <w:r>
        <w:instrText xml:space="preserve"> ADDIN ZOTERO_ITEM CSL_CITATION {"citationID":"Fdehjf2E","properties":{"formattedCitation":"[20]","plainCitation":"[20]","noteIndex":0},"citationItems":[{"id":"B8v9b51C/UDadqP6q","uris":["http://zotero.org/users/2485092/items/PXTIP7EJ"],"uri":["http://zotero.org/users/2485092/items/PXTIP7EJ"],"itemData":{"id":3267,"type":"article-journal","abstract":"The paper proposes a new, and a much simpler, way to calculate the Gini coefficient. The existence of a relationship between linear (concave or convex) Pen's income parade, and specific values of the Gini coefficient is derived.","container-title":"Economics Letters","DOI":"10.1016/S0165-1765(97)00101-8","ISSN":"0165-1765","issue":"1","journalAbbreviation":"Economics Letters","language":"en","page":"45-49","source":"ScienceDirect","title":"A simple way to calculate the Gini coefficient, and some implications","URL":"http://www.sciencedirect.com/science/article/pii/S0165176597001018","volume":"56","author":[{"family":"Milanovic","given":"Branko"}],"accessed":{"date-parts":[["2020",10,6]]},"issued":{"date-parts":[["1997",9,26]]}}}],"schema":"https://github.com/citation-style-language/schema/raw/master/csl-citation.json"} </w:instrText>
      </w:r>
      <w:r>
        <w:fldChar w:fldCharType="separate"/>
      </w:r>
      <w:r>
        <w:t>[20]</w:t>
      </w:r>
      <w:r>
        <w:fldChar w:fldCharType="end"/>
      </w:r>
    </w:p>
    <w:p w14:paraId="0E0F603D" w14:textId="77777777" w:rsidR="00570FBC" w:rsidRDefault="00570FBC" w:rsidP="00570FBC"/>
    <w:p w14:paraId="7EEBB5AF" w14:textId="77777777" w:rsidR="00570FBC" w:rsidRDefault="00570FBC" w:rsidP="00570FBC"/>
    <w:p w14:paraId="33A5FD40" w14:textId="77777777" w:rsidR="00570FBC" w:rsidRDefault="00570FBC" w:rsidP="00570FBC">
      <w:pPr>
        <w:rPr>
          <w:u w:val="single"/>
        </w:rPr>
      </w:pPr>
      <w:r>
        <w:rPr>
          <w:u w:val="single"/>
        </w:rPr>
        <w:t>Hardware and software environment</w:t>
      </w:r>
    </w:p>
    <w:p w14:paraId="01F151B3" w14:textId="77777777" w:rsidR="00570FBC" w:rsidRDefault="00570FBC" w:rsidP="00570FBC">
      <w:r>
        <w:t xml:space="preserve">Data preparation was performed using Stata 15 MP on a MacBook Pro with a 2.7 GHz Intel Core i7 processor and 16GB of RAM. In Stata 15, setting the </w:t>
      </w:r>
      <w:proofErr w:type="spellStart"/>
      <w:r>
        <w:t>maxvar</w:t>
      </w:r>
      <w:proofErr w:type="spellEnd"/>
      <w:r>
        <w:t xml:space="preserve"> to 18000 (or higher) is necessary given the high number of variables. The codebase for data preparation is available at </w:t>
      </w:r>
      <w:hyperlink r:id="rId7">
        <w:r>
          <w:rPr>
            <w:color w:val="1155CC"/>
            <w:u w:val="single"/>
          </w:rPr>
          <w:t>https://github.com/ekhco/dhs_hiv</w:t>
        </w:r>
      </w:hyperlink>
      <w:r>
        <w:t xml:space="preserve">, </w:t>
      </w:r>
      <w:hyperlink r:id="rId8">
        <w:r>
          <w:rPr>
            <w:color w:val="1155CC"/>
            <w:u w:val="single"/>
          </w:rPr>
          <w:t>https://github.com/donasaur/dhs-processing</w:t>
        </w:r>
      </w:hyperlink>
      <w:r>
        <w:t xml:space="preserve">, and </w:t>
      </w:r>
      <w:hyperlink r:id="rId9">
        <w:r>
          <w:rPr>
            <w:color w:val="1155CC"/>
            <w:u w:val="single"/>
          </w:rPr>
          <w:t>https://github.com/donasaur/hiv-aws</w:t>
        </w:r>
      </w:hyperlink>
      <w:r>
        <w:t xml:space="preserve"> </w:t>
      </w:r>
    </w:p>
    <w:p w14:paraId="21D80484" w14:textId="77777777" w:rsidR="00570FBC" w:rsidRDefault="00570FBC" w:rsidP="00570FBC">
      <w:r>
        <w:t xml:space="preserve">The source code for intra-survey associations are available at </w:t>
      </w:r>
      <w:hyperlink r:id="rId10" w:history="1">
        <w:r w:rsidRPr="009E37FC">
          <w:rPr>
            <w:rStyle w:val="Hyperlink"/>
          </w:rPr>
          <w:t>https://bitbucket.org/kajalc/dhs_hiv/src/master/</w:t>
        </w:r>
      </w:hyperlink>
      <w:r>
        <w:t xml:space="preserve">, and the source code for meta-analysis across surveys are available here : </w:t>
      </w:r>
      <w:hyperlink r:id="rId11" w:history="1">
        <w:r w:rsidRPr="00234A62">
          <w:rPr>
            <w:rStyle w:val="Hyperlink"/>
          </w:rPr>
          <w:t>https://github.com/chiragjp/dhs_hiv_meta</w:t>
        </w:r>
      </w:hyperlink>
      <w:r>
        <w:rPr>
          <w:rStyle w:val="Hyperlink"/>
        </w:rPr>
        <w:t>.</w:t>
      </w:r>
      <w:r>
        <w:t xml:space="preserve"> A website of the findings is here: </w:t>
      </w:r>
      <w:hyperlink r:id="rId12" w:history="1">
        <w:r w:rsidRPr="0000723C">
          <w:rPr>
            <w:rStyle w:val="Hyperlink"/>
          </w:rPr>
          <w:t>https://www.chiragjpgroup.org/dhs_hiv_meta/</w:t>
        </w:r>
      </w:hyperlink>
    </w:p>
    <w:p w14:paraId="472987FC" w14:textId="3D457982" w:rsidR="006B6B36" w:rsidRDefault="006B6B36">
      <w:pPr>
        <w:spacing w:line="240" w:lineRule="auto"/>
      </w:pPr>
      <w:r>
        <w:br w:type="page"/>
      </w:r>
    </w:p>
    <w:p w14:paraId="2D533BFB" w14:textId="77777777" w:rsidR="00456D5F" w:rsidRDefault="00456D5F" w:rsidP="00516A4B"/>
    <w:p w14:paraId="22D00D60" w14:textId="229DF26B" w:rsidR="00266704" w:rsidRPr="007C1C80" w:rsidRDefault="00266704" w:rsidP="00266704">
      <w:pPr>
        <w:rPr>
          <w:b/>
          <w:bCs/>
        </w:rPr>
      </w:pPr>
    </w:p>
    <w:p w14:paraId="2069C4D8" w14:textId="16084531" w:rsidR="00266704" w:rsidRPr="007C1C80" w:rsidRDefault="00266704" w:rsidP="00266704">
      <w:pPr>
        <w:rPr>
          <w:b/>
          <w:bCs/>
        </w:rPr>
      </w:pPr>
      <w:r w:rsidRPr="007C1C80">
        <w:rPr>
          <w:b/>
          <w:bCs/>
        </w:rPr>
        <w:t>Supplementary Figures:</w:t>
      </w:r>
    </w:p>
    <w:p w14:paraId="6113D7E1" w14:textId="77777777" w:rsidR="001E0A11" w:rsidRDefault="001E0A11" w:rsidP="001E0A11">
      <w:pPr>
        <w:rPr>
          <w:b/>
          <w:bCs/>
        </w:rPr>
      </w:pPr>
      <w:r w:rsidRPr="003B142E">
        <w:rPr>
          <w:b/>
          <w:bCs/>
        </w:rPr>
        <w:t xml:space="preserve">Figure S1. </w:t>
      </w:r>
      <w:r>
        <w:rPr>
          <w:b/>
          <w:bCs/>
        </w:rPr>
        <w:t>Number of Variables assessed as a function of number of surveys and countries.</w:t>
      </w:r>
    </w:p>
    <w:p w14:paraId="514DC694" w14:textId="77777777" w:rsidR="001E0A11" w:rsidRDefault="001E0A11" w:rsidP="001E0A11">
      <w:pPr>
        <w:rPr>
          <w:b/>
          <w:bCs/>
        </w:rPr>
      </w:pPr>
    </w:p>
    <w:p w14:paraId="2FC7EE90" w14:textId="77777777" w:rsidR="001E0A11" w:rsidRDefault="001E0A11" w:rsidP="001E0A11">
      <w:r>
        <w:rPr>
          <w:b/>
          <w:bCs/>
        </w:rPr>
        <w:t xml:space="preserve">Figure S2. Empirical CDF of (A) </w:t>
      </w:r>
      <w:proofErr w:type="spellStart"/>
      <w:r>
        <w:rPr>
          <w:b/>
          <w:bCs/>
        </w:rPr>
        <w:t>Nagelkerke</w:t>
      </w:r>
      <w:proofErr w:type="spellEnd"/>
      <w:r>
        <w:rPr>
          <w:b/>
          <w:bCs/>
        </w:rPr>
        <w:t xml:space="preserve"> R2, (B) </w:t>
      </w:r>
      <w:proofErr w:type="gramStart"/>
      <w:r>
        <w:rPr>
          <w:b/>
          <w:bCs/>
        </w:rPr>
        <w:t>exp(</w:t>
      </w:r>
      <w:proofErr w:type="gramEnd"/>
      <w:r>
        <w:rPr>
          <w:b/>
          <w:bCs/>
        </w:rPr>
        <w:t xml:space="preserve">absolute value(beta)) or </w:t>
      </w:r>
      <w:proofErr w:type="spellStart"/>
      <w:r>
        <w:rPr>
          <w:b/>
          <w:bCs/>
        </w:rPr>
        <w:t>OR</w:t>
      </w:r>
      <w:proofErr w:type="spellEnd"/>
      <w:r>
        <w:rPr>
          <w:b/>
          <w:bCs/>
        </w:rPr>
        <w:t xml:space="preserve">, and (C) Heterogeneity (I2). </w:t>
      </w:r>
      <w:r>
        <w:t xml:space="preserve">Red line depicts CDF for those not identified, blue line identified (e.g., </w:t>
      </w:r>
      <w:proofErr w:type="spellStart"/>
      <w:r>
        <w:t>pvalue</w:t>
      </w:r>
      <w:proofErr w:type="spellEnd"/>
      <w:r>
        <w:t xml:space="preserve"> &lt; 1e-6 and R2 &gt; 0.001).</w:t>
      </w:r>
    </w:p>
    <w:p w14:paraId="2417D924" w14:textId="77777777" w:rsidR="001E0A11" w:rsidRDefault="001E0A11" w:rsidP="001E0A11">
      <w:pPr>
        <w:rPr>
          <w:b/>
          <w:bCs/>
        </w:rPr>
      </w:pPr>
    </w:p>
    <w:p w14:paraId="30BA6AEE" w14:textId="77777777" w:rsidR="007C1C80" w:rsidRPr="007C1C80" w:rsidRDefault="007C1C80" w:rsidP="00266704">
      <w:pPr>
        <w:rPr>
          <w:b/>
          <w:bCs/>
        </w:rPr>
      </w:pPr>
    </w:p>
    <w:p w14:paraId="4925C081" w14:textId="4281CBD7" w:rsidR="00266704" w:rsidRPr="007C1C80" w:rsidRDefault="00266704" w:rsidP="00266704">
      <w:pPr>
        <w:rPr>
          <w:b/>
          <w:bCs/>
        </w:rPr>
      </w:pPr>
      <w:r w:rsidRPr="007C1C80">
        <w:rPr>
          <w:b/>
          <w:bCs/>
        </w:rPr>
        <w:t>Supplementary Tables:</w:t>
      </w:r>
    </w:p>
    <w:p w14:paraId="17813476" w14:textId="7232D2DB" w:rsidR="00266704" w:rsidRPr="001E0A11" w:rsidRDefault="00266704" w:rsidP="00266704">
      <w:pPr>
        <w:rPr>
          <w:b/>
          <w:bCs/>
        </w:rPr>
      </w:pPr>
      <w:r w:rsidRPr="001E0A11">
        <w:rPr>
          <w:b/>
          <w:bCs/>
        </w:rPr>
        <w:t xml:space="preserve">Table S1. Distributions of odds ratios, </w:t>
      </w:r>
      <w:proofErr w:type="spellStart"/>
      <w:r w:rsidRPr="001E0A11">
        <w:rPr>
          <w:b/>
          <w:bCs/>
        </w:rPr>
        <w:t>Nagelkerke</w:t>
      </w:r>
      <w:proofErr w:type="spellEnd"/>
      <w:r w:rsidRPr="001E0A11">
        <w:rPr>
          <w:b/>
          <w:bCs/>
        </w:rPr>
        <w:t xml:space="preserve"> R</w:t>
      </w:r>
      <w:r w:rsidRPr="001E0A11">
        <w:rPr>
          <w:b/>
          <w:bCs/>
          <w:vertAlign w:val="superscript"/>
        </w:rPr>
        <w:t>2</w:t>
      </w:r>
      <w:r w:rsidRPr="001E0A11">
        <w:rPr>
          <w:b/>
          <w:bCs/>
        </w:rPr>
        <w:t>, and I</w:t>
      </w:r>
      <w:r w:rsidRPr="001E0A11">
        <w:rPr>
          <w:b/>
          <w:bCs/>
          <w:vertAlign w:val="superscript"/>
        </w:rPr>
        <w:t>2</w:t>
      </w:r>
      <w:r w:rsidRPr="001E0A11">
        <w:rPr>
          <w:b/>
          <w:bCs/>
        </w:rPr>
        <w:t xml:space="preserve"> (heterogeneity) estimates for variables appearing in 1 country and at least 2 countries.</w:t>
      </w:r>
    </w:p>
    <w:p w14:paraId="2F01EF2A" w14:textId="13508D9C" w:rsidR="001E0A11" w:rsidRDefault="001E0A11" w:rsidP="001E0A11"/>
    <w:p w14:paraId="14554429" w14:textId="28B56EDF" w:rsidR="00457326" w:rsidRDefault="00457326" w:rsidP="001E0A11">
      <w:pPr>
        <w:rPr>
          <w:b/>
          <w:bCs/>
        </w:rPr>
      </w:pPr>
      <w:r w:rsidRPr="00CE116B">
        <w:rPr>
          <w:b/>
          <w:bCs/>
        </w:rPr>
        <w:t xml:space="preserve">Online Supplementary </w:t>
      </w:r>
      <w:r w:rsidR="00483B43">
        <w:rPr>
          <w:b/>
          <w:bCs/>
        </w:rPr>
        <w:t>Tables:</w:t>
      </w:r>
    </w:p>
    <w:p w14:paraId="7B1F701A" w14:textId="61015A7F" w:rsidR="00457326" w:rsidRDefault="000B63C0" w:rsidP="001E0A11">
      <w:r>
        <w:t>T</w:t>
      </w:r>
      <w:r w:rsidR="00483B43">
        <w:t>o enhance reuse and reproducibility</w:t>
      </w:r>
      <w:r w:rsidR="007C26D3">
        <w:t>, we have placed</w:t>
      </w:r>
      <w:r w:rsidR="00483B43">
        <w:t xml:space="preserve"> all of our summary statistics, including the meta-analytic </w:t>
      </w:r>
      <w:r w:rsidR="00200598">
        <w:t>odds ratio</w:t>
      </w:r>
      <w:r w:rsidR="00483B43">
        <w:t>, R2, and I2, their standard errors, and p</w:t>
      </w:r>
      <w:r w:rsidR="009169CB">
        <w:t>-</w:t>
      </w:r>
      <w:r w:rsidR="00483B43">
        <w:t>values in tables located here</w:t>
      </w:r>
      <w:r w:rsidR="00721A8E">
        <w:t xml:space="preserve">: </w:t>
      </w:r>
      <w:r w:rsidR="00BE291C" w:rsidRPr="00BE291C">
        <w:t>https://github.com/chiragjp/dhs_hiv_meta/blob/master/meta_data/Online%20Supplementary%20Tables.xlsx?raw=true</w:t>
      </w:r>
    </w:p>
    <w:p w14:paraId="64F7FE08" w14:textId="77777777" w:rsidR="005941E7" w:rsidRDefault="005941E7" w:rsidP="001E0A11"/>
    <w:p w14:paraId="62CC2C7F" w14:textId="348AF0E9" w:rsidR="00BD64CE" w:rsidRDefault="00DC5684" w:rsidP="001E0A11">
      <w:r>
        <w:t>The table worksheets include the following</w:t>
      </w:r>
      <w:r w:rsidR="00BD64CE">
        <w:t>:</w:t>
      </w:r>
    </w:p>
    <w:p w14:paraId="610D1459" w14:textId="325205FD" w:rsidR="00483B43" w:rsidRDefault="00483B43" w:rsidP="00457326">
      <w:pPr>
        <w:rPr>
          <w:b/>
          <w:bCs/>
        </w:rPr>
      </w:pPr>
      <w:r>
        <w:rPr>
          <w:b/>
          <w:bCs/>
        </w:rPr>
        <w:t xml:space="preserve">Online Table S1. </w:t>
      </w:r>
      <w:r w:rsidRPr="001E0A11">
        <w:rPr>
          <w:b/>
          <w:bCs/>
        </w:rPr>
        <w:t xml:space="preserve">Distributions of odds ratios, </w:t>
      </w:r>
      <w:proofErr w:type="spellStart"/>
      <w:r w:rsidRPr="001E0A11">
        <w:rPr>
          <w:b/>
          <w:bCs/>
        </w:rPr>
        <w:t>Nagelkerke</w:t>
      </w:r>
      <w:proofErr w:type="spellEnd"/>
      <w:r w:rsidRPr="001E0A11">
        <w:rPr>
          <w:b/>
          <w:bCs/>
        </w:rPr>
        <w:t xml:space="preserve"> R</w:t>
      </w:r>
      <w:r w:rsidRPr="001E0A11">
        <w:rPr>
          <w:b/>
          <w:bCs/>
          <w:vertAlign w:val="superscript"/>
        </w:rPr>
        <w:t>2</w:t>
      </w:r>
      <w:r w:rsidRPr="001E0A11">
        <w:rPr>
          <w:b/>
          <w:bCs/>
        </w:rPr>
        <w:t>, and I</w:t>
      </w:r>
      <w:r w:rsidRPr="001E0A11">
        <w:rPr>
          <w:b/>
          <w:bCs/>
          <w:vertAlign w:val="superscript"/>
        </w:rPr>
        <w:t>2</w:t>
      </w:r>
      <w:r w:rsidRPr="001E0A11">
        <w:rPr>
          <w:b/>
          <w:bCs/>
        </w:rPr>
        <w:t xml:space="preserve"> (heterogeneity) estimates for variables appearing in 1 country and at least 2 countries.</w:t>
      </w:r>
    </w:p>
    <w:p w14:paraId="42D9B492" w14:textId="1C652FA5" w:rsidR="00457326" w:rsidRPr="001E0A11" w:rsidRDefault="00483B43" w:rsidP="00457326">
      <w:pPr>
        <w:rPr>
          <w:b/>
          <w:bCs/>
        </w:rPr>
      </w:pPr>
      <w:r>
        <w:rPr>
          <w:b/>
          <w:bCs/>
        </w:rPr>
        <w:t xml:space="preserve">Online </w:t>
      </w:r>
      <w:r w:rsidR="00457326" w:rsidRPr="001E0A11">
        <w:rPr>
          <w:b/>
          <w:bCs/>
        </w:rPr>
        <w:t xml:space="preserve">Table S2. Summary statistics (meta-analytic </w:t>
      </w:r>
      <w:proofErr w:type="gramStart"/>
      <w:r w:rsidR="00457326" w:rsidRPr="001E0A11">
        <w:rPr>
          <w:b/>
          <w:bCs/>
        </w:rPr>
        <w:t>OR,</w:t>
      </w:r>
      <w:proofErr w:type="gramEnd"/>
      <w:r w:rsidR="00457326" w:rsidRPr="001E0A11">
        <w:rPr>
          <w:b/>
          <w:bCs/>
        </w:rPr>
        <w:t xml:space="preserve"> </w:t>
      </w:r>
      <w:proofErr w:type="spellStart"/>
      <w:r w:rsidR="00457326" w:rsidRPr="001E0A11">
        <w:rPr>
          <w:b/>
          <w:bCs/>
        </w:rPr>
        <w:t>Nagelkerke</w:t>
      </w:r>
      <w:proofErr w:type="spellEnd"/>
      <w:r w:rsidR="00457326" w:rsidRPr="001E0A11">
        <w:rPr>
          <w:b/>
          <w:bCs/>
        </w:rPr>
        <w:t xml:space="preserve"> R</w:t>
      </w:r>
      <w:r w:rsidR="00457326" w:rsidRPr="001E0A11">
        <w:rPr>
          <w:b/>
          <w:bCs/>
          <w:vertAlign w:val="superscript"/>
        </w:rPr>
        <w:t>2</w:t>
      </w:r>
      <w:r w:rsidR="00457326" w:rsidRPr="001E0A11">
        <w:rPr>
          <w:b/>
          <w:bCs/>
        </w:rPr>
        <w:t>, and I</w:t>
      </w:r>
      <w:r w:rsidR="00457326" w:rsidRPr="001E0A11">
        <w:rPr>
          <w:b/>
          <w:bCs/>
          <w:vertAlign w:val="superscript"/>
        </w:rPr>
        <w:t>2</w:t>
      </w:r>
      <w:r w:rsidR="00457326" w:rsidRPr="001E0A11">
        <w:rPr>
          <w:b/>
          <w:bCs/>
        </w:rPr>
        <w:t>) for females across all surveys</w:t>
      </w:r>
    </w:p>
    <w:p w14:paraId="34F10E2C" w14:textId="0D3C057A" w:rsidR="00457326" w:rsidRPr="001E0A11" w:rsidRDefault="00483B43" w:rsidP="00457326">
      <w:pPr>
        <w:rPr>
          <w:b/>
          <w:bCs/>
        </w:rPr>
      </w:pPr>
      <w:r>
        <w:rPr>
          <w:b/>
          <w:bCs/>
        </w:rPr>
        <w:t xml:space="preserve">Online </w:t>
      </w:r>
      <w:r w:rsidR="00457326" w:rsidRPr="001E0A11">
        <w:rPr>
          <w:b/>
          <w:bCs/>
        </w:rPr>
        <w:t xml:space="preserve">Table S3. Summary statistics (meta-analytic </w:t>
      </w:r>
      <w:proofErr w:type="gramStart"/>
      <w:r w:rsidR="00457326" w:rsidRPr="001E0A11">
        <w:rPr>
          <w:b/>
          <w:bCs/>
        </w:rPr>
        <w:t>OR,</w:t>
      </w:r>
      <w:proofErr w:type="gramEnd"/>
      <w:r w:rsidR="00457326" w:rsidRPr="001E0A11">
        <w:rPr>
          <w:b/>
          <w:bCs/>
        </w:rPr>
        <w:t xml:space="preserve"> </w:t>
      </w:r>
      <w:proofErr w:type="spellStart"/>
      <w:r w:rsidR="00457326" w:rsidRPr="001E0A11">
        <w:rPr>
          <w:b/>
          <w:bCs/>
        </w:rPr>
        <w:t>Nagelkerke</w:t>
      </w:r>
      <w:proofErr w:type="spellEnd"/>
      <w:r w:rsidR="00457326" w:rsidRPr="001E0A11">
        <w:rPr>
          <w:b/>
          <w:bCs/>
        </w:rPr>
        <w:t xml:space="preserve"> R</w:t>
      </w:r>
      <w:r w:rsidR="00457326" w:rsidRPr="001E0A11">
        <w:rPr>
          <w:b/>
          <w:bCs/>
          <w:vertAlign w:val="superscript"/>
        </w:rPr>
        <w:t>2</w:t>
      </w:r>
      <w:r w:rsidR="00457326" w:rsidRPr="001E0A11">
        <w:rPr>
          <w:b/>
          <w:bCs/>
        </w:rPr>
        <w:t>, and I</w:t>
      </w:r>
      <w:r w:rsidR="00457326" w:rsidRPr="001E0A11">
        <w:rPr>
          <w:b/>
          <w:bCs/>
          <w:vertAlign w:val="superscript"/>
        </w:rPr>
        <w:t>2</w:t>
      </w:r>
      <w:r w:rsidR="00457326" w:rsidRPr="001E0A11">
        <w:rPr>
          <w:b/>
          <w:bCs/>
        </w:rPr>
        <w:t>) for males across all surveys</w:t>
      </w:r>
    </w:p>
    <w:p w14:paraId="1EB96C41" w14:textId="7CDA80DB" w:rsidR="00457326" w:rsidRPr="001E0A11" w:rsidRDefault="00483B43" w:rsidP="00457326">
      <w:pPr>
        <w:rPr>
          <w:b/>
          <w:bCs/>
        </w:rPr>
      </w:pPr>
      <w:r>
        <w:rPr>
          <w:b/>
          <w:bCs/>
        </w:rPr>
        <w:t xml:space="preserve">Online </w:t>
      </w:r>
      <w:r w:rsidR="00457326" w:rsidRPr="001E0A11">
        <w:rPr>
          <w:b/>
          <w:bCs/>
        </w:rPr>
        <w:t>Table S4. Country-specific summary statistics for males.</w:t>
      </w:r>
    </w:p>
    <w:p w14:paraId="4A7AAAEA" w14:textId="07860895" w:rsidR="00457326" w:rsidRPr="001E0A11" w:rsidRDefault="00483B43" w:rsidP="00457326">
      <w:pPr>
        <w:rPr>
          <w:b/>
          <w:bCs/>
        </w:rPr>
      </w:pPr>
      <w:r>
        <w:rPr>
          <w:b/>
          <w:bCs/>
        </w:rPr>
        <w:t xml:space="preserve">Online </w:t>
      </w:r>
      <w:r w:rsidR="00457326" w:rsidRPr="001E0A11">
        <w:rPr>
          <w:b/>
          <w:bCs/>
        </w:rPr>
        <w:t>Table S5. Country-specific summary statistics for females.</w:t>
      </w:r>
    </w:p>
    <w:p w14:paraId="268E798C" w14:textId="77777777" w:rsidR="00457326" w:rsidRDefault="00457326" w:rsidP="001E0A11"/>
    <w:p w14:paraId="34359644" w14:textId="0C5A5019" w:rsidR="00924591" w:rsidRPr="007C1C80" w:rsidRDefault="00924591">
      <w:pPr>
        <w:spacing w:line="240" w:lineRule="auto"/>
      </w:pPr>
      <w:r w:rsidRPr="007C1C80">
        <w:br w:type="page"/>
      </w:r>
    </w:p>
    <w:p w14:paraId="7FBF9104" w14:textId="77777777" w:rsidR="00924591" w:rsidRPr="007C1C80" w:rsidRDefault="00924591"/>
    <w:p w14:paraId="525D75BE" w14:textId="4BD38320" w:rsidR="00924591" w:rsidRPr="007C1C80" w:rsidRDefault="00924591">
      <w:pPr>
        <w:rPr>
          <w:b/>
          <w:bCs/>
        </w:rPr>
      </w:pPr>
      <w:r w:rsidRPr="007C1C80">
        <w:rPr>
          <w:b/>
          <w:bCs/>
        </w:rPr>
        <w:t>Supplementary Figures</w:t>
      </w:r>
    </w:p>
    <w:p w14:paraId="02DC8963" w14:textId="06D2719E" w:rsidR="0082495C" w:rsidRPr="007C1C80" w:rsidRDefault="0082495C">
      <w:r w:rsidRPr="007C1C80">
        <w:rPr>
          <w:noProof/>
        </w:rPr>
        <w:drawing>
          <wp:inline distT="0" distB="0" distL="0" distR="0" wp14:anchorId="68E9234C" wp14:editId="7A8FC12F">
            <wp:extent cx="4923130" cy="3516672"/>
            <wp:effectExtent l="0" t="0" r="5080" b="127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27663" cy="3519910"/>
                    </a:xfrm>
                    <a:prstGeom prst="rect">
                      <a:avLst/>
                    </a:prstGeom>
                  </pic:spPr>
                </pic:pic>
              </a:graphicData>
            </a:graphic>
          </wp:inline>
        </w:drawing>
      </w:r>
    </w:p>
    <w:p w14:paraId="2C6D6EC2" w14:textId="77777777" w:rsidR="0082495C" w:rsidRPr="007C1C80" w:rsidRDefault="0082495C" w:rsidP="0082495C">
      <w:pPr>
        <w:rPr>
          <w:b/>
          <w:bCs/>
        </w:rPr>
      </w:pPr>
      <w:r w:rsidRPr="007C1C80">
        <w:rPr>
          <w:b/>
          <w:bCs/>
        </w:rPr>
        <w:t>Figure S1. Number of Variables assessed as a function of number of surveys and countries.</w:t>
      </w:r>
    </w:p>
    <w:p w14:paraId="6D4A0A68" w14:textId="77777777" w:rsidR="0082495C" w:rsidRPr="007C1C80" w:rsidRDefault="0082495C"/>
    <w:p w14:paraId="5958998B" w14:textId="5D2313D5" w:rsidR="0082495C" w:rsidRPr="007C1C80" w:rsidRDefault="0082495C" w:rsidP="0082495C">
      <w:pPr>
        <w:rPr>
          <w:b/>
          <w:bCs/>
        </w:rPr>
      </w:pPr>
      <w:r w:rsidRPr="007C1C80">
        <w:rPr>
          <w:b/>
          <w:bCs/>
          <w:noProof/>
        </w:rPr>
        <w:lastRenderedPageBreak/>
        <w:drawing>
          <wp:inline distT="0" distB="0" distL="0" distR="0" wp14:anchorId="25BCB908" wp14:editId="2EFC4FF0">
            <wp:extent cx="4454957" cy="5727666"/>
            <wp:effectExtent l="0" t="0" r="3175" b="635"/>
            <wp:docPr id="2" name="Picture 2" descr="Graphical user interface, 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diagram,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58387" cy="5732076"/>
                    </a:xfrm>
                    <a:prstGeom prst="rect">
                      <a:avLst/>
                    </a:prstGeom>
                  </pic:spPr>
                </pic:pic>
              </a:graphicData>
            </a:graphic>
          </wp:inline>
        </w:drawing>
      </w:r>
    </w:p>
    <w:p w14:paraId="661FAB13" w14:textId="77777777" w:rsidR="0082495C" w:rsidRPr="007C1C80" w:rsidRDefault="0082495C" w:rsidP="0082495C">
      <w:pPr>
        <w:rPr>
          <w:b/>
          <w:bCs/>
        </w:rPr>
      </w:pPr>
    </w:p>
    <w:p w14:paraId="2F02A550" w14:textId="7F14BB0B" w:rsidR="0082495C" w:rsidRPr="007C1C80" w:rsidRDefault="0082495C" w:rsidP="0082495C">
      <w:r w:rsidRPr="007C1C80">
        <w:rPr>
          <w:b/>
          <w:bCs/>
        </w:rPr>
        <w:t xml:space="preserve">Figure S2. Empirical CDF of (A) </w:t>
      </w:r>
      <w:proofErr w:type="spellStart"/>
      <w:r w:rsidRPr="007C1C80">
        <w:rPr>
          <w:b/>
          <w:bCs/>
        </w:rPr>
        <w:t>Nagelkerke</w:t>
      </w:r>
      <w:proofErr w:type="spellEnd"/>
      <w:r w:rsidRPr="007C1C80">
        <w:rPr>
          <w:b/>
          <w:bCs/>
        </w:rPr>
        <w:t xml:space="preserve"> R2, (B) </w:t>
      </w:r>
      <w:proofErr w:type="gramStart"/>
      <w:r w:rsidRPr="007C1C80">
        <w:rPr>
          <w:b/>
          <w:bCs/>
        </w:rPr>
        <w:t>exp(</w:t>
      </w:r>
      <w:proofErr w:type="gramEnd"/>
      <w:r w:rsidRPr="007C1C80">
        <w:rPr>
          <w:b/>
          <w:bCs/>
        </w:rPr>
        <w:t xml:space="preserve">absolute value(beta)) or </w:t>
      </w:r>
      <w:proofErr w:type="spellStart"/>
      <w:r w:rsidRPr="007C1C80">
        <w:rPr>
          <w:b/>
          <w:bCs/>
        </w:rPr>
        <w:t>OR</w:t>
      </w:r>
      <w:proofErr w:type="spellEnd"/>
      <w:r w:rsidRPr="007C1C80">
        <w:rPr>
          <w:b/>
          <w:bCs/>
        </w:rPr>
        <w:t xml:space="preserve">, and (C) Heterogeneity (I2). </w:t>
      </w:r>
      <w:r w:rsidRPr="007C1C80">
        <w:t xml:space="preserve">Red line depicts CDF for those not identified, blue line identified (e.g., </w:t>
      </w:r>
      <w:proofErr w:type="spellStart"/>
      <w:r w:rsidRPr="007C1C80">
        <w:t>pvalue</w:t>
      </w:r>
      <w:proofErr w:type="spellEnd"/>
      <w:r w:rsidRPr="007C1C80">
        <w:t xml:space="preserve"> &lt; 1e-6 and R2 &gt; 0.001).</w:t>
      </w:r>
    </w:p>
    <w:p w14:paraId="138CC342" w14:textId="40CF88B6" w:rsidR="0082495C" w:rsidRPr="007C1C80" w:rsidRDefault="0082495C" w:rsidP="0082495C">
      <w:pPr>
        <w:rPr>
          <w:b/>
          <w:bCs/>
        </w:rPr>
      </w:pPr>
    </w:p>
    <w:p w14:paraId="74BC83AF" w14:textId="77777777" w:rsidR="0082495C" w:rsidRPr="007C1C80" w:rsidRDefault="0082495C" w:rsidP="0082495C">
      <w:pPr>
        <w:rPr>
          <w:b/>
          <w:bCs/>
        </w:rPr>
      </w:pPr>
    </w:p>
    <w:p w14:paraId="4F7ACEA7" w14:textId="77777777" w:rsidR="00922542" w:rsidRPr="007C1C80" w:rsidRDefault="00922542" w:rsidP="00342CCA">
      <w:pPr>
        <w:spacing w:line="240" w:lineRule="auto"/>
        <w:sectPr w:rsidR="00922542" w:rsidRPr="007C1C80" w:rsidSect="002F646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tbl>
      <w:tblPr>
        <w:tblW w:w="12720" w:type="dxa"/>
        <w:tblLook w:val="04A0" w:firstRow="1" w:lastRow="0" w:firstColumn="1" w:lastColumn="0" w:noHBand="0" w:noVBand="1"/>
      </w:tblPr>
      <w:tblGrid>
        <w:gridCol w:w="1821"/>
        <w:gridCol w:w="1546"/>
        <w:gridCol w:w="989"/>
        <w:gridCol w:w="1285"/>
        <w:gridCol w:w="989"/>
        <w:gridCol w:w="1206"/>
        <w:gridCol w:w="1206"/>
        <w:gridCol w:w="1206"/>
        <w:gridCol w:w="812"/>
        <w:gridCol w:w="1088"/>
        <w:gridCol w:w="812"/>
      </w:tblGrid>
      <w:tr w:rsidR="00922542" w:rsidRPr="00922542" w14:paraId="4F7F8B78" w14:textId="77777777" w:rsidTr="00922542">
        <w:trPr>
          <w:trHeight w:val="580"/>
        </w:trPr>
        <w:tc>
          <w:tcPr>
            <w:tcW w:w="1640" w:type="dxa"/>
            <w:tcBorders>
              <w:top w:val="nil"/>
              <w:left w:val="nil"/>
              <w:bottom w:val="nil"/>
              <w:right w:val="nil"/>
            </w:tcBorders>
            <w:shd w:val="clear" w:color="auto" w:fill="auto"/>
            <w:noWrap/>
            <w:vAlign w:val="bottom"/>
            <w:hideMark/>
          </w:tcPr>
          <w:p w14:paraId="68253F28" w14:textId="77777777" w:rsidR="00922542" w:rsidRPr="00922542" w:rsidRDefault="00922542" w:rsidP="00922542">
            <w:pPr>
              <w:spacing w:line="240" w:lineRule="auto"/>
              <w:rPr>
                <w:rFonts w:ascii="Helvetica Neue" w:eastAsia="Times New Roman" w:hAnsi="Helvetica Neue" w:cs="Times New Roman"/>
                <w:b/>
                <w:bCs/>
                <w:color w:val="333333"/>
                <w:lang w:val="en-US"/>
              </w:rPr>
            </w:pPr>
            <w:r w:rsidRPr="00922542">
              <w:rPr>
                <w:rFonts w:ascii="Helvetica Neue" w:eastAsia="Times New Roman" w:hAnsi="Helvetica Neue" w:cs="Times New Roman"/>
                <w:b/>
                <w:bCs/>
                <w:color w:val="333333"/>
                <w:lang w:val="en-US"/>
              </w:rPr>
              <w:lastRenderedPageBreak/>
              <w:t>gender/number</w:t>
            </w:r>
          </w:p>
        </w:tc>
        <w:tc>
          <w:tcPr>
            <w:tcW w:w="1380" w:type="dxa"/>
            <w:tcBorders>
              <w:top w:val="nil"/>
              <w:left w:val="nil"/>
              <w:bottom w:val="nil"/>
              <w:right w:val="nil"/>
            </w:tcBorders>
            <w:shd w:val="clear" w:color="auto" w:fill="auto"/>
            <w:vAlign w:val="bottom"/>
            <w:hideMark/>
          </w:tcPr>
          <w:p w14:paraId="77F4D55E" w14:textId="77777777" w:rsidR="00922542" w:rsidRPr="00922542" w:rsidRDefault="00922542" w:rsidP="00922542">
            <w:pPr>
              <w:spacing w:line="240" w:lineRule="auto"/>
              <w:rPr>
                <w:rFonts w:ascii="Helvetica Neue" w:eastAsia="Times New Roman" w:hAnsi="Helvetica Neue" w:cs="Times New Roman"/>
                <w:b/>
                <w:bCs/>
                <w:color w:val="333333"/>
                <w:lang w:val="en-US"/>
              </w:rPr>
            </w:pPr>
            <w:r w:rsidRPr="00922542">
              <w:rPr>
                <w:rFonts w:ascii="Helvetica Neue" w:eastAsia="Times New Roman" w:hAnsi="Helvetica Neue" w:cs="Times New Roman"/>
                <w:b/>
                <w:bCs/>
                <w:color w:val="333333"/>
                <w:lang w:val="en-US"/>
              </w:rPr>
              <w:t>Num Associations</w:t>
            </w:r>
          </w:p>
        </w:tc>
        <w:tc>
          <w:tcPr>
            <w:tcW w:w="1000" w:type="dxa"/>
            <w:tcBorders>
              <w:top w:val="nil"/>
              <w:left w:val="nil"/>
              <w:bottom w:val="nil"/>
              <w:right w:val="nil"/>
            </w:tcBorders>
            <w:shd w:val="clear" w:color="auto" w:fill="auto"/>
            <w:noWrap/>
            <w:vAlign w:val="bottom"/>
            <w:hideMark/>
          </w:tcPr>
          <w:p w14:paraId="06AA7050" w14:textId="77777777" w:rsidR="00922542" w:rsidRPr="00922542" w:rsidRDefault="00922542" w:rsidP="00922542">
            <w:pPr>
              <w:spacing w:line="240" w:lineRule="auto"/>
              <w:rPr>
                <w:rFonts w:ascii="Helvetica Neue" w:eastAsia="Times New Roman" w:hAnsi="Helvetica Neue" w:cs="Times New Roman"/>
                <w:b/>
                <w:bCs/>
                <w:color w:val="333333"/>
                <w:lang w:val="en-US"/>
              </w:rPr>
            </w:pPr>
            <w:r w:rsidRPr="00922542">
              <w:rPr>
                <w:rFonts w:ascii="Helvetica Neue" w:eastAsia="Times New Roman" w:hAnsi="Helvetica Neue" w:cs="Times New Roman"/>
                <w:b/>
                <w:bCs/>
                <w:color w:val="333333"/>
                <w:lang w:val="en-US"/>
              </w:rPr>
              <w:t>25th OR</w:t>
            </w:r>
          </w:p>
        </w:tc>
        <w:tc>
          <w:tcPr>
            <w:tcW w:w="1300" w:type="dxa"/>
            <w:tcBorders>
              <w:top w:val="nil"/>
              <w:left w:val="nil"/>
              <w:bottom w:val="nil"/>
              <w:right w:val="nil"/>
            </w:tcBorders>
            <w:shd w:val="clear" w:color="auto" w:fill="auto"/>
            <w:noWrap/>
            <w:vAlign w:val="bottom"/>
            <w:hideMark/>
          </w:tcPr>
          <w:p w14:paraId="53A35599" w14:textId="77777777" w:rsidR="00922542" w:rsidRPr="00922542" w:rsidRDefault="00922542" w:rsidP="00922542">
            <w:pPr>
              <w:spacing w:line="240" w:lineRule="auto"/>
              <w:rPr>
                <w:rFonts w:ascii="Helvetica Neue" w:eastAsia="Times New Roman" w:hAnsi="Helvetica Neue" w:cs="Times New Roman"/>
                <w:b/>
                <w:bCs/>
                <w:color w:val="333333"/>
                <w:lang w:val="en-US"/>
              </w:rPr>
            </w:pPr>
            <w:r w:rsidRPr="00922542">
              <w:rPr>
                <w:rFonts w:ascii="Helvetica Neue" w:eastAsia="Times New Roman" w:hAnsi="Helvetica Neue" w:cs="Times New Roman"/>
                <w:b/>
                <w:bCs/>
                <w:color w:val="333333"/>
                <w:lang w:val="en-US"/>
              </w:rPr>
              <w:t>Median OR</w:t>
            </w:r>
          </w:p>
        </w:tc>
        <w:tc>
          <w:tcPr>
            <w:tcW w:w="1000" w:type="dxa"/>
            <w:tcBorders>
              <w:top w:val="nil"/>
              <w:left w:val="nil"/>
              <w:bottom w:val="nil"/>
              <w:right w:val="nil"/>
            </w:tcBorders>
            <w:shd w:val="clear" w:color="auto" w:fill="auto"/>
            <w:noWrap/>
            <w:vAlign w:val="bottom"/>
            <w:hideMark/>
          </w:tcPr>
          <w:p w14:paraId="3C17B2B0" w14:textId="77777777" w:rsidR="00922542" w:rsidRPr="00922542" w:rsidRDefault="00922542" w:rsidP="00922542">
            <w:pPr>
              <w:spacing w:line="240" w:lineRule="auto"/>
              <w:rPr>
                <w:rFonts w:ascii="Helvetica Neue" w:eastAsia="Times New Roman" w:hAnsi="Helvetica Neue" w:cs="Times New Roman"/>
                <w:b/>
                <w:bCs/>
                <w:color w:val="333333"/>
                <w:lang w:val="en-US"/>
              </w:rPr>
            </w:pPr>
            <w:r w:rsidRPr="00922542">
              <w:rPr>
                <w:rFonts w:ascii="Helvetica Neue" w:eastAsia="Times New Roman" w:hAnsi="Helvetica Neue" w:cs="Times New Roman"/>
                <w:b/>
                <w:bCs/>
                <w:color w:val="333333"/>
                <w:lang w:val="en-US"/>
              </w:rPr>
              <w:t>75th OR</w:t>
            </w:r>
          </w:p>
        </w:tc>
        <w:tc>
          <w:tcPr>
            <w:tcW w:w="1220" w:type="dxa"/>
            <w:tcBorders>
              <w:top w:val="nil"/>
              <w:left w:val="nil"/>
              <w:bottom w:val="nil"/>
              <w:right w:val="nil"/>
            </w:tcBorders>
            <w:shd w:val="clear" w:color="auto" w:fill="auto"/>
            <w:noWrap/>
            <w:vAlign w:val="bottom"/>
            <w:hideMark/>
          </w:tcPr>
          <w:p w14:paraId="742ED730" w14:textId="77777777" w:rsidR="00922542" w:rsidRPr="00922542" w:rsidRDefault="00922542" w:rsidP="00922542">
            <w:pPr>
              <w:spacing w:line="240" w:lineRule="auto"/>
              <w:rPr>
                <w:rFonts w:ascii="Helvetica Neue" w:eastAsia="Times New Roman" w:hAnsi="Helvetica Neue" w:cs="Times New Roman"/>
                <w:b/>
                <w:bCs/>
                <w:color w:val="333333"/>
                <w:lang w:val="en-US"/>
              </w:rPr>
            </w:pPr>
            <w:r w:rsidRPr="00922542">
              <w:rPr>
                <w:rFonts w:ascii="Helvetica Neue" w:eastAsia="Times New Roman" w:hAnsi="Helvetica Neue" w:cs="Times New Roman"/>
                <w:b/>
                <w:bCs/>
                <w:color w:val="333333"/>
                <w:lang w:val="en-US"/>
              </w:rPr>
              <w:t>25th R2</w:t>
            </w:r>
          </w:p>
        </w:tc>
        <w:tc>
          <w:tcPr>
            <w:tcW w:w="1220" w:type="dxa"/>
            <w:tcBorders>
              <w:top w:val="nil"/>
              <w:left w:val="nil"/>
              <w:bottom w:val="nil"/>
              <w:right w:val="nil"/>
            </w:tcBorders>
            <w:shd w:val="clear" w:color="auto" w:fill="auto"/>
            <w:noWrap/>
            <w:vAlign w:val="bottom"/>
            <w:hideMark/>
          </w:tcPr>
          <w:p w14:paraId="440230B1" w14:textId="77777777" w:rsidR="00922542" w:rsidRPr="00922542" w:rsidRDefault="00922542" w:rsidP="00922542">
            <w:pPr>
              <w:spacing w:line="240" w:lineRule="auto"/>
              <w:rPr>
                <w:rFonts w:ascii="Helvetica Neue" w:eastAsia="Times New Roman" w:hAnsi="Helvetica Neue" w:cs="Times New Roman"/>
                <w:b/>
                <w:bCs/>
                <w:color w:val="333333"/>
                <w:lang w:val="en-US"/>
              </w:rPr>
            </w:pPr>
            <w:r w:rsidRPr="00922542">
              <w:rPr>
                <w:rFonts w:ascii="Helvetica Neue" w:eastAsia="Times New Roman" w:hAnsi="Helvetica Neue" w:cs="Times New Roman"/>
                <w:b/>
                <w:bCs/>
                <w:color w:val="333333"/>
                <w:lang w:val="en-US"/>
              </w:rPr>
              <w:t>Median R2</w:t>
            </w:r>
          </w:p>
        </w:tc>
        <w:tc>
          <w:tcPr>
            <w:tcW w:w="1220" w:type="dxa"/>
            <w:tcBorders>
              <w:top w:val="nil"/>
              <w:left w:val="nil"/>
              <w:bottom w:val="nil"/>
              <w:right w:val="nil"/>
            </w:tcBorders>
            <w:shd w:val="clear" w:color="auto" w:fill="auto"/>
            <w:noWrap/>
            <w:vAlign w:val="bottom"/>
            <w:hideMark/>
          </w:tcPr>
          <w:p w14:paraId="2312D1A4" w14:textId="77777777" w:rsidR="00922542" w:rsidRPr="00922542" w:rsidRDefault="00922542" w:rsidP="00922542">
            <w:pPr>
              <w:spacing w:line="240" w:lineRule="auto"/>
              <w:rPr>
                <w:rFonts w:ascii="Helvetica Neue" w:eastAsia="Times New Roman" w:hAnsi="Helvetica Neue" w:cs="Times New Roman"/>
                <w:b/>
                <w:bCs/>
                <w:color w:val="333333"/>
                <w:lang w:val="en-US"/>
              </w:rPr>
            </w:pPr>
            <w:r w:rsidRPr="00922542">
              <w:rPr>
                <w:rFonts w:ascii="Helvetica Neue" w:eastAsia="Times New Roman" w:hAnsi="Helvetica Neue" w:cs="Times New Roman"/>
                <w:b/>
                <w:bCs/>
                <w:color w:val="333333"/>
                <w:lang w:val="en-US"/>
              </w:rPr>
              <w:t>75th R2</w:t>
            </w:r>
          </w:p>
        </w:tc>
        <w:tc>
          <w:tcPr>
            <w:tcW w:w="820" w:type="dxa"/>
            <w:tcBorders>
              <w:top w:val="nil"/>
              <w:left w:val="nil"/>
              <w:bottom w:val="nil"/>
              <w:right w:val="nil"/>
            </w:tcBorders>
            <w:shd w:val="clear" w:color="auto" w:fill="auto"/>
            <w:noWrap/>
            <w:vAlign w:val="bottom"/>
            <w:hideMark/>
          </w:tcPr>
          <w:p w14:paraId="2401442A" w14:textId="77777777" w:rsidR="00922542" w:rsidRPr="00922542" w:rsidRDefault="00922542" w:rsidP="00922542">
            <w:pPr>
              <w:spacing w:line="240" w:lineRule="auto"/>
              <w:rPr>
                <w:rFonts w:ascii="Helvetica Neue" w:eastAsia="Times New Roman" w:hAnsi="Helvetica Neue" w:cs="Times New Roman"/>
                <w:b/>
                <w:bCs/>
                <w:color w:val="333333"/>
                <w:lang w:val="en-US"/>
              </w:rPr>
            </w:pPr>
            <w:r w:rsidRPr="00922542">
              <w:rPr>
                <w:rFonts w:ascii="Helvetica Neue" w:eastAsia="Times New Roman" w:hAnsi="Helvetica Neue" w:cs="Times New Roman"/>
                <w:b/>
                <w:bCs/>
                <w:color w:val="333333"/>
                <w:lang w:val="en-US"/>
              </w:rPr>
              <w:t>25th I2</w:t>
            </w:r>
          </w:p>
        </w:tc>
        <w:tc>
          <w:tcPr>
            <w:tcW w:w="1100" w:type="dxa"/>
            <w:tcBorders>
              <w:top w:val="nil"/>
              <w:left w:val="nil"/>
              <w:bottom w:val="nil"/>
              <w:right w:val="nil"/>
            </w:tcBorders>
            <w:shd w:val="clear" w:color="auto" w:fill="auto"/>
            <w:noWrap/>
            <w:vAlign w:val="bottom"/>
            <w:hideMark/>
          </w:tcPr>
          <w:p w14:paraId="5FA0D2F3" w14:textId="77777777" w:rsidR="00922542" w:rsidRPr="00922542" w:rsidRDefault="00922542" w:rsidP="00922542">
            <w:pPr>
              <w:spacing w:line="240" w:lineRule="auto"/>
              <w:rPr>
                <w:rFonts w:ascii="Helvetica Neue" w:eastAsia="Times New Roman" w:hAnsi="Helvetica Neue" w:cs="Times New Roman"/>
                <w:b/>
                <w:bCs/>
                <w:color w:val="333333"/>
                <w:lang w:val="en-US"/>
              </w:rPr>
            </w:pPr>
            <w:r w:rsidRPr="00922542">
              <w:rPr>
                <w:rFonts w:ascii="Helvetica Neue" w:eastAsia="Times New Roman" w:hAnsi="Helvetica Neue" w:cs="Times New Roman"/>
                <w:b/>
                <w:bCs/>
                <w:color w:val="333333"/>
                <w:lang w:val="en-US"/>
              </w:rPr>
              <w:t>Median I2</w:t>
            </w:r>
          </w:p>
        </w:tc>
        <w:tc>
          <w:tcPr>
            <w:tcW w:w="820" w:type="dxa"/>
            <w:tcBorders>
              <w:top w:val="nil"/>
              <w:left w:val="nil"/>
              <w:bottom w:val="nil"/>
              <w:right w:val="nil"/>
            </w:tcBorders>
            <w:shd w:val="clear" w:color="auto" w:fill="auto"/>
            <w:noWrap/>
            <w:vAlign w:val="bottom"/>
            <w:hideMark/>
          </w:tcPr>
          <w:p w14:paraId="37C9B05C" w14:textId="77777777" w:rsidR="00922542" w:rsidRPr="00922542" w:rsidRDefault="00922542" w:rsidP="00922542">
            <w:pPr>
              <w:spacing w:line="240" w:lineRule="auto"/>
              <w:rPr>
                <w:rFonts w:ascii="Helvetica Neue" w:eastAsia="Times New Roman" w:hAnsi="Helvetica Neue" w:cs="Times New Roman"/>
                <w:b/>
                <w:bCs/>
                <w:color w:val="333333"/>
                <w:lang w:val="en-US"/>
              </w:rPr>
            </w:pPr>
            <w:r w:rsidRPr="00922542">
              <w:rPr>
                <w:rFonts w:ascii="Helvetica Neue" w:eastAsia="Times New Roman" w:hAnsi="Helvetica Neue" w:cs="Times New Roman"/>
                <w:b/>
                <w:bCs/>
                <w:color w:val="333333"/>
                <w:lang w:val="en-US"/>
              </w:rPr>
              <w:t>75th I2</w:t>
            </w:r>
          </w:p>
        </w:tc>
      </w:tr>
      <w:tr w:rsidR="00922542" w:rsidRPr="00922542" w14:paraId="1E3379F3" w14:textId="77777777" w:rsidTr="00922542">
        <w:trPr>
          <w:trHeight w:val="320"/>
        </w:trPr>
        <w:tc>
          <w:tcPr>
            <w:tcW w:w="1640" w:type="dxa"/>
            <w:tcBorders>
              <w:top w:val="nil"/>
              <w:left w:val="nil"/>
              <w:bottom w:val="nil"/>
              <w:right w:val="nil"/>
            </w:tcBorders>
            <w:shd w:val="clear" w:color="auto" w:fill="auto"/>
            <w:noWrap/>
            <w:vAlign w:val="bottom"/>
            <w:hideMark/>
          </w:tcPr>
          <w:p w14:paraId="6B165076" w14:textId="77777777" w:rsidR="00922542" w:rsidRPr="00922542" w:rsidRDefault="00922542" w:rsidP="00922542">
            <w:pPr>
              <w:spacing w:line="240" w:lineRule="auto"/>
              <w:jc w:val="right"/>
              <w:rPr>
                <w:rFonts w:ascii="Helvetica Neue" w:eastAsia="Times New Roman" w:hAnsi="Helvetica Neue" w:cs="Times New Roman"/>
                <w:b/>
                <w:bCs/>
                <w:color w:val="333333"/>
                <w:lang w:val="en-US"/>
              </w:rPr>
            </w:pPr>
            <w:r w:rsidRPr="00922542">
              <w:rPr>
                <w:rFonts w:ascii="Helvetica Neue" w:eastAsia="Times New Roman" w:hAnsi="Helvetica Neue" w:cs="Times New Roman"/>
                <w:b/>
                <w:bCs/>
                <w:color w:val="333333"/>
                <w:lang w:val="en-US"/>
              </w:rPr>
              <w:t>1 Survey</w:t>
            </w:r>
          </w:p>
        </w:tc>
        <w:tc>
          <w:tcPr>
            <w:tcW w:w="1380" w:type="dxa"/>
            <w:tcBorders>
              <w:top w:val="nil"/>
              <w:left w:val="nil"/>
              <w:bottom w:val="nil"/>
              <w:right w:val="nil"/>
            </w:tcBorders>
            <w:shd w:val="clear" w:color="auto" w:fill="auto"/>
            <w:noWrap/>
            <w:vAlign w:val="bottom"/>
            <w:hideMark/>
          </w:tcPr>
          <w:p w14:paraId="52199ED9" w14:textId="77777777" w:rsidR="00922542" w:rsidRPr="00922542" w:rsidRDefault="00922542" w:rsidP="00922542">
            <w:pPr>
              <w:spacing w:line="240" w:lineRule="auto"/>
              <w:jc w:val="right"/>
              <w:rPr>
                <w:rFonts w:ascii="Helvetica Neue" w:eastAsia="Times New Roman" w:hAnsi="Helvetica Neue" w:cs="Times New Roman"/>
                <w:b/>
                <w:bCs/>
                <w:color w:val="333333"/>
                <w:lang w:val="en-US"/>
              </w:rPr>
            </w:pPr>
          </w:p>
        </w:tc>
        <w:tc>
          <w:tcPr>
            <w:tcW w:w="1000" w:type="dxa"/>
            <w:tcBorders>
              <w:top w:val="nil"/>
              <w:left w:val="nil"/>
              <w:bottom w:val="nil"/>
              <w:right w:val="nil"/>
            </w:tcBorders>
            <w:shd w:val="clear" w:color="auto" w:fill="auto"/>
            <w:noWrap/>
            <w:vAlign w:val="bottom"/>
            <w:hideMark/>
          </w:tcPr>
          <w:p w14:paraId="3BEFDEE6" w14:textId="77777777" w:rsidR="00922542" w:rsidRPr="00922542" w:rsidRDefault="00922542" w:rsidP="00922542">
            <w:pPr>
              <w:spacing w:line="240" w:lineRule="auto"/>
              <w:rPr>
                <w:rFonts w:ascii="Times New Roman" w:eastAsia="Times New Roman" w:hAnsi="Times New Roman" w:cs="Times New Roman"/>
                <w:lang w:val="en-US"/>
              </w:rPr>
            </w:pPr>
          </w:p>
        </w:tc>
        <w:tc>
          <w:tcPr>
            <w:tcW w:w="1300" w:type="dxa"/>
            <w:tcBorders>
              <w:top w:val="nil"/>
              <w:left w:val="nil"/>
              <w:bottom w:val="nil"/>
              <w:right w:val="nil"/>
            </w:tcBorders>
            <w:shd w:val="clear" w:color="auto" w:fill="auto"/>
            <w:noWrap/>
            <w:vAlign w:val="bottom"/>
            <w:hideMark/>
          </w:tcPr>
          <w:p w14:paraId="7C46DEE4" w14:textId="77777777" w:rsidR="00922542" w:rsidRPr="00922542" w:rsidRDefault="00922542" w:rsidP="00922542">
            <w:pPr>
              <w:spacing w:line="240" w:lineRule="auto"/>
              <w:rPr>
                <w:rFonts w:ascii="Times New Roman" w:eastAsia="Times New Roman" w:hAnsi="Times New Roman" w:cs="Times New Roman"/>
                <w:lang w:val="en-US"/>
              </w:rPr>
            </w:pPr>
          </w:p>
        </w:tc>
        <w:tc>
          <w:tcPr>
            <w:tcW w:w="1000" w:type="dxa"/>
            <w:tcBorders>
              <w:top w:val="nil"/>
              <w:left w:val="nil"/>
              <w:bottom w:val="nil"/>
              <w:right w:val="nil"/>
            </w:tcBorders>
            <w:shd w:val="clear" w:color="auto" w:fill="auto"/>
            <w:noWrap/>
            <w:vAlign w:val="bottom"/>
            <w:hideMark/>
          </w:tcPr>
          <w:p w14:paraId="45E1B9A7" w14:textId="77777777" w:rsidR="00922542" w:rsidRPr="00922542" w:rsidRDefault="00922542" w:rsidP="00922542">
            <w:pPr>
              <w:spacing w:line="240" w:lineRule="auto"/>
              <w:rPr>
                <w:rFonts w:ascii="Times New Roman" w:eastAsia="Times New Roman" w:hAnsi="Times New Roman" w:cs="Times New Roman"/>
                <w:lang w:val="en-US"/>
              </w:rPr>
            </w:pPr>
          </w:p>
        </w:tc>
        <w:tc>
          <w:tcPr>
            <w:tcW w:w="1220" w:type="dxa"/>
            <w:tcBorders>
              <w:top w:val="nil"/>
              <w:left w:val="nil"/>
              <w:bottom w:val="nil"/>
              <w:right w:val="nil"/>
            </w:tcBorders>
            <w:shd w:val="clear" w:color="auto" w:fill="auto"/>
            <w:noWrap/>
            <w:vAlign w:val="bottom"/>
            <w:hideMark/>
          </w:tcPr>
          <w:p w14:paraId="7F9C1A00" w14:textId="77777777" w:rsidR="00922542" w:rsidRPr="00922542" w:rsidRDefault="00922542" w:rsidP="00922542">
            <w:pPr>
              <w:spacing w:line="240" w:lineRule="auto"/>
              <w:rPr>
                <w:rFonts w:ascii="Times New Roman" w:eastAsia="Times New Roman" w:hAnsi="Times New Roman" w:cs="Times New Roman"/>
                <w:lang w:val="en-US"/>
              </w:rPr>
            </w:pPr>
          </w:p>
        </w:tc>
        <w:tc>
          <w:tcPr>
            <w:tcW w:w="1220" w:type="dxa"/>
            <w:tcBorders>
              <w:top w:val="nil"/>
              <w:left w:val="nil"/>
              <w:bottom w:val="nil"/>
              <w:right w:val="nil"/>
            </w:tcBorders>
            <w:shd w:val="clear" w:color="auto" w:fill="auto"/>
            <w:noWrap/>
            <w:vAlign w:val="bottom"/>
            <w:hideMark/>
          </w:tcPr>
          <w:p w14:paraId="229E6624" w14:textId="77777777" w:rsidR="00922542" w:rsidRPr="00922542" w:rsidRDefault="00922542" w:rsidP="00922542">
            <w:pPr>
              <w:spacing w:line="240" w:lineRule="auto"/>
              <w:rPr>
                <w:rFonts w:ascii="Times New Roman" w:eastAsia="Times New Roman" w:hAnsi="Times New Roman" w:cs="Times New Roman"/>
                <w:lang w:val="en-US"/>
              </w:rPr>
            </w:pPr>
          </w:p>
        </w:tc>
        <w:tc>
          <w:tcPr>
            <w:tcW w:w="1220" w:type="dxa"/>
            <w:tcBorders>
              <w:top w:val="nil"/>
              <w:left w:val="nil"/>
              <w:bottom w:val="nil"/>
              <w:right w:val="nil"/>
            </w:tcBorders>
            <w:shd w:val="clear" w:color="auto" w:fill="auto"/>
            <w:noWrap/>
            <w:vAlign w:val="bottom"/>
            <w:hideMark/>
          </w:tcPr>
          <w:p w14:paraId="31C13B89" w14:textId="77777777" w:rsidR="00922542" w:rsidRPr="00922542" w:rsidRDefault="00922542" w:rsidP="00922542">
            <w:pPr>
              <w:spacing w:line="240" w:lineRule="auto"/>
              <w:rPr>
                <w:rFonts w:ascii="Times New Roman" w:eastAsia="Times New Roman" w:hAnsi="Times New Roman" w:cs="Times New Roman"/>
                <w:lang w:val="en-US"/>
              </w:rPr>
            </w:pPr>
          </w:p>
        </w:tc>
        <w:tc>
          <w:tcPr>
            <w:tcW w:w="820" w:type="dxa"/>
            <w:tcBorders>
              <w:top w:val="nil"/>
              <w:left w:val="nil"/>
              <w:bottom w:val="nil"/>
              <w:right w:val="nil"/>
            </w:tcBorders>
            <w:shd w:val="clear" w:color="auto" w:fill="auto"/>
            <w:noWrap/>
            <w:vAlign w:val="bottom"/>
            <w:hideMark/>
          </w:tcPr>
          <w:p w14:paraId="5D15C30C" w14:textId="77777777" w:rsidR="00922542" w:rsidRPr="00922542" w:rsidRDefault="00922542" w:rsidP="00922542">
            <w:pPr>
              <w:spacing w:line="240" w:lineRule="auto"/>
              <w:rPr>
                <w:rFonts w:ascii="Times New Roman" w:eastAsia="Times New Roman" w:hAnsi="Times New Roman" w:cs="Times New Roman"/>
                <w:lang w:val="en-US"/>
              </w:rPr>
            </w:pPr>
          </w:p>
        </w:tc>
        <w:tc>
          <w:tcPr>
            <w:tcW w:w="1100" w:type="dxa"/>
            <w:tcBorders>
              <w:top w:val="nil"/>
              <w:left w:val="nil"/>
              <w:bottom w:val="nil"/>
              <w:right w:val="nil"/>
            </w:tcBorders>
            <w:shd w:val="clear" w:color="auto" w:fill="auto"/>
            <w:noWrap/>
            <w:vAlign w:val="bottom"/>
            <w:hideMark/>
          </w:tcPr>
          <w:p w14:paraId="26E879C1" w14:textId="77777777" w:rsidR="00922542" w:rsidRPr="00922542" w:rsidRDefault="00922542" w:rsidP="00922542">
            <w:pPr>
              <w:spacing w:line="240" w:lineRule="auto"/>
              <w:rPr>
                <w:rFonts w:ascii="Times New Roman" w:eastAsia="Times New Roman" w:hAnsi="Times New Roman" w:cs="Times New Roman"/>
                <w:lang w:val="en-US"/>
              </w:rPr>
            </w:pPr>
          </w:p>
        </w:tc>
        <w:tc>
          <w:tcPr>
            <w:tcW w:w="820" w:type="dxa"/>
            <w:tcBorders>
              <w:top w:val="nil"/>
              <w:left w:val="nil"/>
              <w:bottom w:val="nil"/>
              <w:right w:val="nil"/>
            </w:tcBorders>
            <w:shd w:val="clear" w:color="auto" w:fill="auto"/>
            <w:noWrap/>
            <w:vAlign w:val="bottom"/>
            <w:hideMark/>
          </w:tcPr>
          <w:p w14:paraId="3F93A526" w14:textId="77777777" w:rsidR="00922542" w:rsidRPr="00922542" w:rsidRDefault="00922542" w:rsidP="00922542">
            <w:pPr>
              <w:spacing w:line="240" w:lineRule="auto"/>
              <w:rPr>
                <w:rFonts w:ascii="Times New Roman" w:eastAsia="Times New Roman" w:hAnsi="Times New Roman" w:cs="Times New Roman"/>
                <w:lang w:val="en-US"/>
              </w:rPr>
            </w:pPr>
          </w:p>
        </w:tc>
      </w:tr>
      <w:tr w:rsidR="00922542" w:rsidRPr="00922542" w14:paraId="187E63DA" w14:textId="77777777" w:rsidTr="00922542">
        <w:trPr>
          <w:trHeight w:val="320"/>
        </w:trPr>
        <w:tc>
          <w:tcPr>
            <w:tcW w:w="1640" w:type="dxa"/>
            <w:tcBorders>
              <w:top w:val="nil"/>
              <w:left w:val="nil"/>
              <w:bottom w:val="nil"/>
              <w:right w:val="nil"/>
            </w:tcBorders>
            <w:shd w:val="clear" w:color="auto" w:fill="auto"/>
            <w:noWrap/>
            <w:vAlign w:val="bottom"/>
            <w:hideMark/>
          </w:tcPr>
          <w:p w14:paraId="37DA1C45"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f</w:t>
            </w:r>
          </w:p>
        </w:tc>
        <w:tc>
          <w:tcPr>
            <w:tcW w:w="1380" w:type="dxa"/>
            <w:tcBorders>
              <w:top w:val="nil"/>
              <w:left w:val="nil"/>
              <w:bottom w:val="nil"/>
              <w:right w:val="nil"/>
            </w:tcBorders>
            <w:shd w:val="clear" w:color="auto" w:fill="auto"/>
            <w:noWrap/>
            <w:vAlign w:val="bottom"/>
            <w:hideMark/>
          </w:tcPr>
          <w:p w14:paraId="457B575C"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4543</w:t>
            </w:r>
          </w:p>
        </w:tc>
        <w:tc>
          <w:tcPr>
            <w:tcW w:w="1000" w:type="dxa"/>
            <w:tcBorders>
              <w:top w:val="nil"/>
              <w:left w:val="nil"/>
              <w:bottom w:val="nil"/>
              <w:right w:val="nil"/>
            </w:tcBorders>
            <w:shd w:val="clear" w:color="auto" w:fill="auto"/>
            <w:noWrap/>
            <w:vAlign w:val="bottom"/>
            <w:hideMark/>
          </w:tcPr>
          <w:p w14:paraId="27D34B86"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1.2</w:t>
            </w:r>
          </w:p>
        </w:tc>
        <w:tc>
          <w:tcPr>
            <w:tcW w:w="1300" w:type="dxa"/>
            <w:tcBorders>
              <w:top w:val="nil"/>
              <w:left w:val="nil"/>
              <w:bottom w:val="nil"/>
              <w:right w:val="nil"/>
            </w:tcBorders>
            <w:shd w:val="clear" w:color="auto" w:fill="auto"/>
            <w:noWrap/>
            <w:vAlign w:val="bottom"/>
            <w:hideMark/>
          </w:tcPr>
          <w:p w14:paraId="70052B1E"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1.62</w:t>
            </w:r>
          </w:p>
        </w:tc>
        <w:tc>
          <w:tcPr>
            <w:tcW w:w="1000" w:type="dxa"/>
            <w:tcBorders>
              <w:top w:val="nil"/>
              <w:left w:val="nil"/>
              <w:bottom w:val="nil"/>
              <w:right w:val="nil"/>
            </w:tcBorders>
            <w:shd w:val="clear" w:color="auto" w:fill="auto"/>
            <w:noWrap/>
            <w:vAlign w:val="bottom"/>
            <w:hideMark/>
          </w:tcPr>
          <w:p w14:paraId="11541D21"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3.69</w:t>
            </w:r>
          </w:p>
        </w:tc>
        <w:tc>
          <w:tcPr>
            <w:tcW w:w="1220" w:type="dxa"/>
            <w:tcBorders>
              <w:top w:val="nil"/>
              <w:left w:val="nil"/>
              <w:bottom w:val="nil"/>
              <w:right w:val="nil"/>
            </w:tcBorders>
            <w:shd w:val="clear" w:color="auto" w:fill="auto"/>
            <w:noWrap/>
            <w:vAlign w:val="bottom"/>
            <w:hideMark/>
          </w:tcPr>
          <w:p w14:paraId="62EE3EF2"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8.56 × 10−5</w:t>
            </w:r>
          </w:p>
        </w:tc>
        <w:tc>
          <w:tcPr>
            <w:tcW w:w="1220" w:type="dxa"/>
            <w:tcBorders>
              <w:top w:val="nil"/>
              <w:left w:val="nil"/>
              <w:bottom w:val="nil"/>
              <w:right w:val="nil"/>
            </w:tcBorders>
            <w:shd w:val="clear" w:color="auto" w:fill="auto"/>
            <w:noWrap/>
            <w:vAlign w:val="bottom"/>
            <w:hideMark/>
          </w:tcPr>
          <w:p w14:paraId="68F1C073"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3.58 × 10−4</w:t>
            </w:r>
          </w:p>
        </w:tc>
        <w:tc>
          <w:tcPr>
            <w:tcW w:w="1220" w:type="dxa"/>
            <w:tcBorders>
              <w:top w:val="nil"/>
              <w:left w:val="nil"/>
              <w:bottom w:val="nil"/>
              <w:right w:val="nil"/>
            </w:tcBorders>
            <w:shd w:val="clear" w:color="auto" w:fill="auto"/>
            <w:noWrap/>
            <w:vAlign w:val="bottom"/>
            <w:hideMark/>
          </w:tcPr>
          <w:p w14:paraId="1D70E341"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1.17 × 10−3</w:t>
            </w:r>
          </w:p>
        </w:tc>
        <w:tc>
          <w:tcPr>
            <w:tcW w:w="820" w:type="dxa"/>
            <w:tcBorders>
              <w:top w:val="nil"/>
              <w:left w:val="nil"/>
              <w:bottom w:val="nil"/>
              <w:right w:val="nil"/>
            </w:tcBorders>
            <w:shd w:val="clear" w:color="auto" w:fill="auto"/>
            <w:noWrap/>
            <w:vAlign w:val="bottom"/>
            <w:hideMark/>
          </w:tcPr>
          <w:p w14:paraId="0ECB0889"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w:t>
            </w:r>
          </w:p>
        </w:tc>
        <w:tc>
          <w:tcPr>
            <w:tcW w:w="1100" w:type="dxa"/>
            <w:tcBorders>
              <w:top w:val="nil"/>
              <w:left w:val="nil"/>
              <w:bottom w:val="nil"/>
              <w:right w:val="nil"/>
            </w:tcBorders>
            <w:shd w:val="clear" w:color="auto" w:fill="auto"/>
            <w:noWrap/>
            <w:vAlign w:val="bottom"/>
            <w:hideMark/>
          </w:tcPr>
          <w:p w14:paraId="1E133408"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w:t>
            </w:r>
          </w:p>
        </w:tc>
        <w:tc>
          <w:tcPr>
            <w:tcW w:w="820" w:type="dxa"/>
            <w:tcBorders>
              <w:top w:val="nil"/>
              <w:left w:val="nil"/>
              <w:bottom w:val="nil"/>
              <w:right w:val="nil"/>
            </w:tcBorders>
            <w:shd w:val="clear" w:color="auto" w:fill="auto"/>
            <w:noWrap/>
            <w:vAlign w:val="bottom"/>
            <w:hideMark/>
          </w:tcPr>
          <w:p w14:paraId="61BFDC96"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w:t>
            </w:r>
          </w:p>
        </w:tc>
      </w:tr>
      <w:tr w:rsidR="00922542" w:rsidRPr="00922542" w14:paraId="5A1F9B5C" w14:textId="77777777" w:rsidTr="00922542">
        <w:trPr>
          <w:trHeight w:val="320"/>
        </w:trPr>
        <w:tc>
          <w:tcPr>
            <w:tcW w:w="1640" w:type="dxa"/>
            <w:tcBorders>
              <w:top w:val="nil"/>
              <w:left w:val="nil"/>
              <w:bottom w:val="nil"/>
              <w:right w:val="nil"/>
            </w:tcBorders>
            <w:shd w:val="clear" w:color="auto" w:fill="auto"/>
            <w:noWrap/>
            <w:vAlign w:val="bottom"/>
            <w:hideMark/>
          </w:tcPr>
          <w:p w14:paraId="43C95140"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m</w:t>
            </w:r>
          </w:p>
        </w:tc>
        <w:tc>
          <w:tcPr>
            <w:tcW w:w="1380" w:type="dxa"/>
            <w:tcBorders>
              <w:top w:val="nil"/>
              <w:left w:val="nil"/>
              <w:bottom w:val="nil"/>
              <w:right w:val="nil"/>
            </w:tcBorders>
            <w:shd w:val="clear" w:color="auto" w:fill="auto"/>
            <w:noWrap/>
            <w:vAlign w:val="bottom"/>
            <w:hideMark/>
          </w:tcPr>
          <w:p w14:paraId="1D3EE0CA"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4089</w:t>
            </w:r>
          </w:p>
        </w:tc>
        <w:tc>
          <w:tcPr>
            <w:tcW w:w="1000" w:type="dxa"/>
            <w:tcBorders>
              <w:top w:val="nil"/>
              <w:left w:val="nil"/>
              <w:bottom w:val="nil"/>
              <w:right w:val="nil"/>
            </w:tcBorders>
            <w:shd w:val="clear" w:color="auto" w:fill="auto"/>
            <w:noWrap/>
            <w:vAlign w:val="bottom"/>
            <w:hideMark/>
          </w:tcPr>
          <w:p w14:paraId="10426560"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1.24</w:t>
            </w:r>
          </w:p>
        </w:tc>
        <w:tc>
          <w:tcPr>
            <w:tcW w:w="1300" w:type="dxa"/>
            <w:tcBorders>
              <w:top w:val="nil"/>
              <w:left w:val="nil"/>
              <w:bottom w:val="nil"/>
              <w:right w:val="nil"/>
            </w:tcBorders>
            <w:shd w:val="clear" w:color="auto" w:fill="auto"/>
            <w:noWrap/>
            <w:vAlign w:val="bottom"/>
            <w:hideMark/>
          </w:tcPr>
          <w:p w14:paraId="5E37CBFF"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1.78</w:t>
            </w:r>
          </w:p>
        </w:tc>
        <w:tc>
          <w:tcPr>
            <w:tcW w:w="1000" w:type="dxa"/>
            <w:tcBorders>
              <w:top w:val="nil"/>
              <w:left w:val="nil"/>
              <w:bottom w:val="nil"/>
              <w:right w:val="nil"/>
            </w:tcBorders>
            <w:shd w:val="clear" w:color="auto" w:fill="auto"/>
            <w:noWrap/>
            <w:vAlign w:val="bottom"/>
            <w:hideMark/>
          </w:tcPr>
          <w:p w14:paraId="1D99D15A"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12.67</w:t>
            </w:r>
          </w:p>
        </w:tc>
        <w:tc>
          <w:tcPr>
            <w:tcW w:w="1220" w:type="dxa"/>
            <w:tcBorders>
              <w:top w:val="nil"/>
              <w:left w:val="nil"/>
              <w:bottom w:val="nil"/>
              <w:right w:val="nil"/>
            </w:tcBorders>
            <w:shd w:val="clear" w:color="auto" w:fill="auto"/>
            <w:noWrap/>
            <w:vAlign w:val="bottom"/>
            <w:hideMark/>
          </w:tcPr>
          <w:p w14:paraId="310129C3"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8.39 × 10−5</w:t>
            </w:r>
          </w:p>
        </w:tc>
        <w:tc>
          <w:tcPr>
            <w:tcW w:w="1220" w:type="dxa"/>
            <w:tcBorders>
              <w:top w:val="nil"/>
              <w:left w:val="nil"/>
              <w:bottom w:val="nil"/>
              <w:right w:val="nil"/>
            </w:tcBorders>
            <w:shd w:val="clear" w:color="auto" w:fill="auto"/>
            <w:noWrap/>
            <w:vAlign w:val="bottom"/>
            <w:hideMark/>
          </w:tcPr>
          <w:p w14:paraId="14ABDCEF"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3.29 × 10−4</w:t>
            </w:r>
          </w:p>
        </w:tc>
        <w:tc>
          <w:tcPr>
            <w:tcW w:w="1220" w:type="dxa"/>
            <w:tcBorders>
              <w:top w:val="nil"/>
              <w:left w:val="nil"/>
              <w:bottom w:val="nil"/>
              <w:right w:val="nil"/>
            </w:tcBorders>
            <w:shd w:val="clear" w:color="auto" w:fill="auto"/>
            <w:noWrap/>
            <w:vAlign w:val="bottom"/>
            <w:hideMark/>
          </w:tcPr>
          <w:p w14:paraId="20476E0E"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1.12 × 10−3</w:t>
            </w:r>
          </w:p>
        </w:tc>
        <w:tc>
          <w:tcPr>
            <w:tcW w:w="820" w:type="dxa"/>
            <w:tcBorders>
              <w:top w:val="nil"/>
              <w:left w:val="nil"/>
              <w:bottom w:val="nil"/>
              <w:right w:val="nil"/>
            </w:tcBorders>
            <w:shd w:val="clear" w:color="auto" w:fill="auto"/>
            <w:noWrap/>
            <w:vAlign w:val="bottom"/>
            <w:hideMark/>
          </w:tcPr>
          <w:p w14:paraId="6F55CF86"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w:t>
            </w:r>
          </w:p>
        </w:tc>
        <w:tc>
          <w:tcPr>
            <w:tcW w:w="1100" w:type="dxa"/>
            <w:tcBorders>
              <w:top w:val="nil"/>
              <w:left w:val="nil"/>
              <w:bottom w:val="nil"/>
              <w:right w:val="nil"/>
            </w:tcBorders>
            <w:shd w:val="clear" w:color="auto" w:fill="auto"/>
            <w:noWrap/>
            <w:vAlign w:val="bottom"/>
            <w:hideMark/>
          </w:tcPr>
          <w:p w14:paraId="4A07299C"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w:t>
            </w:r>
          </w:p>
        </w:tc>
        <w:tc>
          <w:tcPr>
            <w:tcW w:w="820" w:type="dxa"/>
            <w:tcBorders>
              <w:top w:val="nil"/>
              <w:left w:val="nil"/>
              <w:bottom w:val="nil"/>
              <w:right w:val="nil"/>
            </w:tcBorders>
            <w:shd w:val="clear" w:color="auto" w:fill="auto"/>
            <w:noWrap/>
            <w:vAlign w:val="bottom"/>
            <w:hideMark/>
          </w:tcPr>
          <w:p w14:paraId="0FD42F19"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w:t>
            </w:r>
          </w:p>
        </w:tc>
      </w:tr>
      <w:tr w:rsidR="00922542" w:rsidRPr="00922542" w14:paraId="0B139324" w14:textId="77777777" w:rsidTr="00922542">
        <w:trPr>
          <w:trHeight w:val="320"/>
        </w:trPr>
        <w:tc>
          <w:tcPr>
            <w:tcW w:w="1640" w:type="dxa"/>
            <w:tcBorders>
              <w:top w:val="nil"/>
              <w:left w:val="nil"/>
              <w:bottom w:val="nil"/>
              <w:right w:val="nil"/>
            </w:tcBorders>
            <w:shd w:val="clear" w:color="auto" w:fill="auto"/>
            <w:noWrap/>
            <w:vAlign w:val="bottom"/>
            <w:hideMark/>
          </w:tcPr>
          <w:p w14:paraId="09980AFE" w14:textId="77777777" w:rsidR="00922542" w:rsidRPr="00922542" w:rsidRDefault="00922542" w:rsidP="00922542">
            <w:pPr>
              <w:spacing w:line="240" w:lineRule="auto"/>
              <w:jc w:val="right"/>
              <w:rPr>
                <w:rFonts w:ascii="Helvetica Neue" w:eastAsia="Times New Roman" w:hAnsi="Helvetica Neue" w:cs="Times New Roman"/>
                <w:b/>
                <w:bCs/>
                <w:color w:val="333333"/>
                <w:lang w:val="en-US"/>
              </w:rPr>
            </w:pPr>
            <w:r w:rsidRPr="00922542">
              <w:rPr>
                <w:rFonts w:ascii="Helvetica Neue" w:eastAsia="Times New Roman" w:hAnsi="Helvetica Neue" w:cs="Times New Roman"/>
                <w:b/>
                <w:bCs/>
                <w:color w:val="333333"/>
                <w:lang w:val="en-US"/>
              </w:rPr>
              <w:t>&gt;1 Surveys</w:t>
            </w:r>
          </w:p>
        </w:tc>
        <w:tc>
          <w:tcPr>
            <w:tcW w:w="1380" w:type="dxa"/>
            <w:tcBorders>
              <w:top w:val="nil"/>
              <w:left w:val="nil"/>
              <w:bottom w:val="nil"/>
              <w:right w:val="nil"/>
            </w:tcBorders>
            <w:shd w:val="clear" w:color="auto" w:fill="auto"/>
            <w:noWrap/>
            <w:vAlign w:val="bottom"/>
            <w:hideMark/>
          </w:tcPr>
          <w:p w14:paraId="28EA5B56" w14:textId="77777777" w:rsidR="00922542" w:rsidRPr="00922542" w:rsidRDefault="00922542" w:rsidP="00922542">
            <w:pPr>
              <w:spacing w:line="240" w:lineRule="auto"/>
              <w:jc w:val="right"/>
              <w:rPr>
                <w:rFonts w:ascii="Helvetica Neue" w:eastAsia="Times New Roman" w:hAnsi="Helvetica Neue" w:cs="Times New Roman"/>
                <w:b/>
                <w:bCs/>
                <w:color w:val="333333"/>
                <w:lang w:val="en-US"/>
              </w:rPr>
            </w:pPr>
          </w:p>
        </w:tc>
        <w:tc>
          <w:tcPr>
            <w:tcW w:w="1000" w:type="dxa"/>
            <w:tcBorders>
              <w:top w:val="nil"/>
              <w:left w:val="nil"/>
              <w:bottom w:val="nil"/>
              <w:right w:val="nil"/>
            </w:tcBorders>
            <w:shd w:val="clear" w:color="auto" w:fill="auto"/>
            <w:noWrap/>
            <w:vAlign w:val="bottom"/>
            <w:hideMark/>
          </w:tcPr>
          <w:p w14:paraId="41BEBA66" w14:textId="77777777" w:rsidR="00922542" w:rsidRPr="00922542" w:rsidRDefault="00922542" w:rsidP="00922542">
            <w:pPr>
              <w:spacing w:line="240" w:lineRule="auto"/>
              <w:rPr>
                <w:rFonts w:ascii="Times New Roman" w:eastAsia="Times New Roman" w:hAnsi="Times New Roman" w:cs="Times New Roman"/>
                <w:lang w:val="en-US"/>
              </w:rPr>
            </w:pPr>
          </w:p>
        </w:tc>
        <w:tc>
          <w:tcPr>
            <w:tcW w:w="1300" w:type="dxa"/>
            <w:tcBorders>
              <w:top w:val="nil"/>
              <w:left w:val="nil"/>
              <w:bottom w:val="nil"/>
              <w:right w:val="nil"/>
            </w:tcBorders>
            <w:shd w:val="clear" w:color="auto" w:fill="auto"/>
            <w:noWrap/>
            <w:vAlign w:val="bottom"/>
            <w:hideMark/>
          </w:tcPr>
          <w:p w14:paraId="4D01B1D2" w14:textId="77777777" w:rsidR="00922542" w:rsidRPr="00922542" w:rsidRDefault="00922542" w:rsidP="00922542">
            <w:pPr>
              <w:spacing w:line="240" w:lineRule="auto"/>
              <w:rPr>
                <w:rFonts w:ascii="Times New Roman" w:eastAsia="Times New Roman" w:hAnsi="Times New Roman" w:cs="Times New Roman"/>
                <w:lang w:val="en-US"/>
              </w:rPr>
            </w:pPr>
          </w:p>
        </w:tc>
        <w:tc>
          <w:tcPr>
            <w:tcW w:w="1000" w:type="dxa"/>
            <w:tcBorders>
              <w:top w:val="nil"/>
              <w:left w:val="nil"/>
              <w:bottom w:val="nil"/>
              <w:right w:val="nil"/>
            </w:tcBorders>
            <w:shd w:val="clear" w:color="auto" w:fill="auto"/>
            <w:noWrap/>
            <w:vAlign w:val="bottom"/>
            <w:hideMark/>
          </w:tcPr>
          <w:p w14:paraId="550FAC2A" w14:textId="77777777" w:rsidR="00922542" w:rsidRPr="00922542" w:rsidRDefault="00922542" w:rsidP="00922542">
            <w:pPr>
              <w:spacing w:line="240" w:lineRule="auto"/>
              <w:rPr>
                <w:rFonts w:ascii="Times New Roman" w:eastAsia="Times New Roman" w:hAnsi="Times New Roman" w:cs="Times New Roman"/>
                <w:lang w:val="en-US"/>
              </w:rPr>
            </w:pPr>
          </w:p>
        </w:tc>
        <w:tc>
          <w:tcPr>
            <w:tcW w:w="1220" w:type="dxa"/>
            <w:tcBorders>
              <w:top w:val="nil"/>
              <w:left w:val="nil"/>
              <w:bottom w:val="nil"/>
              <w:right w:val="nil"/>
            </w:tcBorders>
            <w:shd w:val="clear" w:color="auto" w:fill="auto"/>
            <w:noWrap/>
            <w:vAlign w:val="bottom"/>
            <w:hideMark/>
          </w:tcPr>
          <w:p w14:paraId="554CB028" w14:textId="77777777" w:rsidR="00922542" w:rsidRPr="00922542" w:rsidRDefault="00922542" w:rsidP="00922542">
            <w:pPr>
              <w:spacing w:line="240" w:lineRule="auto"/>
              <w:rPr>
                <w:rFonts w:ascii="Times New Roman" w:eastAsia="Times New Roman" w:hAnsi="Times New Roman" w:cs="Times New Roman"/>
                <w:lang w:val="en-US"/>
              </w:rPr>
            </w:pPr>
          </w:p>
        </w:tc>
        <w:tc>
          <w:tcPr>
            <w:tcW w:w="1220" w:type="dxa"/>
            <w:tcBorders>
              <w:top w:val="nil"/>
              <w:left w:val="nil"/>
              <w:bottom w:val="nil"/>
              <w:right w:val="nil"/>
            </w:tcBorders>
            <w:shd w:val="clear" w:color="auto" w:fill="auto"/>
            <w:noWrap/>
            <w:vAlign w:val="bottom"/>
            <w:hideMark/>
          </w:tcPr>
          <w:p w14:paraId="7A0ED3C2" w14:textId="77777777" w:rsidR="00922542" w:rsidRPr="00922542" w:rsidRDefault="00922542" w:rsidP="00922542">
            <w:pPr>
              <w:spacing w:line="240" w:lineRule="auto"/>
              <w:rPr>
                <w:rFonts w:ascii="Times New Roman" w:eastAsia="Times New Roman" w:hAnsi="Times New Roman" w:cs="Times New Roman"/>
                <w:lang w:val="en-US"/>
              </w:rPr>
            </w:pPr>
          </w:p>
        </w:tc>
        <w:tc>
          <w:tcPr>
            <w:tcW w:w="1220" w:type="dxa"/>
            <w:tcBorders>
              <w:top w:val="nil"/>
              <w:left w:val="nil"/>
              <w:bottom w:val="nil"/>
              <w:right w:val="nil"/>
            </w:tcBorders>
            <w:shd w:val="clear" w:color="auto" w:fill="auto"/>
            <w:noWrap/>
            <w:vAlign w:val="bottom"/>
            <w:hideMark/>
          </w:tcPr>
          <w:p w14:paraId="25DEA287" w14:textId="77777777" w:rsidR="00922542" w:rsidRPr="00922542" w:rsidRDefault="00922542" w:rsidP="00922542">
            <w:pPr>
              <w:spacing w:line="240" w:lineRule="auto"/>
              <w:rPr>
                <w:rFonts w:ascii="Times New Roman" w:eastAsia="Times New Roman" w:hAnsi="Times New Roman" w:cs="Times New Roman"/>
                <w:lang w:val="en-US"/>
              </w:rPr>
            </w:pPr>
          </w:p>
        </w:tc>
        <w:tc>
          <w:tcPr>
            <w:tcW w:w="820" w:type="dxa"/>
            <w:tcBorders>
              <w:top w:val="nil"/>
              <w:left w:val="nil"/>
              <w:bottom w:val="nil"/>
              <w:right w:val="nil"/>
            </w:tcBorders>
            <w:shd w:val="clear" w:color="auto" w:fill="auto"/>
            <w:noWrap/>
            <w:vAlign w:val="bottom"/>
            <w:hideMark/>
          </w:tcPr>
          <w:p w14:paraId="690DE1FE" w14:textId="77777777" w:rsidR="00922542" w:rsidRPr="00922542" w:rsidRDefault="00922542" w:rsidP="00922542">
            <w:pPr>
              <w:spacing w:line="240" w:lineRule="auto"/>
              <w:rPr>
                <w:rFonts w:ascii="Times New Roman" w:eastAsia="Times New Roman" w:hAnsi="Times New Roman" w:cs="Times New Roman"/>
                <w:lang w:val="en-US"/>
              </w:rPr>
            </w:pPr>
          </w:p>
        </w:tc>
        <w:tc>
          <w:tcPr>
            <w:tcW w:w="1100" w:type="dxa"/>
            <w:tcBorders>
              <w:top w:val="nil"/>
              <w:left w:val="nil"/>
              <w:bottom w:val="nil"/>
              <w:right w:val="nil"/>
            </w:tcBorders>
            <w:shd w:val="clear" w:color="auto" w:fill="auto"/>
            <w:noWrap/>
            <w:vAlign w:val="bottom"/>
            <w:hideMark/>
          </w:tcPr>
          <w:p w14:paraId="54A3BC04" w14:textId="77777777" w:rsidR="00922542" w:rsidRPr="00922542" w:rsidRDefault="00922542" w:rsidP="00922542">
            <w:pPr>
              <w:spacing w:line="240" w:lineRule="auto"/>
              <w:rPr>
                <w:rFonts w:ascii="Times New Roman" w:eastAsia="Times New Roman" w:hAnsi="Times New Roman" w:cs="Times New Roman"/>
                <w:lang w:val="en-US"/>
              </w:rPr>
            </w:pPr>
          </w:p>
        </w:tc>
        <w:tc>
          <w:tcPr>
            <w:tcW w:w="820" w:type="dxa"/>
            <w:tcBorders>
              <w:top w:val="nil"/>
              <w:left w:val="nil"/>
              <w:bottom w:val="nil"/>
              <w:right w:val="nil"/>
            </w:tcBorders>
            <w:shd w:val="clear" w:color="auto" w:fill="auto"/>
            <w:noWrap/>
            <w:vAlign w:val="bottom"/>
            <w:hideMark/>
          </w:tcPr>
          <w:p w14:paraId="2870D120" w14:textId="77777777" w:rsidR="00922542" w:rsidRPr="00922542" w:rsidRDefault="00922542" w:rsidP="00922542">
            <w:pPr>
              <w:spacing w:line="240" w:lineRule="auto"/>
              <w:rPr>
                <w:rFonts w:ascii="Times New Roman" w:eastAsia="Times New Roman" w:hAnsi="Times New Roman" w:cs="Times New Roman"/>
                <w:lang w:val="en-US"/>
              </w:rPr>
            </w:pPr>
          </w:p>
        </w:tc>
      </w:tr>
      <w:tr w:rsidR="00922542" w:rsidRPr="00922542" w14:paraId="06176F35" w14:textId="77777777" w:rsidTr="00922542">
        <w:trPr>
          <w:trHeight w:val="320"/>
        </w:trPr>
        <w:tc>
          <w:tcPr>
            <w:tcW w:w="1640" w:type="dxa"/>
            <w:tcBorders>
              <w:top w:val="nil"/>
              <w:left w:val="nil"/>
              <w:bottom w:val="nil"/>
              <w:right w:val="nil"/>
            </w:tcBorders>
            <w:shd w:val="clear" w:color="auto" w:fill="auto"/>
            <w:noWrap/>
            <w:vAlign w:val="bottom"/>
            <w:hideMark/>
          </w:tcPr>
          <w:p w14:paraId="09008FBE"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f</w:t>
            </w:r>
          </w:p>
        </w:tc>
        <w:tc>
          <w:tcPr>
            <w:tcW w:w="1380" w:type="dxa"/>
            <w:tcBorders>
              <w:top w:val="nil"/>
              <w:left w:val="nil"/>
              <w:bottom w:val="nil"/>
              <w:right w:val="nil"/>
            </w:tcBorders>
            <w:shd w:val="clear" w:color="auto" w:fill="auto"/>
            <w:noWrap/>
            <w:vAlign w:val="bottom"/>
            <w:hideMark/>
          </w:tcPr>
          <w:p w14:paraId="75972052"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2708</w:t>
            </w:r>
          </w:p>
        </w:tc>
        <w:tc>
          <w:tcPr>
            <w:tcW w:w="1000" w:type="dxa"/>
            <w:tcBorders>
              <w:top w:val="nil"/>
              <w:left w:val="nil"/>
              <w:bottom w:val="nil"/>
              <w:right w:val="nil"/>
            </w:tcBorders>
            <w:shd w:val="clear" w:color="auto" w:fill="auto"/>
            <w:noWrap/>
            <w:vAlign w:val="bottom"/>
            <w:hideMark/>
          </w:tcPr>
          <w:p w14:paraId="41BFE1C0"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1.18</w:t>
            </w:r>
          </w:p>
        </w:tc>
        <w:tc>
          <w:tcPr>
            <w:tcW w:w="1300" w:type="dxa"/>
            <w:tcBorders>
              <w:top w:val="nil"/>
              <w:left w:val="nil"/>
              <w:bottom w:val="nil"/>
              <w:right w:val="nil"/>
            </w:tcBorders>
            <w:shd w:val="clear" w:color="auto" w:fill="auto"/>
            <w:noWrap/>
            <w:vAlign w:val="bottom"/>
            <w:hideMark/>
          </w:tcPr>
          <w:p w14:paraId="7944553E"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1.73</w:t>
            </w:r>
          </w:p>
        </w:tc>
        <w:tc>
          <w:tcPr>
            <w:tcW w:w="1000" w:type="dxa"/>
            <w:tcBorders>
              <w:top w:val="nil"/>
              <w:left w:val="nil"/>
              <w:bottom w:val="nil"/>
              <w:right w:val="nil"/>
            </w:tcBorders>
            <w:shd w:val="clear" w:color="auto" w:fill="auto"/>
            <w:noWrap/>
            <w:vAlign w:val="bottom"/>
            <w:hideMark/>
          </w:tcPr>
          <w:p w14:paraId="4D872B33"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73.83</w:t>
            </w:r>
          </w:p>
        </w:tc>
        <w:tc>
          <w:tcPr>
            <w:tcW w:w="1220" w:type="dxa"/>
            <w:tcBorders>
              <w:top w:val="nil"/>
              <w:left w:val="nil"/>
              <w:bottom w:val="nil"/>
              <w:right w:val="nil"/>
            </w:tcBorders>
            <w:shd w:val="clear" w:color="auto" w:fill="auto"/>
            <w:noWrap/>
            <w:vAlign w:val="bottom"/>
            <w:hideMark/>
          </w:tcPr>
          <w:p w14:paraId="55913125"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3.33 × 10−4</w:t>
            </w:r>
          </w:p>
        </w:tc>
        <w:tc>
          <w:tcPr>
            <w:tcW w:w="1220" w:type="dxa"/>
            <w:tcBorders>
              <w:top w:val="nil"/>
              <w:left w:val="nil"/>
              <w:bottom w:val="nil"/>
              <w:right w:val="nil"/>
            </w:tcBorders>
            <w:shd w:val="clear" w:color="auto" w:fill="auto"/>
            <w:noWrap/>
            <w:vAlign w:val="bottom"/>
            <w:hideMark/>
          </w:tcPr>
          <w:p w14:paraId="3E174EAE"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7.12 × 10−4</w:t>
            </w:r>
          </w:p>
        </w:tc>
        <w:tc>
          <w:tcPr>
            <w:tcW w:w="1220" w:type="dxa"/>
            <w:tcBorders>
              <w:top w:val="nil"/>
              <w:left w:val="nil"/>
              <w:bottom w:val="nil"/>
              <w:right w:val="nil"/>
            </w:tcBorders>
            <w:shd w:val="clear" w:color="auto" w:fill="auto"/>
            <w:noWrap/>
            <w:vAlign w:val="bottom"/>
            <w:hideMark/>
          </w:tcPr>
          <w:p w14:paraId="1F3234D1"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1.36 × 10−3</w:t>
            </w:r>
          </w:p>
        </w:tc>
        <w:tc>
          <w:tcPr>
            <w:tcW w:w="820" w:type="dxa"/>
            <w:tcBorders>
              <w:top w:val="nil"/>
              <w:left w:val="nil"/>
              <w:bottom w:val="nil"/>
              <w:right w:val="nil"/>
            </w:tcBorders>
            <w:shd w:val="clear" w:color="auto" w:fill="auto"/>
            <w:noWrap/>
            <w:vAlign w:val="bottom"/>
            <w:hideMark/>
          </w:tcPr>
          <w:p w14:paraId="6420F3F7"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17.56</w:t>
            </w:r>
          </w:p>
        </w:tc>
        <w:tc>
          <w:tcPr>
            <w:tcW w:w="1100" w:type="dxa"/>
            <w:tcBorders>
              <w:top w:val="nil"/>
              <w:left w:val="nil"/>
              <w:bottom w:val="nil"/>
              <w:right w:val="nil"/>
            </w:tcBorders>
            <w:shd w:val="clear" w:color="auto" w:fill="auto"/>
            <w:noWrap/>
            <w:vAlign w:val="bottom"/>
            <w:hideMark/>
          </w:tcPr>
          <w:p w14:paraId="5F3C33DA"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75.77</w:t>
            </w:r>
          </w:p>
        </w:tc>
        <w:tc>
          <w:tcPr>
            <w:tcW w:w="820" w:type="dxa"/>
            <w:tcBorders>
              <w:top w:val="nil"/>
              <w:left w:val="nil"/>
              <w:bottom w:val="nil"/>
              <w:right w:val="nil"/>
            </w:tcBorders>
            <w:shd w:val="clear" w:color="auto" w:fill="auto"/>
            <w:noWrap/>
            <w:vAlign w:val="bottom"/>
            <w:hideMark/>
          </w:tcPr>
          <w:p w14:paraId="239E2C55"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99.22</w:t>
            </w:r>
          </w:p>
        </w:tc>
      </w:tr>
      <w:tr w:rsidR="00922542" w:rsidRPr="00922542" w14:paraId="4BAFE122" w14:textId="77777777" w:rsidTr="00922542">
        <w:trPr>
          <w:trHeight w:val="320"/>
        </w:trPr>
        <w:tc>
          <w:tcPr>
            <w:tcW w:w="1640" w:type="dxa"/>
            <w:tcBorders>
              <w:top w:val="nil"/>
              <w:left w:val="nil"/>
              <w:bottom w:val="nil"/>
              <w:right w:val="nil"/>
            </w:tcBorders>
            <w:shd w:val="clear" w:color="auto" w:fill="auto"/>
            <w:noWrap/>
            <w:vAlign w:val="bottom"/>
            <w:hideMark/>
          </w:tcPr>
          <w:p w14:paraId="4C11EBD1"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m</w:t>
            </w:r>
          </w:p>
        </w:tc>
        <w:tc>
          <w:tcPr>
            <w:tcW w:w="1380" w:type="dxa"/>
            <w:tcBorders>
              <w:top w:val="nil"/>
              <w:left w:val="nil"/>
              <w:bottom w:val="nil"/>
              <w:right w:val="nil"/>
            </w:tcBorders>
            <w:shd w:val="clear" w:color="auto" w:fill="auto"/>
            <w:noWrap/>
            <w:vAlign w:val="bottom"/>
            <w:hideMark/>
          </w:tcPr>
          <w:p w14:paraId="6690872B"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2199</w:t>
            </w:r>
          </w:p>
        </w:tc>
        <w:tc>
          <w:tcPr>
            <w:tcW w:w="1000" w:type="dxa"/>
            <w:tcBorders>
              <w:top w:val="nil"/>
              <w:left w:val="nil"/>
              <w:bottom w:val="nil"/>
              <w:right w:val="nil"/>
            </w:tcBorders>
            <w:shd w:val="clear" w:color="auto" w:fill="auto"/>
            <w:noWrap/>
            <w:vAlign w:val="bottom"/>
            <w:hideMark/>
          </w:tcPr>
          <w:p w14:paraId="519E5915"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1.24</w:t>
            </w:r>
          </w:p>
        </w:tc>
        <w:tc>
          <w:tcPr>
            <w:tcW w:w="1300" w:type="dxa"/>
            <w:tcBorders>
              <w:top w:val="nil"/>
              <w:left w:val="nil"/>
              <w:bottom w:val="nil"/>
              <w:right w:val="nil"/>
            </w:tcBorders>
            <w:shd w:val="clear" w:color="auto" w:fill="auto"/>
            <w:noWrap/>
            <w:vAlign w:val="bottom"/>
            <w:hideMark/>
          </w:tcPr>
          <w:p w14:paraId="42CC5A03"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2.6</w:t>
            </w:r>
          </w:p>
        </w:tc>
        <w:tc>
          <w:tcPr>
            <w:tcW w:w="1000" w:type="dxa"/>
            <w:tcBorders>
              <w:top w:val="nil"/>
              <w:left w:val="nil"/>
              <w:bottom w:val="nil"/>
              <w:right w:val="nil"/>
            </w:tcBorders>
            <w:shd w:val="clear" w:color="auto" w:fill="auto"/>
            <w:noWrap/>
            <w:vAlign w:val="bottom"/>
            <w:hideMark/>
          </w:tcPr>
          <w:p w14:paraId="34A607B2"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263.09</w:t>
            </w:r>
          </w:p>
        </w:tc>
        <w:tc>
          <w:tcPr>
            <w:tcW w:w="1220" w:type="dxa"/>
            <w:tcBorders>
              <w:top w:val="nil"/>
              <w:left w:val="nil"/>
              <w:bottom w:val="nil"/>
              <w:right w:val="nil"/>
            </w:tcBorders>
            <w:shd w:val="clear" w:color="auto" w:fill="auto"/>
            <w:noWrap/>
            <w:vAlign w:val="bottom"/>
            <w:hideMark/>
          </w:tcPr>
          <w:p w14:paraId="60821300"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3.01 × 10−4</w:t>
            </w:r>
          </w:p>
        </w:tc>
        <w:tc>
          <w:tcPr>
            <w:tcW w:w="1220" w:type="dxa"/>
            <w:tcBorders>
              <w:top w:val="nil"/>
              <w:left w:val="nil"/>
              <w:bottom w:val="nil"/>
              <w:right w:val="nil"/>
            </w:tcBorders>
            <w:shd w:val="clear" w:color="auto" w:fill="auto"/>
            <w:noWrap/>
            <w:vAlign w:val="bottom"/>
            <w:hideMark/>
          </w:tcPr>
          <w:p w14:paraId="791FD0F2"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6.49 × 10−4</w:t>
            </w:r>
          </w:p>
        </w:tc>
        <w:tc>
          <w:tcPr>
            <w:tcW w:w="1220" w:type="dxa"/>
            <w:tcBorders>
              <w:top w:val="nil"/>
              <w:left w:val="nil"/>
              <w:bottom w:val="nil"/>
              <w:right w:val="nil"/>
            </w:tcBorders>
            <w:shd w:val="clear" w:color="auto" w:fill="auto"/>
            <w:noWrap/>
            <w:vAlign w:val="bottom"/>
            <w:hideMark/>
          </w:tcPr>
          <w:p w14:paraId="549FCDF9" w14:textId="77777777" w:rsidR="00922542" w:rsidRPr="00922542" w:rsidRDefault="00922542" w:rsidP="00922542">
            <w:pPr>
              <w:spacing w:line="240" w:lineRule="auto"/>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1.30 × 10−3</w:t>
            </w:r>
          </w:p>
        </w:tc>
        <w:tc>
          <w:tcPr>
            <w:tcW w:w="820" w:type="dxa"/>
            <w:tcBorders>
              <w:top w:val="nil"/>
              <w:left w:val="nil"/>
              <w:bottom w:val="nil"/>
              <w:right w:val="nil"/>
            </w:tcBorders>
            <w:shd w:val="clear" w:color="auto" w:fill="auto"/>
            <w:noWrap/>
            <w:vAlign w:val="bottom"/>
            <w:hideMark/>
          </w:tcPr>
          <w:p w14:paraId="11AD9F41"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17.77</w:t>
            </w:r>
          </w:p>
        </w:tc>
        <w:tc>
          <w:tcPr>
            <w:tcW w:w="1100" w:type="dxa"/>
            <w:tcBorders>
              <w:top w:val="nil"/>
              <w:left w:val="nil"/>
              <w:bottom w:val="nil"/>
              <w:right w:val="nil"/>
            </w:tcBorders>
            <w:shd w:val="clear" w:color="auto" w:fill="auto"/>
            <w:noWrap/>
            <w:vAlign w:val="bottom"/>
            <w:hideMark/>
          </w:tcPr>
          <w:p w14:paraId="4CC33344"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81.94</w:t>
            </w:r>
          </w:p>
        </w:tc>
        <w:tc>
          <w:tcPr>
            <w:tcW w:w="820" w:type="dxa"/>
            <w:tcBorders>
              <w:top w:val="nil"/>
              <w:left w:val="nil"/>
              <w:bottom w:val="nil"/>
              <w:right w:val="nil"/>
            </w:tcBorders>
            <w:shd w:val="clear" w:color="auto" w:fill="auto"/>
            <w:noWrap/>
            <w:vAlign w:val="bottom"/>
            <w:hideMark/>
          </w:tcPr>
          <w:p w14:paraId="77928972" w14:textId="77777777" w:rsidR="00922542" w:rsidRPr="00922542" w:rsidRDefault="00922542" w:rsidP="00922542">
            <w:pPr>
              <w:spacing w:line="240" w:lineRule="auto"/>
              <w:jc w:val="right"/>
              <w:rPr>
                <w:rFonts w:ascii="Helvetica Neue" w:eastAsia="Times New Roman" w:hAnsi="Helvetica Neue" w:cs="Times New Roman"/>
                <w:color w:val="333333"/>
                <w:lang w:val="en-US"/>
              </w:rPr>
            </w:pPr>
            <w:r w:rsidRPr="00922542">
              <w:rPr>
                <w:rFonts w:ascii="Helvetica Neue" w:eastAsia="Times New Roman" w:hAnsi="Helvetica Neue" w:cs="Times New Roman"/>
                <w:color w:val="333333"/>
                <w:lang w:val="en-US"/>
              </w:rPr>
              <w:t>99.32</w:t>
            </w:r>
          </w:p>
        </w:tc>
      </w:tr>
    </w:tbl>
    <w:p w14:paraId="32822A6D" w14:textId="1DB1F7C4" w:rsidR="004831DF" w:rsidRPr="007C1C80" w:rsidRDefault="004831DF" w:rsidP="00342CCA">
      <w:pPr>
        <w:spacing w:line="240" w:lineRule="auto"/>
      </w:pPr>
    </w:p>
    <w:p w14:paraId="711BCCE0" w14:textId="77777777" w:rsidR="00922542" w:rsidRPr="007C1C80" w:rsidRDefault="00922542" w:rsidP="00922542">
      <w:pPr>
        <w:rPr>
          <w:b/>
          <w:bCs/>
        </w:rPr>
      </w:pPr>
      <w:r w:rsidRPr="007C1C80">
        <w:rPr>
          <w:b/>
          <w:bCs/>
        </w:rPr>
        <w:t xml:space="preserve">Table S1. Distributions of odds ratios, </w:t>
      </w:r>
      <w:proofErr w:type="spellStart"/>
      <w:r w:rsidRPr="007C1C80">
        <w:rPr>
          <w:b/>
          <w:bCs/>
        </w:rPr>
        <w:t>Nagelkerke</w:t>
      </w:r>
      <w:proofErr w:type="spellEnd"/>
      <w:r w:rsidRPr="007C1C80">
        <w:rPr>
          <w:b/>
          <w:bCs/>
        </w:rPr>
        <w:t xml:space="preserve"> R</w:t>
      </w:r>
      <w:r w:rsidRPr="007C1C80">
        <w:rPr>
          <w:b/>
          <w:bCs/>
          <w:vertAlign w:val="superscript"/>
        </w:rPr>
        <w:t>2</w:t>
      </w:r>
      <w:r w:rsidRPr="007C1C80">
        <w:rPr>
          <w:b/>
          <w:bCs/>
        </w:rPr>
        <w:t>, and I</w:t>
      </w:r>
      <w:r w:rsidRPr="007C1C80">
        <w:rPr>
          <w:b/>
          <w:bCs/>
          <w:vertAlign w:val="superscript"/>
        </w:rPr>
        <w:t>2</w:t>
      </w:r>
      <w:r w:rsidRPr="007C1C80">
        <w:rPr>
          <w:b/>
          <w:bCs/>
        </w:rPr>
        <w:t xml:space="preserve"> (heterogeneity) estimates for variables appearing in 1 country and at least 2 countries.</w:t>
      </w:r>
    </w:p>
    <w:p w14:paraId="3849333B" w14:textId="69512322" w:rsidR="004831DF" w:rsidRPr="007C1C80" w:rsidRDefault="004831DF" w:rsidP="005D7B4E">
      <w:pPr>
        <w:ind w:left="-810"/>
      </w:pPr>
    </w:p>
    <w:p w14:paraId="68BDC3CA" w14:textId="00F4D914" w:rsidR="00922542" w:rsidRPr="007C1C80" w:rsidRDefault="00922542" w:rsidP="005D7B4E">
      <w:pPr>
        <w:ind w:left="-810"/>
      </w:pPr>
    </w:p>
    <w:sectPr w:rsidR="00922542" w:rsidRPr="007C1C80" w:rsidSect="0092254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5B086" w14:textId="77777777" w:rsidR="007D7A19" w:rsidRDefault="007D7A19" w:rsidP="004B7F08">
      <w:pPr>
        <w:spacing w:line="240" w:lineRule="auto"/>
      </w:pPr>
      <w:r>
        <w:separator/>
      </w:r>
    </w:p>
  </w:endnote>
  <w:endnote w:type="continuationSeparator" w:id="0">
    <w:p w14:paraId="4D3AAE94" w14:textId="77777777" w:rsidR="007D7A19" w:rsidRDefault="007D7A19" w:rsidP="004B7F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BBDF3" w14:textId="77777777" w:rsidR="004B7F08" w:rsidRDefault="004B7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9635D" w14:textId="77777777" w:rsidR="004B7F08" w:rsidRDefault="004B7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CADC5" w14:textId="77777777" w:rsidR="004B7F08" w:rsidRDefault="004B7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FEA7D" w14:textId="77777777" w:rsidR="007D7A19" w:rsidRDefault="007D7A19" w:rsidP="004B7F08">
      <w:pPr>
        <w:spacing w:line="240" w:lineRule="auto"/>
      </w:pPr>
      <w:r>
        <w:separator/>
      </w:r>
    </w:p>
  </w:footnote>
  <w:footnote w:type="continuationSeparator" w:id="0">
    <w:p w14:paraId="25FC8CA6" w14:textId="77777777" w:rsidR="007D7A19" w:rsidRDefault="007D7A19" w:rsidP="004B7F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E7D42" w14:textId="77777777" w:rsidR="004B7F08" w:rsidRDefault="004B7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DEA45" w14:textId="77777777" w:rsidR="004B7F08" w:rsidRDefault="004B7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A16A8" w14:textId="77777777" w:rsidR="004B7F08" w:rsidRDefault="004B7F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P749D197S587P211"/>
    <w:docVar w:name="paperpile-doc-name" w:val="Supplementary Information.docx"/>
  </w:docVars>
  <w:rsids>
    <w:rsidRoot w:val="00516A4B"/>
    <w:rsid w:val="000B63C0"/>
    <w:rsid w:val="000E566D"/>
    <w:rsid w:val="00151547"/>
    <w:rsid w:val="00177EFA"/>
    <w:rsid w:val="001E0A11"/>
    <w:rsid w:val="00200598"/>
    <w:rsid w:val="00266704"/>
    <w:rsid w:val="00282256"/>
    <w:rsid w:val="002A1A48"/>
    <w:rsid w:val="002E5B2A"/>
    <w:rsid w:val="002F6462"/>
    <w:rsid w:val="0032663E"/>
    <w:rsid w:val="00342CCA"/>
    <w:rsid w:val="003444C1"/>
    <w:rsid w:val="0038136D"/>
    <w:rsid w:val="0039579D"/>
    <w:rsid w:val="00420701"/>
    <w:rsid w:val="0043730D"/>
    <w:rsid w:val="00454747"/>
    <w:rsid w:val="00456D5F"/>
    <w:rsid w:val="00457326"/>
    <w:rsid w:val="004831DF"/>
    <w:rsid w:val="00483B43"/>
    <w:rsid w:val="004B7F08"/>
    <w:rsid w:val="004D200B"/>
    <w:rsid w:val="00516A4B"/>
    <w:rsid w:val="005209A2"/>
    <w:rsid w:val="00545C40"/>
    <w:rsid w:val="00570FBC"/>
    <w:rsid w:val="005941E7"/>
    <w:rsid w:val="005956FD"/>
    <w:rsid w:val="005D7B4E"/>
    <w:rsid w:val="006116FB"/>
    <w:rsid w:val="00653D7D"/>
    <w:rsid w:val="00655C77"/>
    <w:rsid w:val="00667BCA"/>
    <w:rsid w:val="006B6B36"/>
    <w:rsid w:val="006C2F17"/>
    <w:rsid w:val="007069B1"/>
    <w:rsid w:val="00712DFD"/>
    <w:rsid w:val="00721A8E"/>
    <w:rsid w:val="007C1C80"/>
    <w:rsid w:val="007C26D3"/>
    <w:rsid w:val="007D7A19"/>
    <w:rsid w:val="0082495C"/>
    <w:rsid w:val="008316E2"/>
    <w:rsid w:val="00911ABB"/>
    <w:rsid w:val="00916317"/>
    <w:rsid w:val="009169CB"/>
    <w:rsid w:val="00922542"/>
    <w:rsid w:val="00924591"/>
    <w:rsid w:val="00933BE5"/>
    <w:rsid w:val="00986225"/>
    <w:rsid w:val="009F03DE"/>
    <w:rsid w:val="00AE341A"/>
    <w:rsid w:val="00B121DD"/>
    <w:rsid w:val="00B77777"/>
    <w:rsid w:val="00B916F4"/>
    <w:rsid w:val="00BA1C19"/>
    <w:rsid w:val="00BA2921"/>
    <w:rsid w:val="00BD64CE"/>
    <w:rsid w:val="00BE291C"/>
    <w:rsid w:val="00CE116B"/>
    <w:rsid w:val="00CE5EA9"/>
    <w:rsid w:val="00D02A38"/>
    <w:rsid w:val="00DC5684"/>
    <w:rsid w:val="00EC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6A5A"/>
  <w15:chartTrackingRefBased/>
  <w15:docId w15:val="{F32CD85D-1CC7-D94F-801A-E04B6ED4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4B"/>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516A4B"/>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456D5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A4B"/>
    <w:rPr>
      <w:rFonts w:ascii="Arial" w:eastAsia="Arial" w:hAnsi="Arial" w:cs="Arial"/>
      <w:sz w:val="40"/>
      <w:szCs w:val="40"/>
      <w:lang w:val="en"/>
    </w:rPr>
  </w:style>
  <w:style w:type="character" w:styleId="Hyperlink">
    <w:name w:val="Hyperlink"/>
    <w:basedOn w:val="DefaultParagraphFont"/>
    <w:uiPriority w:val="99"/>
    <w:unhideWhenUsed/>
    <w:rsid w:val="00516A4B"/>
    <w:rPr>
      <w:color w:val="0563C1" w:themeColor="hyperlink"/>
      <w:u w:val="single"/>
    </w:rPr>
  </w:style>
  <w:style w:type="character" w:customStyle="1" w:styleId="Heading2Char">
    <w:name w:val="Heading 2 Char"/>
    <w:basedOn w:val="DefaultParagraphFont"/>
    <w:link w:val="Heading2"/>
    <w:uiPriority w:val="9"/>
    <w:rsid w:val="00456D5F"/>
    <w:rPr>
      <w:rFonts w:asciiTheme="majorHAnsi" w:eastAsiaTheme="majorEastAsia" w:hAnsiTheme="majorHAnsi" w:cstheme="majorBidi"/>
      <w:color w:val="2F5496" w:themeColor="accent1" w:themeShade="BF"/>
      <w:sz w:val="26"/>
      <w:szCs w:val="26"/>
      <w:lang w:val="en"/>
    </w:rPr>
  </w:style>
  <w:style w:type="paragraph" w:styleId="Header">
    <w:name w:val="header"/>
    <w:basedOn w:val="Normal"/>
    <w:link w:val="HeaderChar"/>
    <w:uiPriority w:val="99"/>
    <w:unhideWhenUsed/>
    <w:rsid w:val="004B7F08"/>
    <w:pPr>
      <w:tabs>
        <w:tab w:val="center" w:pos="4680"/>
        <w:tab w:val="right" w:pos="9360"/>
      </w:tabs>
      <w:spacing w:line="240" w:lineRule="auto"/>
    </w:pPr>
  </w:style>
  <w:style w:type="character" w:customStyle="1" w:styleId="HeaderChar">
    <w:name w:val="Header Char"/>
    <w:basedOn w:val="DefaultParagraphFont"/>
    <w:link w:val="Header"/>
    <w:uiPriority w:val="99"/>
    <w:rsid w:val="004B7F08"/>
    <w:rPr>
      <w:rFonts w:ascii="Arial" w:eastAsia="Arial" w:hAnsi="Arial" w:cs="Arial"/>
      <w:sz w:val="22"/>
      <w:szCs w:val="22"/>
      <w:lang w:val="en"/>
    </w:rPr>
  </w:style>
  <w:style w:type="paragraph" w:styleId="Footer">
    <w:name w:val="footer"/>
    <w:basedOn w:val="Normal"/>
    <w:link w:val="FooterChar"/>
    <w:uiPriority w:val="99"/>
    <w:unhideWhenUsed/>
    <w:rsid w:val="004B7F08"/>
    <w:pPr>
      <w:tabs>
        <w:tab w:val="center" w:pos="4680"/>
        <w:tab w:val="right" w:pos="9360"/>
      </w:tabs>
      <w:spacing w:line="240" w:lineRule="auto"/>
    </w:pPr>
  </w:style>
  <w:style w:type="character" w:customStyle="1" w:styleId="FooterChar">
    <w:name w:val="Footer Char"/>
    <w:basedOn w:val="DefaultParagraphFont"/>
    <w:link w:val="Footer"/>
    <w:uiPriority w:val="99"/>
    <w:rsid w:val="004B7F08"/>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43484">
      <w:bodyDiv w:val="1"/>
      <w:marLeft w:val="0"/>
      <w:marRight w:val="0"/>
      <w:marTop w:val="0"/>
      <w:marBottom w:val="0"/>
      <w:divBdr>
        <w:top w:val="none" w:sz="0" w:space="0" w:color="auto"/>
        <w:left w:val="none" w:sz="0" w:space="0" w:color="auto"/>
        <w:bottom w:val="none" w:sz="0" w:space="0" w:color="auto"/>
        <w:right w:val="none" w:sz="0" w:space="0" w:color="auto"/>
      </w:divBdr>
    </w:div>
    <w:div w:id="687218534">
      <w:bodyDiv w:val="1"/>
      <w:marLeft w:val="0"/>
      <w:marRight w:val="0"/>
      <w:marTop w:val="0"/>
      <w:marBottom w:val="0"/>
      <w:divBdr>
        <w:top w:val="none" w:sz="0" w:space="0" w:color="auto"/>
        <w:left w:val="none" w:sz="0" w:space="0" w:color="auto"/>
        <w:bottom w:val="none" w:sz="0" w:space="0" w:color="auto"/>
        <w:right w:val="none" w:sz="0" w:space="0" w:color="auto"/>
      </w:divBdr>
    </w:div>
    <w:div w:id="1462923188">
      <w:bodyDiv w:val="1"/>
      <w:marLeft w:val="0"/>
      <w:marRight w:val="0"/>
      <w:marTop w:val="0"/>
      <w:marBottom w:val="0"/>
      <w:divBdr>
        <w:top w:val="none" w:sz="0" w:space="0" w:color="auto"/>
        <w:left w:val="none" w:sz="0" w:space="0" w:color="auto"/>
        <w:bottom w:val="none" w:sz="0" w:space="0" w:color="auto"/>
        <w:right w:val="none" w:sz="0" w:space="0" w:color="auto"/>
      </w:divBdr>
    </w:div>
    <w:div w:id="1577394690">
      <w:bodyDiv w:val="1"/>
      <w:marLeft w:val="0"/>
      <w:marRight w:val="0"/>
      <w:marTop w:val="0"/>
      <w:marBottom w:val="0"/>
      <w:divBdr>
        <w:top w:val="none" w:sz="0" w:space="0" w:color="auto"/>
        <w:left w:val="none" w:sz="0" w:space="0" w:color="auto"/>
        <w:bottom w:val="none" w:sz="0" w:space="0" w:color="auto"/>
        <w:right w:val="none" w:sz="0" w:space="0" w:color="auto"/>
      </w:divBdr>
    </w:div>
    <w:div w:id="195339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donasaur/dhs-processing"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github.com/ekhco/dhs_hiv" TargetMode="External"/><Relationship Id="rId12" Type="http://schemas.openxmlformats.org/officeDocument/2006/relationships/hyperlink" Target="https://www.chiragjpgroup.org/dhs_hiv_meta/"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hsprogram.com" TargetMode="External"/><Relationship Id="rId11" Type="http://schemas.openxmlformats.org/officeDocument/2006/relationships/hyperlink" Target="https://github.com/chiragjp/dhs_hiv_meta"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bitbucket.org/kajalc/dhs_hiv/src/master/"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github.com/donasaur/hiv-aws"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3386</Words>
  <Characters>19304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Chirag</dc:creator>
  <cp:keywords/>
  <dc:description/>
  <cp:lastModifiedBy>Patel, Chirag</cp:lastModifiedBy>
  <cp:revision>70</cp:revision>
  <dcterms:created xsi:type="dcterms:W3CDTF">2020-11-04T21:43:00Z</dcterms:created>
  <dcterms:modified xsi:type="dcterms:W3CDTF">2020-12-15T05:37:00Z</dcterms:modified>
</cp:coreProperties>
</file>