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08F" w:rsidRPr="006B575B" w:rsidRDefault="0090308F" w:rsidP="00AA1F96">
      <w:pPr>
        <w:spacing w:after="0" w:line="240" w:lineRule="auto"/>
        <w:jc w:val="center"/>
        <w:rPr>
          <w:rFonts w:cstheme="minorHAnsi"/>
          <w:b/>
          <w:sz w:val="36"/>
          <w:szCs w:val="36"/>
        </w:rPr>
      </w:pPr>
      <w:r w:rsidRPr="006B575B">
        <w:rPr>
          <w:rFonts w:cstheme="minorHAnsi"/>
          <w:b/>
          <w:sz w:val="36"/>
          <w:szCs w:val="36"/>
        </w:rPr>
        <w:t xml:space="preserve">Supplementary Information </w:t>
      </w:r>
    </w:p>
    <w:p w:rsidR="0090308F" w:rsidRPr="006B575B" w:rsidRDefault="0090308F" w:rsidP="00AA1F96">
      <w:pPr>
        <w:spacing w:after="0" w:line="240" w:lineRule="auto"/>
        <w:jc w:val="center"/>
        <w:rPr>
          <w:rFonts w:cstheme="minorHAnsi"/>
          <w:b/>
          <w:sz w:val="36"/>
          <w:szCs w:val="36"/>
        </w:rPr>
      </w:pPr>
    </w:p>
    <w:p w:rsidR="009B78FB" w:rsidRPr="006B575B" w:rsidRDefault="009B78FB" w:rsidP="009B78FB">
      <w:pPr>
        <w:spacing w:after="0" w:line="240" w:lineRule="auto"/>
        <w:jc w:val="center"/>
        <w:rPr>
          <w:rFonts w:cstheme="minorHAnsi"/>
          <w:b/>
          <w:sz w:val="36"/>
          <w:szCs w:val="36"/>
        </w:rPr>
      </w:pPr>
      <w:r w:rsidRPr="006B575B">
        <w:rPr>
          <w:rFonts w:cstheme="minorHAnsi"/>
          <w:b/>
          <w:sz w:val="36"/>
          <w:szCs w:val="36"/>
        </w:rPr>
        <w:t>On reduced consumption of fossil fuels in 2020 and its consequences in global environment and exergy demand</w:t>
      </w:r>
    </w:p>
    <w:p w:rsidR="009B78FB" w:rsidRPr="006B575B" w:rsidRDefault="009B78FB" w:rsidP="009B78FB">
      <w:pPr>
        <w:spacing w:after="0" w:line="240" w:lineRule="auto"/>
        <w:jc w:val="center"/>
        <w:rPr>
          <w:rFonts w:cstheme="minorHAnsi"/>
          <w:b/>
          <w:sz w:val="24"/>
          <w:szCs w:val="24"/>
        </w:rPr>
      </w:pPr>
    </w:p>
    <w:p w:rsidR="009B78FB" w:rsidRPr="006B575B" w:rsidRDefault="009B78FB" w:rsidP="009B78FB">
      <w:pPr>
        <w:spacing w:after="0" w:line="240" w:lineRule="auto"/>
        <w:jc w:val="center"/>
        <w:rPr>
          <w:rFonts w:cstheme="minorHAnsi"/>
          <w:b/>
          <w:sz w:val="24"/>
          <w:szCs w:val="24"/>
          <w:vertAlign w:val="superscript"/>
        </w:rPr>
      </w:pPr>
      <w:r w:rsidRPr="006B575B">
        <w:rPr>
          <w:rFonts w:cstheme="minorHAnsi"/>
          <w:b/>
          <w:sz w:val="24"/>
          <w:szCs w:val="24"/>
        </w:rPr>
        <w:t>A. Rashedi</w:t>
      </w:r>
      <w:r w:rsidRPr="006B575B">
        <w:rPr>
          <w:rFonts w:cstheme="minorHAnsi"/>
          <w:b/>
          <w:sz w:val="24"/>
          <w:szCs w:val="24"/>
          <w:vertAlign w:val="superscript"/>
        </w:rPr>
        <w:t>1,2*</w:t>
      </w:r>
      <w:r w:rsidRPr="006B575B">
        <w:rPr>
          <w:rFonts w:cstheme="minorHAnsi"/>
          <w:b/>
          <w:sz w:val="24"/>
          <w:szCs w:val="24"/>
        </w:rPr>
        <w:t xml:space="preserve">, </w:t>
      </w:r>
      <w:proofErr w:type="spellStart"/>
      <w:r w:rsidRPr="006B575B">
        <w:rPr>
          <w:rFonts w:cstheme="minorHAnsi"/>
          <w:b/>
          <w:sz w:val="24"/>
          <w:szCs w:val="24"/>
        </w:rPr>
        <w:t>Taslima</w:t>
      </w:r>
      <w:proofErr w:type="spellEnd"/>
      <w:r w:rsidRPr="006B575B">
        <w:rPr>
          <w:rFonts w:cstheme="minorHAnsi"/>
          <w:b/>
          <w:sz w:val="24"/>
          <w:szCs w:val="24"/>
        </w:rPr>
        <w:t xml:space="preserve"> Khanam</w:t>
      </w:r>
      <w:r w:rsidRPr="006B575B">
        <w:rPr>
          <w:rFonts w:cstheme="minorHAnsi"/>
          <w:b/>
          <w:sz w:val="24"/>
          <w:szCs w:val="24"/>
          <w:vertAlign w:val="superscript"/>
        </w:rPr>
        <w:t>1</w:t>
      </w:r>
      <w:r w:rsidRPr="006B575B">
        <w:rPr>
          <w:rFonts w:cstheme="minorHAnsi"/>
          <w:b/>
          <w:sz w:val="24"/>
          <w:szCs w:val="24"/>
        </w:rPr>
        <w:t xml:space="preserve">, </w:t>
      </w:r>
      <w:proofErr w:type="spellStart"/>
      <w:r w:rsidRPr="006B575B">
        <w:rPr>
          <w:rFonts w:cstheme="minorHAnsi"/>
          <w:b/>
          <w:sz w:val="24"/>
          <w:szCs w:val="24"/>
        </w:rPr>
        <w:t>Mirjam</w:t>
      </w:r>
      <w:proofErr w:type="spellEnd"/>
      <w:r w:rsidRPr="006B575B">
        <w:rPr>
          <w:rFonts w:cstheme="minorHAnsi"/>
          <w:b/>
          <w:sz w:val="24"/>
          <w:szCs w:val="24"/>
        </w:rPr>
        <w:t xml:space="preserve"> Jonkman</w:t>
      </w:r>
      <w:r w:rsidRPr="006B575B">
        <w:rPr>
          <w:rFonts w:cstheme="minorHAnsi"/>
          <w:b/>
          <w:sz w:val="24"/>
          <w:szCs w:val="24"/>
          <w:vertAlign w:val="superscript"/>
        </w:rPr>
        <w:t>1</w:t>
      </w:r>
    </w:p>
    <w:p w:rsidR="002C4B08" w:rsidRPr="006B575B" w:rsidRDefault="002C4B08" w:rsidP="002C4B08">
      <w:pPr>
        <w:autoSpaceDE w:val="0"/>
        <w:autoSpaceDN w:val="0"/>
        <w:adjustRightInd w:val="0"/>
        <w:spacing w:after="0" w:line="240" w:lineRule="auto"/>
        <w:jc w:val="center"/>
        <w:rPr>
          <w:rFonts w:cstheme="minorHAnsi"/>
          <w:bCs/>
          <w:sz w:val="24"/>
          <w:szCs w:val="24"/>
        </w:rPr>
      </w:pPr>
      <w:r w:rsidRPr="006B575B">
        <w:rPr>
          <w:rFonts w:cstheme="minorHAnsi"/>
          <w:bCs/>
          <w:sz w:val="24"/>
          <w:szCs w:val="24"/>
          <w:vertAlign w:val="superscript"/>
        </w:rPr>
        <w:t>1</w:t>
      </w:r>
      <w:r w:rsidRPr="006B575B">
        <w:rPr>
          <w:rFonts w:cstheme="minorHAnsi"/>
          <w:bCs/>
          <w:sz w:val="24"/>
          <w:szCs w:val="24"/>
        </w:rPr>
        <w:t xml:space="preserve">College of Engineering, IT &amp; Environment, Charles Darwin University, </w:t>
      </w:r>
      <w:proofErr w:type="spellStart"/>
      <w:r w:rsidRPr="006B575B">
        <w:rPr>
          <w:rFonts w:cstheme="minorHAnsi"/>
          <w:bCs/>
          <w:sz w:val="24"/>
          <w:szCs w:val="24"/>
        </w:rPr>
        <w:t>Ellengowan</w:t>
      </w:r>
      <w:proofErr w:type="spellEnd"/>
      <w:r w:rsidRPr="006B575B">
        <w:rPr>
          <w:rFonts w:cstheme="minorHAnsi"/>
          <w:bCs/>
          <w:sz w:val="24"/>
          <w:szCs w:val="24"/>
        </w:rPr>
        <w:t xml:space="preserve"> Drive, Casuarina, Northern Territory 0810, Australia</w:t>
      </w:r>
    </w:p>
    <w:p w:rsidR="002C4B08" w:rsidRPr="006B575B" w:rsidRDefault="002C4B08" w:rsidP="002C4B08">
      <w:pPr>
        <w:autoSpaceDE w:val="0"/>
        <w:autoSpaceDN w:val="0"/>
        <w:adjustRightInd w:val="0"/>
        <w:spacing w:after="0" w:line="240" w:lineRule="auto"/>
        <w:jc w:val="center"/>
        <w:rPr>
          <w:rFonts w:cstheme="minorHAnsi"/>
          <w:bCs/>
          <w:sz w:val="24"/>
          <w:szCs w:val="24"/>
        </w:rPr>
      </w:pPr>
      <w:r w:rsidRPr="006B575B">
        <w:rPr>
          <w:rFonts w:cstheme="minorHAnsi"/>
          <w:bCs/>
          <w:sz w:val="24"/>
          <w:szCs w:val="24"/>
          <w:vertAlign w:val="superscript"/>
        </w:rPr>
        <w:t>2</w:t>
      </w:r>
      <w:r w:rsidRPr="006B575B">
        <w:rPr>
          <w:rFonts w:cstheme="minorHAnsi"/>
          <w:bCs/>
          <w:sz w:val="24"/>
          <w:szCs w:val="24"/>
        </w:rPr>
        <w:t>Faculty of Business, Economics &amp; Law, The University of Queensland, St Lucia</w:t>
      </w:r>
      <w:r w:rsidR="00995ACB" w:rsidRPr="006B575B">
        <w:rPr>
          <w:rFonts w:cstheme="minorHAnsi"/>
          <w:bCs/>
          <w:sz w:val="24"/>
          <w:szCs w:val="24"/>
        </w:rPr>
        <w:t>,</w:t>
      </w:r>
      <w:r w:rsidRPr="006B575B">
        <w:rPr>
          <w:rFonts w:cstheme="minorHAnsi"/>
          <w:bCs/>
          <w:sz w:val="24"/>
          <w:szCs w:val="24"/>
        </w:rPr>
        <w:t xml:space="preserve"> Queensland 4067, Australia </w:t>
      </w:r>
    </w:p>
    <w:p w:rsidR="002C4B08" w:rsidRPr="006B575B" w:rsidRDefault="002C4B08" w:rsidP="002C4B08">
      <w:pPr>
        <w:spacing w:after="0" w:line="240" w:lineRule="auto"/>
        <w:jc w:val="center"/>
        <w:rPr>
          <w:rFonts w:eastAsia="Times New Roman" w:cstheme="minorHAnsi"/>
          <w:sz w:val="24"/>
          <w:szCs w:val="24"/>
        </w:rPr>
      </w:pPr>
    </w:p>
    <w:p w:rsidR="002C4B08" w:rsidRPr="006B575B" w:rsidRDefault="002C4B08" w:rsidP="002C4B08">
      <w:pPr>
        <w:autoSpaceDE w:val="0"/>
        <w:autoSpaceDN w:val="0"/>
        <w:adjustRightInd w:val="0"/>
        <w:spacing w:after="0" w:line="240" w:lineRule="auto"/>
        <w:jc w:val="center"/>
        <w:rPr>
          <w:rFonts w:cstheme="minorHAnsi"/>
          <w:bCs/>
          <w:sz w:val="24"/>
          <w:szCs w:val="24"/>
        </w:rPr>
      </w:pPr>
      <w:r w:rsidRPr="006B575B">
        <w:rPr>
          <w:rFonts w:cstheme="minorHAnsi"/>
          <w:bCs/>
          <w:sz w:val="24"/>
          <w:szCs w:val="24"/>
          <w:vertAlign w:val="superscript"/>
        </w:rPr>
        <w:t>*</w:t>
      </w:r>
      <w:r w:rsidRPr="006B575B">
        <w:rPr>
          <w:rFonts w:cstheme="minorHAnsi"/>
          <w:bCs/>
          <w:sz w:val="24"/>
          <w:szCs w:val="24"/>
        </w:rPr>
        <w:t>Correspondence to</w:t>
      </w:r>
      <w:r w:rsidRPr="006B575B">
        <w:rPr>
          <w:rFonts w:cstheme="minorHAnsi"/>
          <w:bCs/>
          <w:color w:val="000000" w:themeColor="text1"/>
          <w:sz w:val="24"/>
          <w:szCs w:val="24"/>
        </w:rPr>
        <w:t xml:space="preserve">: </w:t>
      </w:r>
      <w:hyperlink r:id="rId6" w:history="1">
        <w:r w:rsidRPr="006B575B">
          <w:rPr>
            <w:rStyle w:val="Hyperlink"/>
            <w:rFonts w:cstheme="minorHAnsi"/>
            <w:bCs/>
            <w:color w:val="000000" w:themeColor="text1"/>
            <w:sz w:val="24"/>
            <w:szCs w:val="24"/>
            <w:u w:val="none"/>
          </w:rPr>
          <w:t>mabrur.rashedi@cdu.edu.au</w:t>
        </w:r>
      </w:hyperlink>
      <w:r w:rsidR="004D260D" w:rsidRPr="006B575B">
        <w:rPr>
          <w:rStyle w:val="Hyperlink"/>
          <w:rFonts w:cstheme="minorHAnsi"/>
          <w:bCs/>
          <w:color w:val="000000" w:themeColor="text1"/>
          <w:sz w:val="24"/>
          <w:szCs w:val="24"/>
          <w:u w:val="none"/>
        </w:rPr>
        <w:t xml:space="preserve"> (A. Rashedi)</w:t>
      </w:r>
    </w:p>
    <w:p w:rsidR="0090308F" w:rsidRPr="006B575B" w:rsidRDefault="0090308F" w:rsidP="00AA1F96">
      <w:pPr>
        <w:spacing w:after="0" w:line="480" w:lineRule="auto"/>
        <w:jc w:val="center"/>
        <w:rPr>
          <w:rFonts w:cstheme="minorHAnsi"/>
          <w:b/>
          <w:sz w:val="24"/>
          <w:szCs w:val="24"/>
        </w:rPr>
      </w:pPr>
    </w:p>
    <w:p w:rsidR="006973FB" w:rsidRPr="006B575B" w:rsidRDefault="00AD019A" w:rsidP="00AA1F96">
      <w:pPr>
        <w:spacing w:after="0" w:line="480" w:lineRule="auto"/>
        <w:rPr>
          <w:rFonts w:cstheme="minorHAnsi"/>
          <w:b/>
          <w:sz w:val="24"/>
          <w:szCs w:val="24"/>
        </w:rPr>
      </w:pPr>
      <w:r w:rsidRPr="006B575B">
        <w:rPr>
          <w:rFonts w:cstheme="minorHAnsi"/>
          <w:b/>
          <w:sz w:val="24"/>
          <w:szCs w:val="24"/>
        </w:rPr>
        <w:t xml:space="preserve">S1. </w:t>
      </w:r>
      <w:r w:rsidR="00357780" w:rsidRPr="006B575B">
        <w:rPr>
          <w:rFonts w:cstheme="minorHAnsi"/>
          <w:b/>
          <w:sz w:val="24"/>
          <w:szCs w:val="24"/>
        </w:rPr>
        <w:t>Global consumption of petroleum and other liquids</w:t>
      </w:r>
      <w:r w:rsidR="00AB72F4" w:rsidRPr="006B575B">
        <w:rPr>
          <w:rFonts w:cstheme="minorHAnsi"/>
          <w:b/>
          <w:sz w:val="24"/>
          <w:szCs w:val="24"/>
        </w:rPr>
        <w:t>:</w:t>
      </w:r>
    </w:p>
    <w:p w:rsidR="00357780" w:rsidRPr="006B575B" w:rsidRDefault="00357780" w:rsidP="00AA1F96">
      <w:pPr>
        <w:spacing w:after="0" w:line="480" w:lineRule="auto"/>
        <w:rPr>
          <w:rFonts w:cstheme="minorHAnsi"/>
          <w:sz w:val="24"/>
          <w:szCs w:val="24"/>
        </w:rPr>
      </w:pPr>
      <w:r w:rsidRPr="006B575B">
        <w:rPr>
          <w:rFonts w:cstheme="minorHAnsi"/>
          <w:sz w:val="24"/>
          <w:szCs w:val="24"/>
        </w:rPr>
        <w:t>The consumption data of petroleum and other liquids in USA in both the year 2019 and 202</w:t>
      </w:r>
      <w:r w:rsidR="005A55FF" w:rsidRPr="006B575B">
        <w:rPr>
          <w:rFonts w:cstheme="minorHAnsi"/>
          <w:sz w:val="24"/>
          <w:szCs w:val="24"/>
        </w:rPr>
        <w:t>0 have been sourced from ‘Short-Term Energy Outlook</w:t>
      </w:r>
      <w:r w:rsidR="00D96BE3" w:rsidRPr="006B575B">
        <w:rPr>
          <w:rFonts w:cstheme="minorHAnsi"/>
          <w:sz w:val="24"/>
          <w:szCs w:val="24"/>
        </w:rPr>
        <w:t xml:space="preserve"> Aug</w:t>
      </w:r>
      <w:r w:rsidRPr="006B575B">
        <w:rPr>
          <w:rFonts w:cstheme="minorHAnsi"/>
          <w:sz w:val="24"/>
          <w:szCs w:val="24"/>
        </w:rPr>
        <w:t xml:space="preserve"> 2020’</w:t>
      </w:r>
      <w:r w:rsidR="005A55FF" w:rsidRPr="006B575B">
        <w:rPr>
          <w:rFonts w:cstheme="minorHAnsi"/>
          <w:sz w:val="24"/>
          <w:szCs w:val="24"/>
        </w:rPr>
        <w:t xml:space="preserve"> report</w:t>
      </w:r>
      <w:r w:rsidRPr="006B575B">
        <w:rPr>
          <w:rFonts w:cstheme="minorHAnsi"/>
          <w:sz w:val="24"/>
          <w:szCs w:val="24"/>
        </w:rPr>
        <w:t>, as published by Energy Information Administration, USA</w:t>
      </w:r>
      <w:r w:rsidR="00086150" w:rsidRPr="006B575B">
        <w:rPr>
          <w:rFonts w:cstheme="minorHAnsi"/>
          <w:sz w:val="24"/>
          <w:szCs w:val="24"/>
        </w:rPr>
        <w:t xml:space="preserve"> [1]</w:t>
      </w:r>
      <w:r w:rsidRPr="006B575B">
        <w:rPr>
          <w:rFonts w:cstheme="minorHAnsi"/>
          <w:sz w:val="24"/>
          <w:szCs w:val="24"/>
        </w:rPr>
        <w:t xml:space="preserve">. Percentage </w:t>
      </w:r>
      <w:r w:rsidR="005A55FF" w:rsidRPr="006B575B">
        <w:rPr>
          <w:rFonts w:cstheme="minorHAnsi"/>
          <w:sz w:val="24"/>
          <w:szCs w:val="24"/>
        </w:rPr>
        <w:t>share</w:t>
      </w:r>
      <w:r w:rsidRPr="006B575B">
        <w:rPr>
          <w:rFonts w:cstheme="minorHAnsi"/>
          <w:sz w:val="24"/>
          <w:szCs w:val="24"/>
        </w:rPr>
        <w:t xml:space="preserve"> of </w:t>
      </w:r>
      <w:r w:rsidR="005A55FF" w:rsidRPr="006B575B">
        <w:rPr>
          <w:rFonts w:cstheme="minorHAnsi"/>
          <w:sz w:val="24"/>
          <w:szCs w:val="24"/>
        </w:rPr>
        <w:t xml:space="preserve">consumption for </w:t>
      </w:r>
      <w:r w:rsidRPr="006B575B">
        <w:rPr>
          <w:rFonts w:cstheme="minorHAnsi"/>
          <w:sz w:val="24"/>
          <w:szCs w:val="24"/>
        </w:rPr>
        <w:t xml:space="preserve">individual oil category has been calculated </w:t>
      </w:r>
      <w:r w:rsidR="00E71CE8" w:rsidRPr="006B575B">
        <w:rPr>
          <w:rFonts w:cstheme="minorHAnsi"/>
          <w:sz w:val="24"/>
          <w:szCs w:val="24"/>
        </w:rPr>
        <w:t>based on the above data</w:t>
      </w:r>
      <w:r w:rsidRPr="006B575B">
        <w:rPr>
          <w:rFonts w:cstheme="minorHAnsi"/>
          <w:sz w:val="24"/>
          <w:szCs w:val="24"/>
        </w:rPr>
        <w:t xml:space="preserve">. This percentage consumption data has been assumed to be same in both US and global case study. </w:t>
      </w:r>
      <w:r w:rsidR="00E71CE8" w:rsidRPr="006B575B">
        <w:rPr>
          <w:rFonts w:cstheme="minorHAnsi"/>
          <w:sz w:val="24"/>
          <w:szCs w:val="24"/>
        </w:rPr>
        <w:t>Similarly, g</w:t>
      </w:r>
      <w:r w:rsidRPr="006B575B">
        <w:rPr>
          <w:rFonts w:cstheme="minorHAnsi"/>
          <w:sz w:val="24"/>
          <w:szCs w:val="24"/>
        </w:rPr>
        <w:t xml:space="preserve">lobal total consumption data of petroleum and other liquids in both 2019 and 2020 have been sourced from </w:t>
      </w:r>
      <w:r w:rsidR="005A55FF" w:rsidRPr="006B575B">
        <w:rPr>
          <w:rFonts w:cstheme="minorHAnsi"/>
          <w:sz w:val="24"/>
          <w:szCs w:val="24"/>
        </w:rPr>
        <w:t>‘Short-Term Energy Outlook</w:t>
      </w:r>
      <w:r w:rsidR="00D96BE3" w:rsidRPr="006B575B">
        <w:rPr>
          <w:rFonts w:cstheme="minorHAnsi"/>
          <w:sz w:val="24"/>
          <w:szCs w:val="24"/>
        </w:rPr>
        <w:t xml:space="preserve"> Aug</w:t>
      </w:r>
      <w:r w:rsidR="005A55FF" w:rsidRPr="006B575B">
        <w:rPr>
          <w:rFonts w:cstheme="minorHAnsi"/>
          <w:sz w:val="24"/>
          <w:szCs w:val="24"/>
        </w:rPr>
        <w:t xml:space="preserve"> 2020’ </w:t>
      </w:r>
      <w:r w:rsidR="00086150" w:rsidRPr="006B575B">
        <w:rPr>
          <w:rFonts w:cstheme="minorHAnsi"/>
          <w:sz w:val="24"/>
          <w:szCs w:val="24"/>
        </w:rPr>
        <w:t>[1]</w:t>
      </w:r>
      <w:r w:rsidRPr="006B575B">
        <w:rPr>
          <w:rFonts w:cstheme="minorHAnsi"/>
          <w:sz w:val="24"/>
          <w:szCs w:val="24"/>
        </w:rPr>
        <w:t xml:space="preserve">. Accordingly, the global consumption data of each individual </w:t>
      </w:r>
      <w:r w:rsidR="005A55FF" w:rsidRPr="006B575B">
        <w:rPr>
          <w:rFonts w:cstheme="minorHAnsi"/>
          <w:sz w:val="24"/>
          <w:szCs w:val="24"/>
        </w:rPr>
        <w:t>petroleum product</w:t>
      </w:r>
      <w:r w:rsidRPr="006B575B">
        <w:rPr>
          <w:rFonts w:cstheme="minorHAnsi"/>
          <w:sz w:val="24"/>
          <w:szCs w:val="24"/>
        </w:rPr>
        <w:t xml:space="preserve"> has been quantified. </w:t>
      </w:r>
      <w:r w:rsidR="00AB72F4" w:rsidRPr="006B575B">
        <w:rPr>
          <w:rFonts w:cstheme="minorHAnsi"/>
          <w:sz w:val="24"/>
          <w:szCs w:val="24"/>
        </w:rPr>
        <w:t xml:space="preserve">Details of the US and world level consumption data of petroleum and other liquids for the year 2019 and 2020 have been presented in </w:t>
      </w:r>
      <w:r w:rsidR="005A55FF" w:rsidRPr="006B575B">
        <w:rPr>
          <w:rFonts w:cstheme="minorHAnsi"/>
          <w:sz w:val="24"/>
          <w:szCs w:val="24"/>
        </w:rPr>
        <w:t xml:space="preserve">Supplementary </w:t>
      </w:r>
      <w:r w:rsidR="00AB72F4" w:rsidRPr="006B575B">
        <w:rPr>
          <w:rFonts w:cstheme="minorHAnsi"/>
          <w:sz w:val="24"/>
          <w:szCs w:val="24"/>
        </w:rPr>
        <w:t>Tables 1-4.</w:t>
      </w:r>
    </w:p>
    <w:p w:rsidR="00AA1F96" w:rsidRPr="006B575B" w:rsidRDefault="00AA1F96" w:rsidP="00AA1F96">
      <w:pPr>
        <w:spacing w:after="0" w:line="480" w:lineRule="auto"/>
        <w:rPr>
          <w:rFonts w:cstheme="minorHAnsi"/>
          <w:sz w:val="24"/>
          <w:szCs w:val="24"/>
        </w:rPr>
      </w:pPr>
    </w:p>
    <w:p w:rsidR="00357780" w:rsidRPr="006B575B" w:rsidRDefault="00357780" w:rsidP="00AA1F96">
      <w:pPr>
        <w:spacing w:after="0" w:line="480" w:lineRule="auto"/>
        <w:rPr>
          <w:rFonts w:cstheme="minorHAnsi"/>
          <w:b/>
          <w:sz w:val="24"/>
          <w:szCs w:val="24"/>
        </w:rPr>
      </w:pPr>
    </w:p>
    <w:p w:rsidR="00E71CE8" w:rsidRPr="006B575B" w:rsidRDefault="00E71CE8" w:rsidP="00AA1F96">
      <w:pPr>
        <w:spacing w:after="0" w:line="480" w:lineRule="auto"/>
        <w:rPr>
          <w:rFonts w:cstheme="minorHAnsi"/>
          <w:b/>
          <w:sz w:val="24"/>
          <w:szCs w:val="24"/>
        </w:rPr>
      </w:pPr>
    </w:p>
    <w:p w:rsidR="00D96BE3" w:rsidRPr="006B575B" w:rsidRDefault="00D96BE3" w:rsidP="00AA1F96">
      <w:pPr>
        <w:spacing w:after="0" w:line="480" w:lineRule="auto"/>
        <w:rPr>
          <w:rFonts w:cstheme="minorHAnsi"/>
          <w:b/>
          <w:sz w:val="24"/>
          <w:szCs w:val="24"/>
        </w:rPr>
      </w:pPr>
    </w:p>
    <w:p w:rsidR="00D96BE3" w:rsidRPr="006B575B" w:rsidRDefault="00D96BE3" w:rsidP="00AA1F96">
      <w:pPr>
        <w:spacing w:after="0" w:line="480" w:lineRule="auto"/>
        <w:rPr>
          <w:rFonts w:cstheme="minorHAnsi"/>
          <w:b/>
          <w:sz w:val="24"/>
          <w:szCs w:val="24"/>
        </w:rPr>
      </w:pPr>
    </w:p>
    <w:p w:rsidR="001635FA" w:rsidRPr="006B575B" w:rsidRDefault="00357780" w:rsidP="00AA1F96">
      <w:pPr>
        <w:spacing w:after="0" w:line="480" w:lineRule="auto"/>
        <w:jc w:val="center"/>
        <w:rPr>
          <w:rFonts w:cstheme="minorHAnsi"/>
          <w:b/>
          <w:sz w:val="24"/>
          <w:szCs w:val="24"/>
        </w:rPr>
      </w:pPr>
      <w:r w:rsidRPr="006B575B">
        <w:rPr>
          <w:rFonts w:cstheme="minorHAnsi"/>
          <w:b/>
          <w:sz w:val="24"/>
          <w:szCs w:val="24"/>
        </w:rPr>
        <w:lastRenderedPageBreak/>
        <w:t xml:space="preserve">Supplementary </w:t>
      </w:r>
      <w:r w:rsidR="00AB72F4" w:rsidRPr="006B575B">
        <w:rPr>
          <w:rFonts w:cstheme="minorHAnsi"/>
          <w:b/>
          <w:sz w:val="24"/>
          <w:szCs w:val="24"/>
        </w:rPr>
        <w:t>Table</w:t>
      </w:r>
      <w:r w:rsidR="001635FA" w:rsidRPr="006B575B">
        <w:rPr>
          <w:rFonts w:cstheme="minorHAnsi"/>
          <w:b/>
          <w:sz w:val="24"/>
          <w:szCs w:val="24"/>
        </w:rPr>
        <w:t xml:space="preserve"> 1. Consumption of petroleum and other liquids in USA in 2019</w:t>
      </w:r>
      <w:r w:rsidR="00352884" w:rsidRPr="006B575B">
        <w:rPr>
          <w:rFonts w:cstheme="minorHAnsi"/>
          <w:b/>
          <w:sz w:val="24"/>
          <w:szCs w:val="24"/>
        </w:rPr>
        <w:t xml:space="preserve"> [1]</w:t>
      </w:r>
    </w:p>
    <w:tbl>
      <w:tblPr>
        <w:tblW w:w="8505" w:type="dxa"/>
        <w:jc w:val="center"/>
        <w:tblBorders>
          <w:top w:val="single" w:sz="4" w:space="0" w:color="auto"/>
          <w:bottom w:val="single" w:sz="4" w:space="0" w:color="auto"/>
        </w:tblBorders>
        <w:tblLayout w:type="fixed"/>
        <w:tblLook w:val="0000" w:firstRow="0" w:lastRow="0" w:firstColumn="0" w:lastColumn="0" w:noHBand="0" w:noVBand="0"/>
      </w:tblPr>
      <w:tblGrid>
        <w:gridCol w:w="2041"/>
        <w:gridCol w:w="2040"/>
        <w:gridCol w:w="2257"/>
        <w:gridCol w:w="2167"/>
      </w:tblGrid>
      <w:tr w:rsidR="0064227E" w:rsidRPr="006B575B" w:rsidTr="00814E92">
        <w:trPr>
          <w:trHeight w:val="860"/>
          <w:jc w:val="center"/>
        </w:trPr>
        <w:tc>
          <w:tcPr>
            <w:tcW w:w="2268" w:type="dxa"/>
            <w:tcBorders>
              <w:top w:val="single" w:sz="4" w:space="0" w:color="auto"/>
              <w:bottom w:val="single" w:sz="4" w:space="0" w:color="auto"/>
            </w:tcBorders>
          </w:tcPr>
          <w:p w:rsidR="0090308F" w:rsidRPr="006B575B" w:rsidRDefault="0090308F" w:rsidP="00AA1F96">
            <w:pPr>
              <w:autoSpaceDE w:val="0"/>
              <w:autoSpaceDN w:val="0"/>
              <w:adjustRightInd w:val="0"/>
              <w:spacing w:after="0" w:line="480" w:lineRule="auto"/>
              <w:jc w:val="center"/>
              <w:rPr>
                <w:rFonts w:cstheme="minorHAnsi"/>
                <w:b/>
                <w:bCs/>
                <w:color w:val="000000"/>
                <w:sz w:val="24"/>
                <w:szCs w:val="24"/>
              </w:rPr>
            </w:pPr>
          </w:p>
        </w:tc>
        <w:tc>
          <w:tcPr>
            <w:tcW w:w="2268" w:type="dxa"/>
            <w:tcBorders>
              <w:top w:val="single" w:sz="4" w:space="0" w:color="auto"/>
              <w:bottom w:val="single" w:sz="4" w:space="0" w:color="auto"/>
            </w:tcBorders>
          </w:tcPr>
          <w:p w:rsidR="0090308F" w:rsidRPr="006B575B" w:rsidRDefault="0090308F"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per day on average in 2019</w:t>
            </w:r>
          </w:p>
        </w:tc>
        <w:tc>
          <w:tcPr>
            <w:tcW w:w="2512" w:type="dxa"/>
            <w:tcBorders>
              <w:top w:val="single" w:sz="4" w:space="0" w:color="auto"/>
              <w:bottom w:val="single" w:sz="4" w:space="0" w:color="auto"/>
            </w:tcBorders>
          </w:tcPr>
          <w:p w:rsidR="0090308F" w:rsidRPr="006B575B" w:rsidRDefault="0090308F"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in 2019</w:t>
            </w:r>
          </w:p>
        </w:tc>
        <w:tc>
          <w:tcPr>
            <w:tcW w:w="2411" w:type="dxa"/>
            <w:tcBorders>
              <w:top w:val="single" w:sz="4" w:space="0" w:color="auto"/>
              <w:bottom w:val="single" w:sz="4" w:space="0" w:color="auto"/>
            </w:tcBorders>
          </w:tcPr>
          <w:p w:rsidR="0090308F" w:rsidRPr="006B575B" w:rsidRDefault="0090308F"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Percentage of individual oil in 2019</w:t>
            </w:r>
          </w:p>
        </w:tc>
      </w:tr>
      <w:tr w:rsidR="0064227E" w:rsidRPr="006B575B" w:rsidTr="00814E92">
        <w:trPr>
          <w:trHeight w:val="287"/>
          <w:jc w:val="center"/>
        </w:trPr>
        <w:tc>
          <w:tcPr>
            <w:tcW w:w="2268" w:type="dxa"/>
            <w:tcBorders>
              <w:top w:val="single" w:sz="4" w:space="0" w:color="auto"/>
            </w:tcBorders>
          </w:tcPr>
          <w:p w:rsidR="0090308F" w:rsidRPr="006B575B" w:rsidRDefault="0090308F" w:rsidP="00AA1F96">
            <w:pPr>
              <w:autoSpaceDE w:val="0"/>
              <w:autoSpaceDN w:val="0"/>
              <w:adjustRightInd w:val="0"/>
              <w:spacing w:after="0" w:line="480" w:lineRule="auto"/>
              <w:rPr>
                <w:rFonts w:cstheme="minorHAnsi"/>
                <w:color w:val="000000"/>
                <w:sz w:val="24"/>
                <w:szCs w:val="24"/>
              </w:rPr>
            </w:pPr>
          </w:p>
        </w:tc>
        <w:tc>
          <w:tcPr>
            <w:tcW w:w="2268" w:type="dxa"/>
            <w:tcBorders>
              <w:top w:val="single" w:sz="4" w:space="0" w:color="auto"/>
            </w:tcBorders>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day</w:t>
            </w:r>
          </w:p>
        </w:tc>
        <w:tc>
          <w:tcPr>
            <w:tcW w:w="2512" w:type="dxa"/>
            <w:tcBorders>
              <w:top w:val="single" w:sz="4" w:space="0" w:color="auto"/>
            </w:tcBorders>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year</w:t>
            </w:r>
          </w:p>
        </w:tc>
        <w:tc>
          <w:tcPr>
            <w:tcW w:w="2411" w:type="dxa"/>
            <w:tcBorders>
              <w:top w:val="single" w:sz="4" w:space="0" w:color="auto"/>
            </w:tcBorders>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Hydrocarbon Gas Liquids</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3.13</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1142.45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15.29814272</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Unfinished Oils</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0.05</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18.25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0.244379277</w:t>
            </w:r>
          </w:p>
        </w:tc>
      </w:tr>
      <w:tr w:rsidR="0064227E" w:rsidRPr="006B575B" w:rsidTr="00814E92">
        <w:trPr>
          <w:trHeight w:val="287"/>
          <w:jc w:val="center"/>
        </w:trPr>
        <w:tc>
          <w:tcPr>
            <w:tcW w:w="2268" w:type="dxa"/>
          </w:tcPr>
          <w:p w:rsidR="0090308F" w:rsidRPr="006B575B" w:rsidRDefault="0090308F"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 xml:space="preserve">Motor Gasoline </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9.2725</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3384.4625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45.32013685</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Jet Fuel</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1.74</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635.1</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8.504398827</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Distillate Fuel Oil</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4.0825</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1490.1125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19.95356794</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Residual Fuel Oil</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0.2725</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99.4625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1.331867058</w:t>
            </w:r>
          </w:p>
        </w:tc>
      </w:tr>
      <w:tr w:rsidR="0064227E" w:rsidRPr="006B575B" w:rsidTr="00814E92">
        <w:trPr>
          <w:trHeight w:val="287"/>
          <w:jc w:val="center"/>
        </w:trPr>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Other Oils</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1.9125</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698.0625</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9.347507331</w:t>
            </w:r>
          </w:p>
        </w:tc>
      </w:tr>
      <w:tr w:rsidR="0064227E" w:rsidRPr="006B575B" w:rsidTr="00814E92">
        <w:trPr>
          <w:trHeight w:val="143"/>
          <w:jc w:val="center"/>
        </w:trPr>
        <w:tc>
          <w:tcPr>
            <w:tcW w:w="2268" w:type="dxa"/>
          </w:tcPr>
          <w:p w:rsidR="0090308F" w:rsidRPr="006B575B" w:rsidRDefault="0090308F"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Total US Petroleum Consumption</w:t>
            </w:r>
          </w:p>
        </w:tc>
        <w:tc>
          <w:tcPr>
            <w:tcW w:w="2268"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20.46</w:t>
            </w:r>
          </w:p>
        </w:tc>
        <w:tc>
          <w:tcPr>
            <w:tcW w:w="2512"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7467.9</w:t>
            </w:r>
          </w:p>
        </w:tc>
        <w:tc>
          <w:tcPr>
            <w:tcW w:w="2411" w:type="dxa"/>
          </w:tcPr>
          <w:p w:rsidR="0090308F" w:rsidRPr="006B575B" w:rsidRDefault="0090308F"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100</w:t>
            </w:r>
          </w:p>
        </w:tc>
      </w:tr>
    </w:tbl>
    <w:p w:rsidR="0090308F" w:rsidRPr="006B575B" w:rsidRDefault="0090308F"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CF52E8" w:rsidRPr="006B575B" w:rsidRDefault="00CF52E8" w:rsidP="00AA1F96">
      <w:pPr>
        <w:spacing w:after="0" w:line="480" w:lineRule="auto"/>
        <w:jc w:val="center"/>
        <w:rPr>
          <w:rFonts w:cstheme="minorHAnsi"/>
          <w:b/>
          <w:sz w:val="24"/>
          <w:szCs w:val="24"/>
        </w:rPr>
      </w:pPr>
    </w:p>
    <w:p w:rsidR="001635FA" w:rsidRPr="006B575B" w:rsidRDefault="00357780" w:rsidP="00AA1F96">
      <w:pPr>
        <w:spacing w:after="0" w:line="480" w:lineRule="auto"/>
        <w:jc w:val="center"/>
        <w:rPr>
          <w:rFonts w:cstheme="minorHAnsi"/>
          <w:b/>
          <w:sz w:val="24"/>
          <w:szCs w:val="24"/>
        </w:rPr>
      </w:pPr>
      <w:r w:rsidRPr="006B575B">
        <w:rPr>
          <w:rFonts w:cstheme="minorHAnsi"/>
          <w:b/>
          <w:sz w:val="24"/>
          <w:szCs w:val="24"/>
        </w:rPr>
        <w:lastRenderedPageBreak/>
        <w:t xml:space="preserve">Supplementary </w:t>
      </w:r>
      <w:r w:rsidR="00AB72F4" w:rsidRPr="006B575B">
        <w:rPr>
          <w:rFonts w:cstheme="minorHAnsi"/>
          <w:b/>
          <w:sz w:val="24"/>
          <w:szCs w:val="24"/>
        </w:rPr>
        <w:t>Table</w:t>
      </w:r>
      <w:r w:rsidR="001635FA" w:rsidRPr="006B575B">
        <w:rPr>
          <w:rFonts w:cstheme="minorHAnsi"/>
          <w:b/>
          <w:sz w:val="24"/>
          <w:szCs w:val="24"/>
        </w:rPr>
        <w:t xml:space="preserve"> 2. Consumption of petroleum and other liquids in USA in 2020</w:t>
      </w:r>
      <w:r w:rsidR="00352884" w:rsidRPr="006B575B">
        <w:rPr>
          <w:rFonts w:cstheme="minorHAnsi"/>
          <w:b/>
          <w:sz w:val="24"/>
          <w:szCs w:val="24"/>
        </w:rPr>
        <w:t xml:space="preserve"> [1]</w:t>
      </w:r>
    </w:p>
    <w:tbl>
      <w:tblPr>
        <w:tblW w:w="8505" w:type="dxa"/>
        <w:jc w:val="center"/>
        <w:tblBorders>
          <w:top w:val="single" w:sz="4" w:space="0" w:color="auto"/>
          <w:bottom w:val="single" w:sz="4" w:space="0" w:color="auto"/>
        </w:tblBorders>
        <w:tblLayout w:type="fixed"/>
        <w:tblLook w:val="0000" w:firstRow="0" w:lastRow="0" w:firstColumn="0" w:lastColumn="0" w:noHBand="0" w:noVBand="0"/>
      </w:tblPr>
      <w:tblGrid>
        <w:gridCol w:w="1980"/>
        <w:gridCol w:w="2126"/>
        <w:gridCol w:w="2268"/>
        <w:gridCol w:w="2131"/>
      </w:tblGrid>
      <w:tr w:rsidR="00A2011A" w:rsidRPr="006B575B" w:rsidTr="00814E92">
        <w:trPr>
          <w:trHeight w:val="860"/>
          <w:jc w:val="center"/>
        </w:trPr>
        <w:tc>
          <w:tcPr>
            <w:tcW w:w="1980"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p>
        </w:tc>
        <w:tc>
          <w:tcPr>
            <w:tcW w:w="2126"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per day on average in 2020</w:t>
            </w:r>
          </w:p>
        </w:tc>
        <w:tc>
          <w:tcPr>
            <w:tcW w:w="2268"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in 2020</w:t>
            </w:r>
          </w:p>
        </w:tc>
        <w:tc>
          <w:tcPr>
            <w:tcW w:w="2131"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Percentage of individual oil in 2020</w:t>
            </w:r>
          </w:p>
        </w:tc>
      </w:tr>
      <w:tr w:rsidR="001635FA" w:rsidRPr="006B575B" w:rsidTr="00814E92">
        <w:trPr>
          <w:trHeight w:val="287"/>
          <w:jc w:val="center"/>
        </w:trPr>
        <w:tc>
          <w:tcPr>
            <w:tcW w:w="1980"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p>
        </w:tc>
        <w:tc>
          <w:tcPr>
            <w:tcW w:w="2126"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day</w:t>
            </w:r>
          </w:p>
        </w:tc>
        <w:tc>
          <w:tcPr>
            <w:tcW w:w="2268"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year</w:t>
            </w:r>
          </w:p>
        </w:tc>
        <w:tc>
          <w:tcPr>
            <w:tcW w:w="2131"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Hydrocarbon Gas Liquids</w:t>
            </w:r>
          </w:p>
        </w:tc>
        <w:tc>
          <w:tcPr>
            <w:tcW w:w="2126" w:type="dxa"/>
          </w:tcPr>
          <w:p w:rsidR="001635FA" w:rsidRPr="006B575B" w:rsidRDefault="00CF52E8"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3.0925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1131.855</w:t>
            </w:r>
          </w:p>
        </w:tc>
        <w:tc>
          <w:tcPr>
            <w:tcW w:w="2131"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16.</w:t>
            </w:r>
            <w:r w:rsidR="00CF52E8" w:rsidRPr="006B575B">
              <w:rPr>
                <w:rFonts w:cstheme="minorHAnsi"/>
                <w:color w:val="000000"/>
                <w:sz w:val="24"/>
                <w:szCs w:val="24"/>
              </w:rPr>
              <w:t>76</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Unfinished Oils</w:t>
            </w:r>
          </w:p>
        </w:tc>
        <w:tc>
          <w:tcPr>
            <w:tcW w:w="2126"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0.0</w:t>
            </w:r>
            <w:r w:rsidR="00CF52E8" w:rsidRPr="006B575B">
              <w:rPr>
                <w:rFonts w:cstheme="minorHAnsi"/>
                <w:color w:val="000000"/>
                <w:sz w:val="24"/>
                <w:szCs w:val="24"/>
              </w:rPr>
              <w:t>625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22.875</w:t>
            </w:r>
          </w:p>
        </w:tc>
        <w:tc>
          <w:tcPr>
            <w:tcW w:w="2131"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0.34</w:t>
            </w:r>
          </w:p>
        </w:tc>
      </w:tr>
      <w:tr w:rsidR="001635FA" w:rsidRPr="006B575B" w:rsidTr="00814E92">
        <w:trPr>
          <w:trHeight w:val="287"/>
          <w:jc w:val="center"/>
        </w:trPr>
        <w:tc>
          <w:tcPr>
            <w:tcW w:w="1980"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 xml:space="preserve">Motor Gasoline </w:t>
            </w:r>
          </w:p>
        </w:tc>
        <w:tc>
          <w:tcPr>
            <w:tcW w:w="2126"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8.3525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3057.015</w:t>
            </w:r>
          </w:p>
        </w:tc>
        <w:tc>
          <w:tcPr>
            <w:tcW w:w="2131"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45.26</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Jet Fuel</w:t>
            </w:r>
          </w:p>
        </w:tc>
        <w:tc>
          <w:tcPr>
            <w:tcW w:w="2126"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1.20</w:t>
            </w:r>
            <w:r w:rsidR="00CF52E8" w:rsidRPr="006B575B">
              <w:rPr>
                <w:rFonts w:cstheme="minorHAnsi"/>
                <w:color w:val="000000"/>
                <w:sz w:val="24"/>
                <w:szCs w:val="24"/>
              </w:rPr>
              <w:t>2</w:t>
            </w:r>
            <w:r w:rsidRPr="006B575B">
              <w:rPr>
                <w:rFonts w:cstheme="minorHAnsi"/>
                <w:color w:val="000000"/>
                <w:sz w:val="24"/>
                <w:szCs w:val="24"/>
              </w:rPr>
              <w:t>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440.115</w:t>
            </w:r>
          </w:p>
        </w:tc>
        <w:tc>
          <w:tcPr>
            <w:tcW w:w="2131"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6.</w:t>
            </w:r>
            <w:r w:rsidR="00CF52E8" w:rsidRPr="006B575B">
              <w:rPr>
                <w:rFonts w:cstheme="minorHAnsi"/>
                <w:color w:val="000000"/>
                <w:sz w:val="24"/>
                <w:szCs w:val="24"/>
              </w:rPr>
              <w:t>52</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Distillate Fuel Oil</w:t>
            </w:r>
          </w:p>
        </w:tc>
        <w:tc>
          <w:tcPr>
            <w:tcW w:w="2126"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3.72</w:t>
            </w:r>
            <w:r w:rsidR="001635FA" w:rsidRPr="006B575B">
              <w:rPr>
                <w:rFonts w:cstheme="minorHAnsi"/>
                <w:color w:val="000000"/>
                <w:sz w:val="24"/>
                <w:szCs w:val="24"/>
              </w:rPr>
              <w:t>25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1362.435</w:t>
            </w:r>
          </w:p>
        </w:tc>
        <w:tc>
          <w:tcPr>
            <w:tcW w:w="2131"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20.</w:t>
            </w:r>
            <w:r w:rsidR="00CF52E8" w:rsidRPr="006B575B">
              <w:rPr>
                <w:rFonts w:cstheme="minorHAnsi"/>
                <w:color w:val="000000"/>
                <w:sz w:val="24"/>
                <w:szCs w:val="24"/>
              </w:rPr>
              <w:t>17</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Residual Fuel Oil</w:t>
            </w:r>
          </w:p>
        </w:tc>
        <w:tc>
          <w:tcPr>
            <w:tcW w:w="2126" w:type="dxa"/>
          </w:tcPr>
          <w:p w:rsidR="001635FA" w:rsidRPr="006B575B" w:rsidRDefault="00CF52E8"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0.217</w:t>
            </w:r>
            <w:r w:rsidR="001635FA" w:rsidRPr="006B575B">
              <w:rPr>
                <w:rFonts w:cstheme="minorHAnsi"/>
                <w:color w:val="000000"/>
                <w:sz w:val="24"/>
                <w:szCs w:val="24"/>
              </w:rPr>
              <w:t>5</w:t>
            </w:r>
          </w:p>
        </w:tc>
        <w:tc>
          <w:tcPr>
            <w:tcW w:w="2268"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79.605</w:t>
            </w:r>
          </w:p>
        </w:tc>
        <w:tc>
          <w:tcPr>
            <w:tcW w:w="2131"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1.18</w:t>
            </w:r>
          </w:p>
        </w:tc>
      </w:tr>
      <w:tr w:rsidR="001635F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Other Oils</w:t>
            </w:r>
          </w:p>
        </w:tc>
        <w:tc>
          <w:tcPr>
            <w:tcW w:w="2126"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1.80</w:t>
            </w:r>
            <w:r w:rsidR="001635FA" w:rsidRPr="006B575B">
              <w:rPr>
                <w:rFonts w:cstheme="minorHAnsi"/>
                <w:color w:val="000000"/>
                <w:sz w:val="24"/>
                <w:szCs w:val="24"/>
              </w:rPr>
              <w:t>5</w:t>
            </w:r>
          </w:p>
        </w:tc>
        <w:tc>
          <w:tcPr>
            <w:tcW w:w="2268"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6</w:t>
            </w:r>
            <w:r w:rsidR="00CF52E8" w:rsidRPr="006B575B">
              <w:rPr>
                <w:rFonts w:cstheme="minorHAnsi"/>
                <w:color w:val="000000"/>
                <w:sz w:val="24"/>
                <w:szCs w:val="24"/>
              </w:rPr>
              <w:t>60.63</w:t>
            </w:r>
          </w:p>
        </w:tc>
        <w:tc>
          <w:tcPr>
            <w:tcW w:w="2131" w:type="dxa"/>
          </w:tcPr>
          <w:p w:rsidR="001635FA" w:rsidRPr="006B575B" w:rsidRDefault="00CF52E8"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9.78</w:t>
            </w:r>
          </w:p>
        </w:tc>
      </w:tr>
      <w:tr w:rsidR="00A2011A" w:rsidRPr="006B575B" w:rsidTr="00814E92">
        <w:trPr>
          <w:trHeight w:val="287"/>
          <w:jc w:val="center"/>
        </w:trPr>
        <w:tc>
          <w:tcPr>
            <w:tcW w:w="1980" w:type="dxa"/>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Total US Petroleum Consumption</w:t>
            </w:r>
          </w:p>
        </w:tc>
        <w:tc>
          <w:tcPr>
            <w:tcW w:w="2126" w:type="dxa"/>
          </w:tcPr>
          <w:p w:rsidR="001635FA" w:rsidRPr="006B575B" w:rsidRDefault="00CF52E8"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18.45</w:t>
            </w:r>
            <w:r w:rsidR="001635FA" w:rsidRPr="006B575B">
              <w:rPr>
                <w:rFonts w:cstheme="minorHAnsi"/>
                <w:color w:val="000000"/>
                <w:sz w:val="24"/>
                <w:szCs w:val="24"/>
              </w:rPr>
              <w:t>5</w:t>
            </w:r>
          </w:p>
        </w:tc>
        <w:tc>
          <w:tcPr>
            <w:tcW w:w="2268"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6</w:t>
            </w:r>
            <w:r w:rsidR="00CF52E8" w:rsidRPr="006B575B">
              <w:rPr>
                <w:rFonts w:cstheme="minorHAnsi"/>
                <w:color w:val="000000"/>
                <w:sz w:val="24"/>
                <w:szCs w:val="24"/>
              </w:rPr>
              <w:t>754.53</w:t>
            </w:r>
          </w:p>
        </w:tc>
        <w:tc>
          <w:tcPr>
            <w:tcW w:w="2131"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100</w:t>
            </w:r>
          </w:p>
        </w:tc>
      </w:tr>
    </w:tbl>
    <w:p w:rsidR="001635FA" w:rsidRPr="006B575B" w:rsidRDefault="001635FA"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A1F96" w:rsidRPr="006B575B" w:rsidRDefault="00AA1F96"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352884" w:rsidRPr="006B575B" w:rsidRDefault="00357780" w:rsidP="00AA1F96">
      <w:pPr>
        <w:spacing w:after="0" w:line="480" w:lineRule="auto"/>
        <w:jc w:val="center"/>
        <w:rPr>
          <w:rFonts w:cstheme="minorHAnsi"/>
          <w:b/>
          <w:sz w:val="24"/>
          <w:szCs w:val="24"/>
        </w:rPr>
      </w:pPr>
      <w:r w:rsidRPr="006B575B">
        <w:rPr>
          <w:rFonts w:cstheme="minorHAnsi"/>
          <w:b/>
          <w:sz w:val="24"/>
          <w:szCs w:val="24"/>
        </w:rPr>
        <w:lastRenderedPageBreak/>
        <w:t xml:space="preserve">Supplementary </w:t>
      </w:r>
      <w:r w:rsidR="00AB72F4" w:rsidRPr="006B575B">
        <w:rPr>
          <w:rFonts w:cstheme="minorHAnsi"/>
          <w:b/>
          <w:sz w:val="24"/>
          <w:szCs w:val="24"/>
        </w:rPr>
        <w:t>Table</w:t>
      </w:r>
      <w:r w:rsidR="001635FA" w:rsidRPr="006B575B">
        <w:rPr>
          <w:rFonts w:cstheme="minorHAnsi"/>
          <w:b/>
          <w:sz w:val="24"/>
          <w:szCs w:val="24"/>
        </w:rPr>
        <w:t xml:space="preserve"> 3. Consumption of petroleum and other liquids in the world </w:t>
      </w:r>
    </w:p>
    <w:p w:rsidR="001635FA" w:rsidRPr="006B575B" w:rsidRDefault="001635FA" w:rsidP="00AA1F96">
      <w:pPr>
        <w:spacing w:after="0" w:line="480" w:lineRule="auto"/>
        <w:jc w:val="center"/>
        <w:rPr>
          <w:rFonts w:cstheme="minorHAnsi"/>
          <w:b/>
          <w:sz w:val="24"/>
          <w:szCs w:val="24"/>
        </w:rPr>
      </w:pPr>
      <w:r w:rsidRPr="006B575B">
        <w:rPr>
          <w:rFonts w:cstheme="minorHAnsi"/>
          <w:b/>
          <w:sz w:val="24"/>
          <w:szCs w:val="24"/>
        </w:rPr>
        <w:t>in 2019</w:t>
      </w:r>
      <w:r w:rsidR="00352884" w:rsidRPr="006B575B">
        <w:rPr>
          <w:rFonts w:cstheme="minorHAnsi"/>
          <w:b/>
          <w:sz w:val="24"/>
          <w:szCs w:val="24"/>
        </w:rPr>
        <w:t xml:space="preserve"> [</w:t>
      </w:r>
      <w:r w:rsidR="0088529F" w:rsidRPr="006B575B">
        <w:rPr>
          <w:rFonts w:cstheme="minorHAnsi"/>
          <w:b/>
          <w:sz w:val="24"/>
          <w:szCs w:val="24"/>
        </w:rPr>
        <w:t>1,</w:t>
      </w:r>
      <w:r w:rsidR="00352884" w:rsidRPr="006B575B">
        <w:rPr>
          <w:rFonts w:cstheme="minorHAnsi"/>
          <w:b/>
          <w:sz w:val="24"/>
          <w:szCs w:val="24"/>
        </w:rPr>
        <w:t>2]</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264"/>
        <w:gridCol w:w="2344"/>
        <w:gridCol w:w="2105"/>
        <w:gridCol w:w="2105"/>
      </w:tblGrid>
      <w:tr w:rsidR="001635FA" w:rsidRPr="006B575B" w:rsidTr="00814E92">
        <w:trPr>
          <w:trHeight w:val="860"/>
          <w:jc w:val="center"/>
        </w:trPr>
        <w:tc>
          <w:tcPr>
            <w:tcW w:w="2264"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p>
        </w:tc>
        <w:tc>
          <w:tcPr>
            <w:tcW w:w="2344"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in 2019</w:t>
            </w:r>
          </w:p>
        </w:tc>
        <w:tc>
          <w:tcPr>
            <w:tcW w:w="2105"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Percentage of individual oil in 2019</w:t>
            </w:r>
          </w:p>
        </w:tc>
        <w:tc>
          <w:tcPr>
            <w:tcW w:w="2105"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jc w:val="center"/>
              <w:rPr>
                <w:rFonts w:cstheme="minorHAnsi"/>
                <w:b/>
                <w:bCs/>
                <w:color w:val="000000"/>
                <w:sz w:val="24"/>
                <w:szCs w:val="24"/>
              </w:rPr>
            </w:pPr>
            <w:r w:rsidRPr="006B575B">
              <w:rPr>
                <w:rFonts w:cstheme="minorHAnsi"/>
                <w:b/>
                <w:bCs/>
                <w:color w:val="000000"/>
                <w:sz w:val="24"/>
                <w:szCs w:val="24"/>
              </w:rPr>
              <w:t>Consumption in 2019</w:t>
            </w:r>
          </w:p>
        </w:tc>
      </w:tr>
      <w:tr w:rsidR="001635FA" w:rsidRPr="006B575B" w:rsidTr="00814E92">
        <w:trPr>
          <w:trHeight w:val="287"/>
          <w:jc w:val="center"/>
        </w:trPr>
        <w:tc>
          <w:tcPr>
            <w:tcW w:w="2264"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p>
        </w:tc>
        <w:tc>
          <w:tcPr>
            <w:tcW w:w="2344"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year</w:t>
            </w:r>
          </w:p>
        </w:tc>
        <w:tc>
          <w:tcPr>
            <w:tcW w:w="2105"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w:t>
            </w:r>
          </w:p>
        </w:tc>
        <w:tc>
          <w:tcPr>
            <w:tcW w:w="2105"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litre per year</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Hydrocarbon Gas Liquids</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5631.982557</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15.30</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895.43</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Unfinished Oils</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89.96777248</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0.24</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14.30</w:t>
            </w:r>
          </w:p>
        </w:tc>
      </w:tr>
      <w:tr w:rsidR="001635FA" w:rsidRPr="006B575B" w:rsidTr="00814E92">
        <w:trPr>
          <w:trHeight w:val="287"/>
          <w:jc w:val="center"/>
        </w:trPr>
        <w:tc>
          <w:tcPr>
            <w:tcW w:w="2264" w:type="dxa"/>
          </w:tcPr>
          <w:p w:rsidR="001635FA" w:rsidRPr="006B575B" w:rsidRDefault="001635FA" w:rsidP="00CF52E8">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 xml:space="preserve">Motor Gasoline </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16684.52341</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45.32</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2652.67</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Jet Fuel</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3130.878482</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8.50</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497.78</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Distillate Fuel Oil</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7345.868623</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19.95</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1167.92</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Residual Fuel Oil</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490.32436</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1.33</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77.96</w:t>
            </w:r>
          </w:p>
        </w:tc>
      </w:tr>
      <w:tr w:rsidR="001635FA" w:rsidRPr="006B575B" w:rsidTr="00814E92">
        <w:trPr>
          <w:trHeight w:val="287"/>
          <w:jc w:val="center"/>
        </w:trPr>
        <w:tc>
          <w:tcPr>
            <w:tcW w:w="226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Other Oils</w:t>
            </w:r>
          </w:p>
        </w:tc>
        <w:tc>
          <w:tcPr>
            <w:tcW w:w="2344"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3441.267297</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9.35</w:t>
            </w:r>
          </w:p>
        </w:tc>
        <w:tc>
          <w:tcPr>
            <w:tcW w:w="2105"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547.13</w:t>
            </w:r>
          </w:p>
        </w:tc>
      </w:tr>
    </w:tbl>
    <w:p w:rsidR="001635FA" w:rsidRPr="006B575B" w:rsidRDefault="001635FA" w:rsidP="00AA1F96">
      <w:pPr>
        <w:spacing w:after="0" w:line="480" w:lineRule="auto"/>
        <w:jc w:val="center"/>
        <w:rPr>
          <w:rFonts w:cstheme="minorHAnsi"/>
          <w:b/>
          <w:sz w:val="24"/>
          <w:szCs w:val="24"/>
        </w:rPr>
      </w:pPr>
    </w:p>
    <w:p w:rsidR="00B34776" w:rsidRPr="006B575B" w:rsidRDefault="00B34776" w:rsidP="00AA1F96">
      <w:pPr>
        <w:spacing w:after="0" w:line="480" w:lineRule="auto"/>
        <w:jc w:val="center"/>
        <w:rPr>
          <w:rFonts w:cstheme="minorHAnsi"/>
          <w:b/>
          <w:sz w:val="24"/>
          <w:szCs w:val="24"/>
        </w:rPr>
      </w:pPr>
    </w:p>
    <w:p w:rsidR="00B34776" w:rsidRPr="006B575B" w:rsidRDefault="00B34776" w:rsidP="00AA1F96">
      <w:pPr>
        <w:spacing w:after="0" w:line="480" w:lineRule="auto"/>
        <w:jc w:val="center"/>
        <w:rPr>
          <w:rFonts w:cstheme="minorHAnsi"/>
          <w:b/>
          <w:sz w:val="24"/>
          <w:szCs w:val="24"/>
        </w:rPr>
      </w:pPr>
    </w:p>
    <w:p w:rsidR="00B34776" w:rsidRPr="006B575B" w:rsidRDefault="00B34776" w:rsidP="00AA1F96">
      <w:pPr>
        <w:spacing w:after="0" w:line="480" w:lineRule="auto"/>
        <w:jc w:val="center"/>
        <w:rPr>
          <w:rFonts w:cstheme="minorHAnsi"/>
          <w:b/>
          <w:sz w:val="24"/>
          <w:szCs w:val="24"/>
        </w:rPr>
      </w:pPr>
    </w:p>
    <w:p w:rsidR="00B34776" w:rsidRPr="006B575B" w:rsidRDefault="00B34776" w:rsidP="00AA1F96">
      <w:pPr>
        <w:spacing w:after="0" w:line="480" w:lineRule="auto"/>
        <w:jc w:val="center"/>
        <w:rPr>
          <w:rFonts w:cstheme="minorHAnsi"/>
          <w:b/>
          <w:sz w:val="24"/>
          <w:szCs w:val="24"/>
        </w:rPr>
      </w:pPr>
    </w:p>
    <w:p w:rsidR="00B34776" w:rsidRPr="006B575B" w:rsidRDefault="00B34776"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A962FB" w:rsidRPr="006B575B" w:rsidRDefault="00A962FB" w:rsidP="00AA1F96">
      <w:pPr>
        <w:spacing w:after="0" w:line="480" w:lineRule="auto"/>
        <w:jc w:val="center"/>
        <w:rPr>
          <w:rFonts w:cstheme="minorHAnsi"/>
          <w:b/>
          <w:sz w:val="24"/>
          <w:szCs w:val="24"/>
        </w:rPr>
      </w:pPr>
    </w:p>
    <w:p w:rsidR="00352884" w:rsidRPr="006B575B" w:rsidRDefault="00357780" w:rsidP="00AA1F96">
      <w:pPr>
        <w:spacing w:after="0" w:line="480" w:lineRule="auto"/>
        <w:jc w:val="center"/>
        <w:rPr>
          <w:rFonts w:cstheme="minorHAnsi"/>
          <w:b/>
          <w:sz w:val="24"/>
          <w:szCs w:val="24"/>
        </w:rPr>
      </w:pPr>
      <w:r w:rsidRPr="006B575B">
        <w:rPr>
          <w:rFonts w:cstheme="minorHAnsi"/>
          <w:b/>
          <w:sz w:val="24"/>
          <w:szCs w:val="24"/>
        </w:rPr>
        <w:lastRenderedPageBreak/>
        <w:t xml:space="preserve">Supplementary </w:t>
      </w:r>
      <w:r w:rsidR="00AB72F4" w:rsidRPr="006B575B">
        <w:rPr>
          <w:rFonts w:cstheme="minorHAnsi"/>
          <w:b/>
          <w:sz w:val="24"/>
          <w:szCs w:val="24"/>
        </w:rPr>
        <w:t>Table</w:t>
      </w:r>
      <w:r w:rsidR="001635FA" w:rsidRPr="006B575B">
        <w:rPr>
          <w:rFonts w:cstheme="minorHAnsi"/>
          <w:b/>
          <w:sz w:val="24"/>
          <w:szCs w:val="24"/>
        </w:rPr>
        <w:t xml:space="preserve"> 4. Consumption of petroleum and other liquids in the world</w:t>
      </w:r>
    </w:p>
    <w:p w:rsidR="001635FA" w:rsidRPr="006B575B" w:rsidRDefault="001635FA" w:rsidP="00AA1F96">
      <w:pPr>
        <w:spacing w:after="0" w:line="480" w:lineRule="auto"/>
        <w:jc w:val="center"/>
        <w:rPr>
          <w:rFonts w:cstheme="minorHAnsi"/>
          <w:b/>
          <w:sz w:val="24"/>
          <w:szCs w:val="24"/>
        </w:rPr>
      </w:pPr>
      <w:r w:rsidRPr="006B575B">
        <w:rPr>
          <w:rFonts w:cstheme="minorHAnsi"/>
          <w:b/>
          <w:sz w:val="24"/>
          <w:szCs w:val="24"/>
        </w:rPr>
        <w:t>in 2020</w:t>
      </w:r>
      <w:r w:rsidR="00352884" w:rsidRPr="006B575B">
        <w:rPr>
          <w:rFonts w:cstheme="minorHAnsi"/>
          <w:b/>
          <w:sz w:val="24"/>
          <w:szCs w:val="24"/>
        </w:rPr>
        <w:t xml:space="preserve"> [</w:t>
      </w:r>
      <w:r w:rsidR="0088529F" w:rsidRPr="006B575B">
        <w:rPr>
          <w:rFonts w:cstheme="minorHAnsi"/>
          <w:b/>
          <w:sz w:val="24"/>
          <w:szCs w:val="24"/>
        </w:rPr>
        <w:t>1,</w:t>
      </w:r>
      <w:r w:rsidR="00352884" w:rsidRPr="006B575B">
        <w:rPr>
          <w:rFonts w:cstheme="minorHAnsi"/>
          <w:b/>
          <w:sz w:val="24"/>
          <w:szCs w:val="24"/>
        </w:rPr>
        <w:t>2]</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264"/>
        <w:gridCol w:w="2344"/>
        <w:gridCol w:w="2105"/>
        <w:gridCol w:w="2105"/>
      </w:tblGrid>
      <w:tr w:rsidR="001635FA" w:rsidRPr="006B575B" w:rsidTr="00814E92">
        <w:trPr>
          <w:trHeight w:val="860"/>
          <w:jc w:val="center"/>
        </w:trPr>
        <w:tc>
          <w:tcPr>
            <w:tcW w:w="2264"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p>
        </w:tc>
        <w:tc>
          <w:tcPr>
            <w:tcW w:w="2344"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2020</w:t>
            </w:r>
          </w:p>
        </w:tc>
        <w:tc>
          <w:tcPr>
            <w:tcW w:w="2105"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Percentage of individual oil in 2020</w:t>
            </w:r>
          </w:p>
        </w:tc>
        <w:tc>
          <w:tcPr>
            <w:tcW w:w="2105"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2020</w:t>
            </w:r>
          </w:p>
        </w:tc>
      </w:tr>
      <w:tr w:rsidR="001635FA" w:rsidRPr="006B575B" w:rsidTr="00814E92">
        <w:trPr>
          <w:trHeight w:val="287"/>
          <w:jc w:val="center"/>
        </w:trPr>
        <w:tc>
          <w:tcPr>
            <w:tcW w:w="2264"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p>
        </w:tc>
        <w:tc>
          <w:tcPr>
            <w:tcW w:w="2344"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million barrel per year</w:t>
            </w:r>
          </w:p>
        </w:tc>
        <w:tc>
          <w:tcPr>
            <w:tcW w:w="2105"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w:t>
            </w:r>
          </w:p>
        </w:tc>
        <w:tc>
          <w:tcPr>
            <w:tcW w:w="2105"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litre per year</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Hydrocarbon Gas Liquids</w:t>
            </w:r>
          </w:p>
        </w:tc>
        <w:tc>
          <w:tcPr>
            <w:tcW w:w="2344" w:type="dxa"/>
          </w:tcPr>
          <w:p w:rsidR="00971D4D" w:rsidRPr="006B575B" w:rsidRDefault="00971D4D" w:rsidP="00971D4D">
            <w:pPr>
              <w:rPr>
                <w:rFonts w:cstheme="minorHAnsi"/>
                <w:sz w:val="24"/>
                <w:szCs w:val="24"/>
              </w:rPr>
            </w:pPr>
            <w:r w:rsidRPr="006B575B">
              <w:rPr>
                <w:rFonts w:cstheme="minorHAnsi"/>
                <w:sz w:val="24"/>
                <w:szCs w:val="24"/>
              </w:rPr>
              <w:t>5711.099301</w:t>
            </w:r>
          </w:p>
        </w:tc>
        <w:tc>
          <w:tcPr>
            <w:tcW w:w="2105" w:type="dxa"/>
          </w:tcPr>
          <w:p w:rsidR="00971D4D" w:rsidRPr="006B575B" w:rsidRDefault="00971D4D" w:rsidP="00971D4D">
            <w:pPr>
              <w:rPr>
                <w:rFonts w:cstheme="minorHAnsi"/>
                <w:sz w:val="24"/>
                <w:szCs w:val="24"/>
              </w:rPr>
            </w:pPr>
            <w:r w:rsidRPr="006B575B">
              <w:rPr>
                <w:rFonts w:cstheme="minorHAnsi"/>
                <w:sz w:val="24"/>
                <w:szCs w:val="24"/>
              </w:rPr>
              <w:t>16.76</w:t>
            </w:r>
          </w:p>
        </w:tc>
        <w:tc>
          <w:tcPr>
            <w:tcW w:w="2105" w:type="dxa"/>
          </w:tcPr>
          <w:p w:rsidR="00971D4D" w:rsidRPr="006B575B" w:rsidRDefault="00971D4D" w:rsidP="00971D4D">
            <w:pPr>
              <w:rPr>
                <w:rFonts w:cstheme="minorHAnsi"/>
                <w:sz w:val="24"/>
                <w:szCs w:val="24"/>
              </w:rPr>
            </w:pPr>
            <w:r w:rsidRPr="006B575B">
              <w:rPr>
                <w:rFonts w:cstheme="minorHAnsi"/>
                <w:sz w:val="24"/>
                <w:szCs w:val="24"/>
              </w:rPr>
              <w:t>908.01</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Unfinished Oils</w:t>
            </w:r>
          </w:p>
        </w:tc>
        <w:tc>
          <w:tcPr>
            <w:tcW w:w="2344" w:type="dxa"/>
          </w:tcPr>
          <w:p w:rsidR="00971D4D" w:rsidRPr="006B575B" w:rsidRDefault="00971D4D" w:rsidP="00971D4D">
            <w:pPr>
              <w:rPr>
                <w:rFonts w:cstheme="minorHAnsi"/>
                <w:sz w:val="24"/>
                <w:szCs w:val="24"/>
              </w:rPr>
            </w:pPr>
            <w:r w:rsidRPr="006B575B">
              <w:rPr>
                <w:rFonts w:cstheme="minorHAnsi"/>
                <w:sz w:val="24"/>
                <w:szCs w:val="24"/>
              </w:rPr>
              <w:t>115.4223788</w:t>
            </w:r>
          </w:p>
        </w:tc>
        <w:tc>
          <w:tcPr>
            <w:tcW w:w="2105" w:type="dxa"/>
          </w:tcPr>
          <w:p w:rsidR="00971D4D" w:rsidRPr="006B575B" w:rsidRDefault="00971D4D" w:rsidP="00971D4D">
            <w:pPr>
              <w:rPr>
                <w:rFonts w:cstheme="minorHAnsi"/>
                <w:sz w:val="24"/>
                <w:szCs w:val="24"/>
              </w:rPr>
            </w:pPr>
            <w:r w:rsidRPr="006B575B">
              <w:rPr>
                <w:rFonts w:cstheme="minorHAnsi"/>
                <w:sz w:val="24"/>
                <w:szCs w:val="24"/>
              </w:rPr>
              <w:t>0.34</w:t>
            </w:r>
          </w:p>
        </w:tc>
        <w:tc>
          <w:tcPr>
            <w:tcW w:w="2105" w:type="dxa"/>
          </w:tcPr>
          <w:p w:rsidR="00971D4D" w:rsidRPr="006B575B" w:rsidRDefault="00971D4D" w:rsidP="00971D4D">
            <w:pPr>
              <w:rPr>
                <w:rFonts w:cstheme="minorHAnsi"/>
                <w:sz w:val="24"/>
                <w:szCs w:val="24"/>
              </w:rPr>
            </w:pPr>
            <w:r w:rsidRPr="006B575B">
              <w:rPr>
                <w:rFonts w:cstheme="minorHAnsi"/>
                <w:sz w:val="24"/>
                <w:szCs w:val="24"/>
              </w:rPr>
              <w:t>18.35</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Motor Gasoline Product Supplied</w:t>
            </w:r>
          </w:p>
        </w:tc>
        <w:tc>
          <w:tcPr>
            <w:tcW w:w="2344" w:type="dxa"/>
          </w:tcPr>
          <w:p w:rsidR="00971D4D" w:rsidRPr="006B575B" w:rsidRDefault="00971D4D" w:rsidP="00971D4D">
            <w:pPr>
              <w:rPr>
                <w:rFonts w:cstheme="minorHAnsi"/>
                <w:sz w:val="24"/>
                <w:szCs w:val="24"/>
              </w:rPr>
            </w:pPr>
            <w:r w:rsidRPr="006B575B">
              <w:rPr>
                <w:rFonts w:cstheme="minorHAnsi"/>
                <w:sz w:val="24"/>
                <w:szCs w:val="24"/>
              </w:rPr>
              <w:t>15425.0467</w:t>
            </w:r>
          </w:p>
        </w:tc>
        <w:tc>
          <w:tcPr>
            <w:tcW w:w="2105" w:type="dxa"/>
          </w:tcPr>
          <w:p w:rsidR="00971D4D" w:rsidRPr="006B575B" w:rsidRDefault="00971D4D" w:rsidP="00971D4D">
            <w:pPr>
              <w:rPr>
                <w:rFonts w:cstheme="minorHAnsi"/>
                <w:sz w:val="24"/>
                <w:szCs w:val="24"/>
              </w:rPr>
            </w:pPr>
            <w:r w:rsidRPr="006B575B">
              <w:rPr>
                <w:rFonts w:cstheme="minorHAnsi"/>
                <w:sz w:val="24"/>
                <w:szCs w:val="24"/>
              </w:rPr>
              <w:t>45.26</w:t>
            </w:r>
          </w:p>
        </w:tc>
        <w:tc>
          <w:tcPr>
            <w:tcW w:w="2105" w:type="dxa"/>
          </w:tcPr>
          <w:p w:rsidR="00971D4D" w:rsidRPr="006B575B" w:rsidRDefault="00971D4D" w:rsidP="00971D4D">
            <w:pPr>
              <w:rPr>
                <w:rFonts w:cstheme="minorHAnsi"/>
                <w:sz w:val="24"/>
                <w:szCs w:val="24"/>
              </w:rPr>
            </w:pPr>
            <w:r w:rsidRPr="006B575B">
              <w:rPr>
                <w:rFonts w:cstheme="minorHAnsi"/>
                <w:sz w:val="24"/>
                <w:szCs w:val="24"/>
              </w:rPr>
              <w:t>2452.43</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Jet Fuel</w:t>
            </w:r>
          </w:p>
        </w:tc>
        <w:tc>
          <w:tcPr>
            <w:tcW w:w="2344" w:type="dxa"/>
          </w:tcPr>
          <w:p w:rsidR="00971D4D" w:rsidRPr="006B575B" w:rsidRDefault="00971D4D" w:rsidP="00971D4D">
            <w:pPr>
              <w:rPr>
                <w:rFonts w:cstheme="minorHAnsi"/>
                <w:sz w:val="24"/>
                <w:szCs w:val="24"/>
              </w:rPr>
            </w:pPr>
            <w:r w:rsidRPr="006B575B">
              <w:rPr>
                <w:rFonts w:cstheme="minorHAnsi"/>
                <w:sz w:val="24"/>
                <w:szCs w:val="24"/>
              </w:rPr>
              <w:t>2220.726567</w:t>
            </w:r>
          </w:p>
        </w:tc>
        <w:tc>
          <w:tcPr>
            <w:tcW w:w="2105" w:type="dxa"/>
          </w:tcPr>
          <w:p w:rsidR="00971D4D" w:rsidRPr="006B575B" w:rsidRDefault="00971D4D" w:rsidP="00971D4D">
            <w:pPr>
              <w:rPr>
                <w:rFonts w:cstheme="minorHAnsi"/>
                <w:sz w:val="24"/>
                <w:szCs w:val="24"/>
              </w:rPr>
            </w:pPr>
            <w:r w:rsidRPr="006B575B">
              <w:rPr>
                <w:rFonts w:cstheme="minorHAnsi"/>
                <w:sz w:val="24"/>
                <w:szCs w:val="24"/>
              </w:rPr>
              <w:t>6.52</w:t>
            </w:r>
          </w:p>
        </w:tc>
        <w:tc>
          <w:tcPr>
            <w:tcW w:w="2105" w:type="dxa"/>
          </w:tcPr>
          <w:p w:rsidR="00971D4D" w:rsidRPr="006B575B" w:rsidRDefault="00971D4D" w:rsidP="00971D4D">
            <w:pPr>
              <w:rPr>
                <w:rFonts w:cstheme="minorHAnsi"/>
                <w:sz w:val="24"/>
                <w:szCs w:val="24"/>
              </w:rPr>
            </w:pPr>
            <w:r w:rsidRPr="006B575B">
              <w:rPr>
                <w:rFonts w:cstheme="minorHAnsi"/>
                <w:sz w:val="24"/>
                <w:szCs w:val="24"/>
              </w:rPr>
              <w:t>353.07</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Distillate Fuel Oil</w:t>
            </w:r>
          </w:p>
        </w:tc>
        <w:tc>
          <w:tcPr>
            <w:tcW w:w="2344" w:type="dxa"/>
          </w:tcPr>
          <w:p w:rsidR="00971D4D" w:rsidRPr="006B575B" w:rsidRDefault="00971D4D" w:rsidP="00971D4D">
            <w:pPr>
              <w:rPr>
                <w:rFonts w:cstheme="minorHAnsi"/>
                <w:sz w:val="24"/>
                <w:szCs w:val="24"/>
              </w:rPr>
            </w:pPr>
            <w:r w:rsidRPr="006B575B">
              <w:rPr>
                <w:rFonts w:cstheme="minorHAnsi"/>
                <w:sz w:val="24"/>
                <w:szCs w:val="24"/>
              </w:rPr>
              <w:t>6874.556879</w:t>
            </w:r>
          </w:p>
        </w:tc>
        <w:tc>
          <w:tcPr>
            <w:tcW w:w="2105" w:type="dxa"/>
          </w:tcPr>
          <w:p w:rsidR="00971D4D" w:rsidRPr="006B575B" w:rsidRDefault="00971D4D" w:rsidP="00971D4D">
            <w:pPr>
              <w:rPr>
                <w:rFonts w:cstheme="minorHAnsi"/>
                <w:sz w:val="24"/>
                <w:szCs w:val="24"/>
              </w:rPr>
            </w:pPr>
            <w:r w:rsidRPr="006B575B">
              <w:rPr>
                <w:rFonts w:cstheme="minorHAnsi"/>
                <w:sz w:val="24"/>
                <w:szCs w:val="24"/>
              </w:rPr>
              <w:t>20.17</w:t>
            </w:r>
          </w:p>
        </w:tc>
        <w:tc>
          <w:tcPr>
            <w:tcW w:w="2105" w:type="dxa"/>
          </w:tcPr>
          <w:p w:rsidR="00971D4D" w:rsidRPr="006B575B" w:rsidRDefault="00971D4D" w:rsidP="00971D4D">
            <w:pPr>
              <w:rPr>
                <w:rFonts w:cstheme="minorHAnsi"/>
                <w:sz w:val="24"/>
                <w:szCs w:val="24"/>
              </w:rPr>
            </w:pPr>
            <w:r w:rsidRPr="006B575B">
              <w:rPr>
                <w:rFonts w:cstheme="minorHAnsi"/>
                <w:sz w:val="24"/>
                <w:szCs w:val="24"/>
              </w:rPr>
              <w:t>1092.99</w:t>
            </w:r>
          </w:p>
        </w:tc>
      </w:tr>
      <w:tr w:rsidR="00971D4D" w:rsidRPr="006B575B" w:rsidTr="00814E92">
        <w:trPr>
          <w:trHeight w:val="28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Residual Fuel Oil</w:t>
            </w:r>
          </w:p>
        </w:tc>
        <w:tc>
          <w:tcPr>
            <w:tcW w:w="2344" w:type="dxa"/>
          </w:tcPr>
          <w:p w:rsidR="00971D4D" w:rsidRPr="006B575B" w:rsidRDefault="00971D4D" w:rsidP="00971D4D">
            <w:pPr>
              <w:rPr>
                <w:rFonts w:cstheme="minorHAnsi"/>
                <w:sz w:val="24"/>
                <w:szCs w:val="24"/>
              </w:rPr>
            </w:pPr>
            <w:r w:rsidRPr="006B575B">
              <w:rPr>
                <w:rFonts w:cstheme="minorHAnsi"/>
                <w:sz w:val="24"/>
                <w:szCs w:val="24"/>
              </w:rPr>
              <w:t>401.6698781</w:t>
            </w:r>
          </w:p>
        </w:tc>
        <w:tc>
          <w:tcPr>
            <w:tcW w:w="2105" w:type="dxa"/>
          </w:tcPr>
          <w:p w:rsidR="00971D4D" w:rsidRPr="006B575B" w:rsidRDefault="00971D4D" w:rsidP="00971D4D">
            <w:pPr>
              <w:rPr>
                <w:rFonts w:cstheme="minorHAnsi"/>
                <w:sz w:val="24"/>
                <w:szCs w:val="24"/>
              </w:rPr>
            </w:pPr>
            <w:r w:rsidRPr="006B575B">
              <w:rPr>
                <w:rFonts w:cstheme="minorHAnsi"/>
                <w:sz w:val="24"/>
                <w:szCs w:val="24"/>
              </w:rPr>
              <w:t>1.18</w:t>
            </w:r>
          </w:p>
        </w:tc>
        <w:tc>
          <w:tcPr>
            <w:tcW w:w="2105" w:type="dxa"/>
          </w:tcPr>
          <w:p w:rsidR="00971D4D" w:rsidRPr="006B575B" w:rsidRDefault="00971D4D" w:rsidP="00971D4D">
            <w:pPr>
              <w:rPr>
                <w:rFonts w:cstheme="minorHAnsi"/>
                <w:sz w:val="24"/>
                <w:szCs w:val="24"/>
              </w:rPr>
            </w:pPr>
            <w:r w:rsidRPr="006B575B">
              <w:rPr>
                <w:rFonts w:cstheme="minorHAnsi"/>
                <w:sz w:val="24"/>
                <w:szCs w:val="24"/>
              </w:rPr>
              <w:t>63.86</w:t>
            </w:r>
          </w:p>
        </w:tc>
      </w:tr>
      <w:tr w:rsidR="00971D4D" w:rsidRPr="006B575B" w:rsidTr="00814E92">
        <w:trPr>
          <w:trHeight w:val="157"/>
          <w:jc w:val="center"/>
        </w:trPr>
        <w:tc>
          <w:tcPr>
            <w:tcW w:w="2264" w:type="dxa"/>
          </w:tcPr>
          <w:p w:rsidR="00971D4D" w:rsidRPr="006B575B" w:rsidRDefault="00971D4D" w:rsidP="00971D4D">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Other Oils</w:t>
            </w:r>
          </w:p>
        </w:tc>
        <w:tc>
          <w:tcPr>
            <w:tcW w:w="2344" w:type="dxa"/>
          </w:tcPr>
          <w:p w:rsidR="00971D4D" w:rsidRPr="006B575B" w:rsidRDefault="00971D4D" w:rsidP="00971D4D">
            <w:pPr>
              <w:rPr>
                <w:rFonts w:cstheme="minorHAnsi"/>
                <w:sz w:val="24"/>
                <w:szCs w:val="24"/>
              </w:rPr>
            </w:pPr>
            <w:r w:rsidRPr="006B575B">
              <w:rPr>
                <w:rFonts w:cstheme="minorHAnsi"/>
                <w:sz w:val="24"/>
                <w:szCs w:val="24"/>
              </w:rPr>
              <w:t>3333.398299</w:t>
            </w:r>
          </w:p>
        </w:tc>
        <w:tc>
          <w:tcPr>
            <w:tcW w:w="2105" w:type="dxa"/>
          </w:tcPr>
          <w:p w:rsidR="00971D4D" w:rsidRPr="006B575B" w:rsidRDefault="00971D4D" w:rsidP="00971D4D">
            <w:pPr>
              <w:rPr>
                <w:rFonts w:cstheme="minorHAnsi"/>
                <w:sz w:val="24"/>
                <w:szCs w:val="24"/>
              </w:rPr>
            </w:pPr>
            <w:r w:rsidRPr="006B575B">
              <w:rPr>
                <w:rFonts w:cstheme="minorHAnsi"/>
                <w:sz w:val="24"/>
                <w:szCs w:val="24"/>
              </w:rPr>
              <w:t>9.78</w:t>
            </w:r>
          </w:p>
        </w:tc>
        <w:tc>
          <w:tcPr>
            <w:tcW w:w="2105" w:type="dxa"/>
          </w:tcPr>
          <w:p w:rsidR="00971D4D" w:rsidRPr="006B575B" w:rsidRDefault="00971D4D" w:rsidP="00971D4D">
            <w:pPr>
              <w:rPr>
                <w:rFonts w:cstheme="minorHAnsi"/>
                <w:sz w:val="24"/>
                <w:szCs w:val="24"/>
              </w:rPr>
            </w:pPr>
            <w:r w:rsidRPr="006B575B">
              <w:rPr>
                <w:rFonts w:cstheme="minorHAnsi"/>
                <w:sz w:val="24"/>
                <w:szCs w:val="24"/>
              </w:rPr>
              <w:t>529.98</w:t>
            </w:r>
          </w:p>
        </w:tc>
      </w:tr>
    </w:tbl>
    <w:p w:rsidR="001635FA" w:rsidRPr="006B575B" w:rsidRDefault="001635FA" w:rsidP="00AA1F96">
      <w:pPr>
        <w:spacing w:after="0" w:line="480" w:lineRule="auto"/>
        <w:jc w:val="center"/>
        <w:rPr>
          <w:rFonts w:cstheme="minorHAnsi"/>
          <w:b/>
          <w:sz w:val="24"/>
          <w:szCs w:val="24"/>
        </w:rPr>
      </w:pPr>
    </w:p>
    <w:p w:rsidR="00357780" w:rsidRPr="006B575B" w:rsidRDefault="00AD019A" w:rsidP="00AA1F96">
      <w:pPr>
        <w:spacing w:after="0" w:line="480" w:lineRule="auto"/>
        <w:rPr>
          <w:rFonts w:cstheme="minorHAnsi"/>
          <w:b/>
          <w:sz w:val="24"/>
          <w:szCs w:val="24"/>
        </w:rPr>
      </w:pPr>
      <w:r w:rsidRPr="006B575B">
        <w:rPr>
          <w:rFonts w:cstheme="minorHAnsi"/>
          <w:b/>
          <w:sz w:val="24"/>
          <w:szCs w:val="24"/>
        </w:rPr>
        <w:t xml:space="preserve">S2. </w:t>
      </w:r>
      <w:r w:rsidR="00357780" w:rsidRPr="006B575B">
        <w:rPr>
          <w:rFonts w:cstheme="minorHAnsi"/>
          <w:b/>
          <w:sz w:val="24"/>
          <w:szCs w:val="24"/>
        </w:rPr>
        <w:t>Global consumption of natural gas</w:t>
      </w:r>
      <w:r w:rsidR="00F34EE9" w:rsidRPr="006B575B">
        <w:rPr>
          <w:rFonts w:cstheme="minorHAnsi"/>
          <w:b/>
          <w:sz w:val="24"/>
          <w:szCs w:val="24"/>
        </w:rPr>
        <w:t xml:space="preserve"> and coal</w:t>
      </w:r>
      <w:r w:rsidR="00AB72F4" w:rsidRPr="006B575B">
        <w:rPr>
          <w:rFonts w:cstheme="minorHAnsi"/>
          <w:b/>
          <w:sz w:val="24"/>
          <w:szCs w:val="24"/>
        </w:rPr>
        <w:t>:</w:t>
      </w:r>
    </w:p>
    <w:p w:rsidR="005A55FF" w:rsidRPr="006B575B" w:rsidRDefault="00357780" w:rsidP="00AA1F96">
      <w:pPr>
        <w:spacing w:after="0" w:line="480" w:lineRule="auto"/>
        <w:rPr>
          <w:rFonts w:cstheme="minorHAnsi"/>
          <w:sz w:val="24"/>
          <w:szCs w:val="24"/>
        </w:rPr>
      </w:pPr>
      <w:r w:rsidRPr="006B575B">
        <w:rPr>
          <w:rFonts w:cstheme="minorHAnsi"/>
          <w:sz w:val="24"/>
          <w:szCs w:val="24"/>
        </w:rPr>
        <w:t xml:space="preserve">As like petroleum and other liquids, </w:t>
      </w:r>
      <w:r w:rsidR="00D53B44" w:rsidRPr="006B575B">
        <w:rPr>
          <w:rFonts w:cstheme="minorHAnsi"/>
          <w:sz w:val="24"/>
          <w:szCs w:val="24"/>
        </w:rPr>
        <w:t>the US based consumption data of natural gas</w:t>
      </w:r>
      <w:r w:rsidR="00F34EE9" w:rsidRPr="006B575B">
        <w:rPr>
          <w:rFonts w:cstheme="minorHAnsi"/>
          <w:sz w:val="24"/>
          <w:szCs w:val="24"/>
        </w:rPr>
        <w:t xml:space="preserve"> and coal</w:t>
      </w:r>
      <w:r w:rsidR="00D53B44" w:rsidRPr="006B575B">
        <w:rPr>
          <w:rFonts w:cstheme="minorHAnsi"/>
          <w:sz w:val="24"/>
          <w:szCs w:val="24"/>
        </w:rPr>
        <w:t xml:space="preserve"> for 2019 and 2020 have been sourced from </w:t>
      </w:r>
      <w:r w:rsidR="005A55FF" w:rsidRPr="006B575B">
        <w:rPr>
          <w:rFonts w:cstheme="minorHAnsi"/>
          <w:sz w:val="24"/>
          <w:szCs w:val="24"/>
        </w:rPr>
        <w:t>‘Short-Term Energy Outlook</w:t>
      </w:r>
      <w:r w:rsidR="00BA2A55" w:rsidRPr="006B575B">
        <w:rPr>
          <w:rFonts w:cstheme="minorHAnsi"/>
          <w:sz w:val="24"/>
          <w:szCs w:val="24"/>
        </w:rPr>
        <w:t xml:space="preserve"> Aug</w:t>
      </w:r>
      <w:r w:rsidR="005A55FF" w:rsidRPr="006B575B">
        <w:rPr>
          <w:rFonts w:cstheme="minorHAnsi"/>
          <w:sz w:val="24"/>
          <w:szCs w:val="24"/>
        </w:rPr>
        <w:t xml:space="preserve"> 2020’ report, </w:t>
      </w:r>
      <w:r w:rsidR="00D53B44" w:rsidRPr="006B575B">
        <w:rPr>
          <w:rFonts w:cstheme="minorHAnsi"/>
          <w:sz w:val="24"/>
          <w:szCs w:val="24"/>
        </w:rPr>
        <w:t>as published by Energy Information Administration, USA</w:t>
      </w:r>
      <w:r w:rsidR="00086150" w:rsidRPr="006B575B">
        <w:rPr>
          <w:rFonts w:cstheme="minorHAnsi"/>
          <w:sz w:val="24"/>
          <w:szCs w:val="24"/>
        </w:rPr>
        <w:t xml:space="preserve"> [</w:t>
      </w:r>
      <w:r w:rsidR="00814E92" w:rsidRPr="006B575B">
        <w:rPr>
          <w:rFonts w:cstheme="minorHAnsi"/>
          <w:sz w:val="24"/>
          <w:szCs w:val="24"/>
        </w:rPr>
        <w:t>1,</w:t>
      </w:r>
      <w:r w:rsidR="00086150" w:rsidRPr="006B575B">
        <w:rPr>
          <w:rFonts w:cstheme="minorHAnsi"/>
          <w:sz w:val="24"/>
          <w:szCs w:val="24"/>
        </w:rPr>
        <w:t>2]</w:t>
      </w:r>
      <w:r w:rsidR="00D53B44" w:rsidRPr="006B575B">
        <w:rPr>
          <w:rFonts w:cstheme="minorHAnsi"/>
          <w:sz w:val="24"/>
          <w:szCs w:val="24"/>
        </w:rPr>
        <w:t>. The global consumption data of the same have been sourced from the website of the Energy Information Administration, USA, for up to the year of 2017</w:t>
      </w:r>
      <w:r w:rsidR="00086150" w:rsidRPr="006B575B">
        <w:rPr>
          <w:rFonts w:cstheme="minorHAnsi"/>
          <w:sz w:val="24"/>
          <w:szCs w:val="24"/>
        </w:rPr>
        <w:t xml:space="preserve"> [3]</w:t>
      </w:r>
      <w:r w:rsidR="00D53B44" w:rsidRPr="006B575B">
        <w:rPr>
          <w:rFonts w:cstheme="minorHAnsi"/>
          <w:sz w:val="24"/>
          <w:szCs w:val="24"/>
        </w:rPr>
        <w:t>. Per</w:t>
      </w:r>
      <w:r w:rsidR="00F34EE9" w:rsidRPr="006B575B">
        <w:rPr>
          <w:rFonts w:cstheme="minorHAnsi"/>
          <w:sz w:val="24"/>
          <w:szCs w:val="24"/>
        </w:rPr>
        <w:t>centage per</w:t>
      </w:r>
      <w:r w:rsidR="00D53B44" w:rsidRPr="006B575B">
        <w:rPr>
          <w:rFonts w:cstheme="minorHAnsi"/>
          <w:sz w:val="24"/>
          <w:szCs w:val="24"/>
        </w:rPr>
        <w:t xml:space="preserve"> year increase</w:t>
      </w:r>
      <w:r w:rsidR="00F34EE9" w:rsidRPr="006B575B">
        <w:rPr>
          <w:rFonts w:cstheme="minorHAnsi"/>
          <w:sz w:val="24"/>
          <w:szCs w:val="24"/>
        </w:rPr>
        <w:t>s</w:t>
      </w:r>
      <w:r w:rsidR="00D53B44" w:rsidRPr="006B575B">
        <w:rPr>
          <w:rFonts w:cstheme="minorHAnsi"/>
          <w:sz w:val="24"/>
          <w:szCs w:val="24"/>
        </w:rPr>
        <w:t xml:space="preserve"> in global consumption </w:t>
      </w:r>
      <w:r w:rsidR="00F34EE9" w:rsidRPr="006B575B">
        <w:rPr>
          <w:rFonts w:cstheme="minorHAnsi"/>
          <w:sz w:val="24"/>
          <w:szCs w:val="24"/>
        </w:rPr>
        <w:t xml:space="preserve">of natural gas and coal </w:t>
      </w:r>
      <w:r w:rsidR="00D53B44" w:rsidRPr="006B575B">
        <w:rPr>
          <w:rFonts w:cstheme="minorHAnsi"/>
          <w:sz w:val="24"/>
          <w:szCs w:val="24"/>
        </w:rPr>
        <w:t>ha</w:t>
      </w:r>
      <w:r w:rsidR="00F34EE9" w:rsidRPr="006B575B">
        <w:rPr>
          <w:rFonts w:cstheme="minorHAnsi"/>
          <w:sz w:val="24"/>
          <w:szCs w:val="24"/>
        </w:rPr>
        <w:t>ve</w:t>
      </w:r>
      <w:r w:rsidR="00D53B44" w:rsidRPr="006B575B">
        <w:rPr>
          <w:rFonts w:cstheme="minorHAnsi"/>
          <w:sz w:val="24"/>
          <w:szCs w:val="24"/>
        </w:rPr>
        <w:t xml:space="preserve"> been sourced from ‘International Energy Outlook 2019’, as </w:t>
      </w:r>
      <w:r w:rsidR="00D53B44" w:rsidRPr="006B575B">
        <w:rPr>
          <w:rFonts w:cstheme="minorHAnsi"/>
          <w:sz w:val="24"/>
          <w:szCs w:val="24"/>
        </w:rPr>
        <w:lastRenderedPageBreak/>
        <w:t>published by Energy Information Administration, USA</w:t>
      </w:r>
      <w:r w:rsidR="00086150" w:rsidRPr="006B575B">
        <w:rPr>
          <w:rFonts w:cstheme="minorHAnsi"/>
          <w:sz w:val="24"/>
          <w:szCs w:val="24"/>
        </w:rPr>
        <w:t xml:space="preserve"> [4]</w:t>
      </w:r>
      <w:r w:rsidR="00D53B44" w:rsidRPr="006B575B">
        <w:rPr>
          <w:rFonts w:cstheme="minorHAnsi"/>
          <w:sz w:val="24"/>
          <w:szCs w:val="24"/>
        </w:rPr>
        <w:t>. Accordingly, the global consumption data of natural gas</w:t>
      </w:r>
      <w:r w:rsidR="00F34EE9" w:rsidRPr="006B575B">
        <w:rPr>
          <w:rFonts w:cstheme="minorHAnsi"/>
          <w:sz w:val="24"/>
          <w:szCs w:val="24"/>
        </w:rPr>
        <w:t xml:space="preserve"> and coal</w:t>
      </w:r>
      <w:r w:rsidR="00D53B44" w:rsidRPr="006B575B">
        <w:rPr>
          <w:rFonts w:cstheme="minorHAnsi"/>
          <w:sz w:val="24"/>
          <w:szCs w:val="24"/>
        </w:rPr>
        <w:t xml:space="preserve"> for the year 201</w:t>
      </w:r>
      <w:r w:rsidR="00D369DB" w:rsidRPr="006B575B">
        <w:rPr>
          <w:rFonts w:cstheme="minorHAnsi"/>
          <w:sz w:val="24"/>
          <w:szCs w:val="24"/>
        </w:rPr>
        <w:t>8</w:t>
      </w:r>
      <w:r w:rsidR="00D53B44" w:rsidRPr="006B575B">
        <w:rPr>
          <w:rFonts w:cstheme="minorHAnsi"/>
          <w:sz w:val="24"/>
          <w:szCs w:val="24"/>
        </w:rPr>
        <w:t xml:space="preserve"> and 20</w:t>
      </w:r>
      <w:r w:rsidR="00D369DB" w:rsidRPr="006B575B">
        <w:rPr>
          <w:rFonts w:cstheme="minorHAnsi"/>
          <w:sz w:val="24"/>
          <w:szCs w:val="24"/>
        </w:rPr>
        <w:t>19</w:t>
      </w:r>
      <w:r w:rsidR="00D53B44" w:rsidRPr="006B575B">
        <w:rPr>
          <w:rFonts w:cstheme="minorHAnsi"/>
          <w:sz w:val="24"/>
          <w:szCs w:val="24"/>
        </w:rPr>
        <w:t xml:space="preserve"> have been calculated. </w:t>
      </w:r>
    </w:p>
    <w:p w:rsidR="005A55FF" w:rsidRPr="006B575B" w:rsidRDefault="005A55FF" w:rsidP="00AA1F96">
      <w:pPr>
        <w:spacing w:after="0" w:line="480" w:lineRule="auto"/>
        <w:rPr>
          <w:rFonts w:cstheme="minorHAnsi"/>
          <w:sz w:val="24"/>
          <w:szCs w:val="24"/>
        </w:rPr>
      </w:pPr>
    </w:p>
    <w:p w:rsidR="00AB72F4" w:rsidRPr="006B575B" w:rsidRDefault="00D53B44" w:rsidP="00AA1F96">
      <w:pPr>
        <w:spacing w:after="0" w:line="480" w:lineRule="auto"/>
        <w:rPr>
          <w:rFonts w:cstheme="minorHAnsi"/>
          <w:sz w:val="24"/>
          <w:szCs w:val="24"/>
        </w:rPr>
      </w:pPr>
      <w:r w:rsidRPr="006B575B">
        <w:rPr>
          <w:rFonts w:cstheme="minorHAnsi"/>
          <w:sz w:val="24"/>
          <w:szCs w:val="24"/>
        </w:rPr>
        <w:t xml:space="preserve">Later on, it has been assumed that the percentage </w:t>
      </w:r>
      <w:r w:rsidR="00D369DB" w:rsidRPr="006B575B">
        <w:rPr>
          <w:rFonts w:cstheme="minorHAnsi"/>
          <w:sz w:val="24"/>
          <w:szCs w:val="24"/>
        </w:rPr>
        <w:t>decrease</w:t>
      </w:r>
      <w:r w:rsidRPr="006B575B">
        <w:rPr>
          <w:rFonts w:cstheme="minorHAnsi"/>
          <w:sz w:val="24"/>
          <w:szCs w:val="24"/>
        </w:rPr>
        <w:t xml:space="preserve"> in </w:t>
      </w:r>
      <w:r w:rsidR="005A55FF" w:rsidRPr="006B575B">
        <w:rPr>
          <w:rFonts w:cstheme="minorHAnsi"/>
          <w:sz w:val="24"/>
          <w:szCs w:val="24"/>
        </w:rPr>
        <w:t>natural gas and coal consumption in the world will be equal to the same of USA in 2020. Accordingly, d</w:t>
      </w:r>
      <w:r w:rsidR="00AB72F4" w:rsidRPr="006B575B">
        <w:rPr>
          <w:rFonts w:cstheme="minorHAnsi"/>
          <w:sz w:val="24"/>
          <w:szCs w:val="24"/>
        </w:rPr>
        <w:t xml:space="preserve">etails of the world level consumption data of natural gas and coal for the year 2019 and 2020 have been presented in </w:t>
      </w:r>
      <w:r w:rsidR="005A55FF" w:rsidRPr="006B575B">
        <w:rPr>
          <w:rFonts w:cstheme="minorHAnsi"/>
          <w:sz w:val="24"/>
          <w:szCs w:val="24"/>
        </w:rPr>
        <w:t xml:space="preserve">Supplementary </w:t>
      </w:r>
      <w:r w:rsidR="00AB72F4" w:rsidRPr="006B575B">
        <w:rPr>
          <w:rFonts w:cstheme="minorHAnsi"/>
          <w:sz w:val="24"/>
          <w:szCs w:val="24"/>
        </w:rPr>
        <w:t>Table</w:t>
      </w:r>
      <w:r w:rsidR="005A55FF" w:rsidRPr="006B575B">
        <w:rPr>
          <w:rFonts w:cstheme="minorHAnsi"/>
          <w:sz w:val="24"/>
          <w:szCs w:val="24"/>
        </w:rPr>
        <w:t>s</w:t>
      </w:r>
      <w:r w:rsidR="00AB72F4" w:rsidRPr="006B575B">
        <w:rPr>
          <w:rFonts w:cstheme="minorHAnsi"/>
          <w:sz w:val="24"/>
          <w:szCs w:val="24"/>
        </w:rPr>
        <w:t xml:space="preserve"> 5</w:t>
      </w:r>
      <w:r w:rsidR="005A55FF" w:rsidRPr="006B575B">
        <w:rPr>
          <w:rFonts w:cstheme="minorHAnsi"/>
          <w:sz w:val="24"/>
          <w:szCs w:val="24"/>
        </w:rPr>
        <w:t xml:space="preserve"> and</w:t>
      </w:r>
      <w:r w:rsidR="00AB72F4" w:rsidRPr="006B575B">
        <w:rPr>
          <w:rFonts w:cstheme="minorHAnsi"/>
          <w:sz w:val="24"/>
          <w:szCs w:val="24"/>
        </w:rPr>
        <w:t xml:space="preserve"> 6, respectively.</w:t>
      </w:r>
    </w:p>
    <w:p w:rsidR="00357780" w:rsidRPr="006B575B" w:rsidRDefault="00357780" w:rsidP="00AA1F96">
      <w:pPr>
        <w:spacing w:after="0" w:line="480" w:lineRule="auto"/>
        <w:rPr>
          <w:rFonts w:cstheme="minorHAnsi"/>
          <w:sz w:val="24"/>
          <w:szCs w:val="24"/>
        </w:rPr>
      </w:pPr>
    </w:p>
    <w:p w:rsidR="001635FA" w:rsidRPr="006B575B" w:rsidRDefault="00357780" w:rsidP="00AA1F96">
      <w:pPr>
        <w:spacing w:after="0" w:line="480" w:lineRule="auto"/>
        <w:jc w:val="center"/>
        <w:rPr>
          <w:rFonts w:cstheme="minorHAnsi"/>
          <w:b/>
          <w:sz w:val="24"/>
          <w:szCs w:val="24"/>
        </w:rPr>
      </w:pPr>
      <w:r w:rsidRPr="006B575B">
        <w:rPr>
          <w:rFonts w:cstheme="minorHAnsi"/>
          <w:b/>
          <w:sz w:val="24"/>
          <w:szCs w:val="24"/>
        </w:rPr>
        <w:t xml:space="preserve">Supplementary </w:t>
      </w:r>
      <w:r w:rsidR="00AB72F4" w:rsidRPr="006B575B">
        <w:rPr>
          <w:rFonts w:cstheme="minorHAnsi"/>
          <w:b/>
          <w:sz w:val="24"/>
          <w:szCs w:val="24"/>
        </w:rPr>
        <w:t>Table</w:t>
      </w:r>
      <w:r w:rsidR="001635FA" w:rsidRPr="006B575B">
        <w:rPr>
          <w:rFonts w:cstheme="minorHAnsi"/>
          <w:b/>
          <w:sz w:val="24"/>
          <w:szCs w:val="24"/>
        </w:rPr>
        <w:t xml:space="preserve"> 5. Consumption of natural gas in the world in 2019 and 2020</w:t>
      </w:r>
      <w:r w:rsidR="00352884" w:rsidRPr="006B575B">
        <w:rPr>
          <w:rFonts w:cstheme="minorHAnsi"/>
          <w:b/>
          <w:sz w:val="24"/>
          <w:szCs w:val="24"/>
        </w:rPr>
        <w:t xml:space="preserve"> [1-4]</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886"/>
        <w:gridCol w:w="2809"/>
      </w:tblGrid>
      <w:tr w:rsidR="001635FA" w:rsidRPr="006B575B" w:rsidTr="00814E92">
        <w:trPr>
          <w:trHeight w:val="383"/>
          <w:jc w:val="center"/>
        </w:trPr>
        <w:tc>
          <w:tcPr>
            <w:tcW w:w="2886"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2019</w:t>
            </w:r>
          </w:p>
        </w:tc>
        <w:tc>
          <w:tcPr>
            <w:tcW w:w="2809"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2020</w:t>
            </w:r>
          </w:p>
        </w:tc>
      </w:tr>
      <w:tr w:rsidR="001635FA" w:rsidRPr="006B575B" w:rsidTr="00814E92">
        <w:trPr>
          <w:trHeight w:val="287"/>
          <w:jc w:val="center"/>
        </w:trPr>
        <w:tc>
          <w:tcPr>
            <w:tcW w:w="2886"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cubic meter per year</w:t>
            </w:r>
          </w:p>
        </w:tc>
        <w:tc>
          <w:tcPr>
            <w:tcW w:w="2809"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cubic meter per year</w:t>
            </w:r>
          </w:p>
        </w:tc>
      </w:tr>
      <w:tr w:rsidR="001635FA" w:rsidRPr="006B575B" w:rsidTr="00814E92">
        <w:trPr>
          <w:trHeight w:val="287"/>
          <w:jc w:val="center"/>
        </w:trPr>
        <w:tc>
          <w:tcPr>
            <w:tcW w:w="2886"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3829.41385</w:t>
            </w:r>
          </w:p>
        </w:tc>
        <w:tc>
          <w:tcPr>
            <w:tcW w:w="2809" w:type="dxa"/>
          </w:tcPr>
          <w:p w:rsidR="001635FA" w:rsidRPr="006B575B" w:rsidRDefault="0000060C" w:rsidP="0000060C">
            <w:pPr>
              <w:rPr>
                <w:rFonts w:cstheme="minorHAnsi"/>
                <w:color w:val="000000"/>
                <w:sz w:val="24"/>
                <w:szCs w:val="24"/>
              </w:rPr>
            </w:pPr>
            <w:r w:rsidRPr="006B575B">
              <w:rPr>
                <w:rFonts w:cstheme="minorHAnsi"/>
                <w:color w:val="000000"/>
                <w:sz w:val="24"/>
                <w:szCs w:val="24"/>
              </w:rPr>
              <w:t>3722.607252</w:t>
            </w:r>
          </w:p>
        </w:tc>
      </w:tr>
    </w:tbl>
    <w:p w:rsidR="001635FA" w:rsidRPr="006B575B" w:rsidRDefault="001635FA" w:rsidP="00AA1F96">
      <w:pPr>
        <w:spacing w:after="0" w:line="480" w:lineRule="auto"/>
        <w:jc w:val="center"/>
        <w:rPr>
          <w:rFonts w:cstheme="minorHAnsi"/>
          <w:b/>
          <w:sz w:val="24"/>
          <w:szCs w:val="24"/>
        </w:rPr>
      </w:pPr>
    </w:p>
    <w:p w:rsidR="001635FA" w:rsidRPr="006B575B" w:rsidRDefault="00357780" w:rsidP="00AA1F96">
      <w:pPr>
        <w:spacing w:after="0" w:line="480" w:lineRule="auto"/>
        <w:jc w:val="center"/>
        <w:rPr>
          <w:rFonts w:cstheme="minorHAnsi"/>
          <w:b/>
          <w:sz w:val="24"/>
          <w:szCs w:val="24"/>
        </w:rPr>
      </w:pPr>
      <w:r w:rsidRPr="006B575B">
        <w:rPr>
          <w:rFonts w:cstheme="minorHAnsi"/>
          <w:b/>
          <w:sz w:val="24"/>
          <w:szCs w:val="24"/>
        </w:rPr>
        <w:t xml:space="preserve">Supplementary </w:t>
      </w:r>
      <w:r w:rsidR="00AB72F4" w:rsidRPr="006B575B">
        <w:rPr>
          <w:rFonts w:cstheme="minorHAnsi"/>
          <w:b/>
          <w:sz w:val="24"/>
          <w:szCs w:val="24"/>
        </w:rPr>
        <w:t>Table</w:t>
      </w:r>
      <w:r w:rsidR="001635FA" w:rsidRPr="006B575B">
        <w:rPr>
          <w:rFonts w:cstheme="minorHAnsi"/>
          <w:b/>
          <w:sz w:val="24"/>
          <w:szCs w:val="24"/>
        </w:rPr>
        <w:t xml:space="preserve"> 6. Consumption of coal in the world in 2019 and 2020</w:t>
      </w:r>
      <w:r w:rsidR="00352884" w:rsidRPr="006B575B">
        <w:rPr>
          <w:rFonts w:cstheme="minorHAnsi"/>
          <w:b/>
          <w:sz w:val="24"/>
          <w:szCs w:val="24"/>
        </w:rPr>
        <w:t xml:space="preserve"> [1-4]</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886"/>
        <w:gridCol w:w="2790"/>
      </w:tblGrid>
      <w:tr w:rsidR="001635FA" w:rsidRPr="006B575B" w:rsidTr="00814E92">
        <w:trPr>
          <w:trHeight w:val="287"/>
          <w:jc w:val="center"/>
        </w:trPr>
        <w:tc>
          <w:tcPr>
            <w:tcW w:w="2886"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2019</w:t>
            </w:r>
          </w:p>
        </w:tc>
        <w:tc>
          <w:tcPr>
            <w:tcW w:w="2790" w:type="dxa"/>
            <w:tcBorders>
              <w:top w:val="single" w:sz="4" w:space="0" w:color="auto"/>
              <w:bottom w:val="single" w:sz="4" w:space="0" w:color="auto"/>
            </w:tcBorders>
          </w:tcPr>
          <w:p w:rsidR="001635FA" w:rsidRPr="006B575B" w:rsidRDefault="001635FA" w:rsidP="00AA1F96">
            <w:pPr>
              <w:autoSpaceDE w:val="0"/>
              <w:autoSpaceDN w:val="0"/>
              <w:adjustRightInd w:val="0"/>
              <w:spacing w:after="0" w:line="480" w:lineRule="auto"/>
              <w:rPr>
                <w:rFonts w:cstheme="minorHAnsi"/>
                <w:b/>
                <w:bCs/>
                <w:color w:val="000000"/>
                <w:sz w:val="24"/>
                <w:szCs w:val="24"/>
              </w:rPr>
            </w:pPr>
            <w:r w:rsidRPr="006B575B">
              <w:rPr>
                <w:rFonts w:cstheme="minorHAnsi"/>
                <w:b/>
                <w:bCs/>
                <w:color w:val="000000"/>
                <w:sz w:val="24"/>
                <w:szCs w:val="24"/>
              </w:rPr>
              <w:t>Consumption in 2020</w:t>
            </w:r>
          </w:p>
        </w:tc>
      </w:tr>
      <w:tr w:rsidR="001635FA" w:rsidRPr="006B575B" w:rsidTr="00814E92">
        <w:trPr>
          <w:trHeight w:val="287"/>
          <w:jc w:val="center"/>
        </w:trPr>
        <w:tc>
          <w:tcPr>
            <w:tcW w:w="2886"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kg per year</w:t>
            </w:r>
          </w:p>
        </w:tc>
        <w:tc>
          <w:tcPr>
            <w:tcW w:w="2790" w:type="dxa"/>
            <w:tcBorders>
              <w:top w:val="single" w:sz="4" w:space="0" w:color="auto"/>
            </w:tcBorders>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billion kg per year</w:t>
            </w:r>
          </w:p>
        </w:tc>
      </w:tr>
      <w:tr w:rsidR="001635FA" w:rsidRPr="006B575B" w:rsidTr="00814E92">
        <w:trPr>
          <w:trHeight w:val="287"/>
          <w:jc w:val="center"/>
        </w:trPr>
        <w:tc>
          <w:tcPr>
            <w:tcW w:w="2886" w:type="dxa"/>
          </w:tcPr>
          <w:p w:rsidR="001635FA" w:rsidRPr="006B575B" w:rsidRDefault="001635FA" w:rsidP="00AA1F96">
            <w:pPr>
              <w:autoSpaceDE w:val="0"/>
              <w:autoSpaceDN w:val="0"/>
              <w:adjustRightInd w:val="0"/>
              <w:spacing w:after="0" w:line="480" w:lineRule="auto"/>
              <w:rPr>
                <w:rFonts w:cstheme="minorHAnsi"/>
                <w:color w:val="000000"/>
                <w:sz w:val="24"/>
                <w:szCs w:val="24"/>
              </w:rPr>
            </w:pPr>
            <w:r w:rsidRPr="006B575B">
              <w:rPr>
                <w:rFonts w:cstheme="minorHAnsi"/>
                <w:color w:val="000000"/>
                <w:sz w:val="24"/>
                <w:szCs w:val="24"/>
              </w:rPr>
              <w:t>7796.418362</w:t>
            </w:r>
          </w:p>
        </w:tc>
        <w:tc>
          <w:tcPr>
            <w:tcW w:w="2790" w:type="dxa"/>
          </w:tcPr>
          <w:p w:rsidR="001635FA" w:rsidRPr="006B575B" w:rsidRDefault="0000060C" w:rsidP="0000060C">
            <w:pPr>
              <w:rPr>
                <w:rFonts w:cstheme="minorHAnsi"/>
                <w:color w:val="000000"/>
                <w:sz w:val="24"/>
                <w:szCs w:val="24"/>
              </w:rPr>
            </w:pPr>
            <w:r w:rsidRPr="006B575B">
              <w:rPr>
                <w:rFonts w:cstheme="minorHAnsi"/>
                <w:color w:val="000000"/>
                <w:sz w:val="24"/>
                <w:szCs w:val="24"/>
              </w:rPr>
              <w:t>5778.959065</w:t>
            </w:r>
          </w:p>
        </w:tc>
      </w:tr>
    </w:tbl>
    <w:p w:rsidR="001635FA" w:rsidRPr="006B575B" w:rsidRDefault="001635FA" w:rsidP="00AA1F96">
      <w:pPr>
        <w:spacing w:after="0" w:line="480" w:lineRule="auto"/>
        <w:jc w:val="center"/>
        <w:rPr>
          <w:rFonts w:cstheme="minorHAnsi"/>
          <w:b/>
          <w:sz w:val="24"/>
          <w:szCs w:val="24"/>
        </w:rPr>
      </w:pPr>
    </w:p>
    <w:p w:rsidR="00AB72F4" w:rsidRPr="006B575B" w:rsidRDefault="00AD019A" w:rsidP="00AA1F96">
      <w:pPr>
        <w:spacing w:after="0" w:line="480" w:lineRule="auto"/>
        <w:rPr>
          <w:rFonts w:cstheme="minorHAnsi"/>
          <w:b/>
          <w:sz w:val="24"/>
          <w:szCs w:val="24"/>
        </w:rPr>
      </w:pPr>
      <w:r w:rsidRPr="006B575B">
        <w:rPr>
          <w:rFonts w:cstheme="minorHAnsi"/>
          <w:b/>
          <w:sz w:val="24"/>
          <w:szCs w:val="24"/>
        </w:rPr>
        <w:t xml:space="preserve">S3. </w:t>
      </w:r>
      <w:r w:rsidR="00AB72F4" w:rsidRPr="006B575B">
        <w:rPr>
          <w:rFonts w:cstheme="minorHAnsi"/>
          <w:b/>
          <w:sz w:val="24"/>
          <w:szCs w:val="24"/>
        </w:rPr>
        <w:t xml:space="preserve">Life cycle </w:t>
      </w:r>
      <w:r w:rsidR="00DB26F4" w:rsidRPr="006B575B">
        <w:rPr>
          <w:rFonts w:cstheme="minorHAnsi"/>
          <w:b/>
          <w:sz w:val="24"/>
          <w:szCs w:val="24"/>
        </w:rPr>
        <w:t xml:space="preserve">inventory and life cycle </w:t>
      </w:r>
      <w:r w:rsidR="00AB72F4" w:rsidRPr="006B575B">
        <w:rPr>
          <w:rFonts w:cstheme="minorHAnsi"/>
          <w:b/>
          <w:sz w:val="24"/>
          <w:szCs w:val="24"/>
        </w:rPr>
        <w:t>assessment model</w:t>
      </w:r>
      <w:r w:rsidR="002F1C50" w:rsidRPr="006B575B">
        <w:rPr>
          <w:rFonts w:cstheme="minorHAnsi"/>
          <w:b/>
          <w:sz w:val="24"/>
          <w:szCs w:val="24"/>
        </w:rPr>
        <w:t>:</w:t>
      </w:r>
    </w:p>
    <w:p w:rsidR="007F685A" w:rsidRPr="006B575B" w:rsidRDefault="007F685A" w:rsidP="007F685A">
      <w:pPr>
        <w:spacing w:after="0" w:line="480" w:lineRule="auto"/>
        <w:rPr>
          <w:rFonts w:cstheme="minorHAnsi"/>
          <w:sz w:val="24"/>
          <w:szCs w:val="24"/>
        </w:rPr>
      </w:pPr>
      <w:r w:rsidRPr="006B575B">
        <w:rPr>
          <w:rFonts w:cstheme="minorHAnsi"/>
          <w:sz w:val="24"/>
          <w:szCs w:val="24"/>
        </w:rPr>
        <w:t>Herein, the authors aim to discuss the life cycle inventories of the aforesaid fossil fuels in details. Out of the fossil fuels, hydrocarbon gas liquid, unfinished oil, distillate fuel oil, other oil, and natural gas</w:t>
      </w:r>
      <w:r w:rsidR="006B575B" w:rsidRPr="006B575B">
        <w:rPr>
          <w:rFonts w:cstheme="minorHAnsi"/>
          <w:sz w:val="24"/>
          <w:szCs w:val="24"/>
        </w:rPr>
        <w:t xml:space="preserve"> </w:t>
      </w:r>
      <w:r w:rsidR="006B575B" w:rsidRPr="006B575B">
        <w:rPr>
          <w:rFonts w:cstheme="minorHAnsi"/>
          <w:sz w:val="24"/>
          <w:szCs w:val="24"/>
        </w:rPr>
        <w:t xml:space="preserve">have been modelled based on global average scenario which separately quantifies the LCA impact of respective fossil fuel technologies in many different locations of </w:t>
      </w:r>
      <w:r w:rsidR="006B575B" w:rsidRPr="006B575B">
        <w:rPr>
          <w:rFonts w:cstheme="minorHAnsi"/>
          <w:sz w:val="24"/>
          <w:szCs w:val="24"/>
        </w:rPr>
        <w:lastRenderedPageBreak/>
        <w:t>the world</w:t>
      </w:r>
      <w:r w:rsidR="001D53FF">
        <w:rPr>
          <w:rFonts w:cstheme="minorHAnsi"/>
          <w:sz w:val="24"/>
          <w:szCs w:val="24"/>
        </w:rPr>
        <w:t xml:space="preserve"> and then evaluates the global average</w:t>
      </w:r>
      <w:r w:rsidRPr="006B575B">
        <w:rPr>
          <w:rFonts w:cstheme="minorHAnsi"/>
          <w:sz w:val="24"/>
          <w:szCs w:val="24"/>
        </w:rPr>
        <w:t>. For the rest of the fossil fue</w:t>
      </w:r>
      <w:r w:rsidR="00667E4C">
        <w:rPr>
          <w:rFonts w:cstheme="minorHAnsi"/>
          <w:sz w:val="24"/>
          <w:szCs w:val="24"/>
        </w:rPr>
        <w:t xml:space="preserve">ls, the </w:t>
      </w:r>
      <w:r w:rsidRPr="006B575B">
        <w:rPr>
          <w:rFonts w:cstheme="minorHAnsi"/>
          <w:sz w:val="24"/>
          <w:szCs w:val="24"/>
        </w:rPr>
        <w:t>Ecoinvent database lacks a global average LCI. However, very representative LCI processes with the regional code of Rest of the World (</w:t>
      </w:r>
      <w:r w:rsidRPr="006B575B">
        <w:rPr>
          <w:rFonts w:cstheme="minorHAnsi"/>
          <w:sz w:val="24"/>
          <w:szCs w:val="24"/>
        </w:rPr>
        <w:t xml:space="preserve">abbreviated as, </w:t>
      </w:r>
      <w:r w:rsidRPr="006B575B">
        <w:rPr>
          <w:rFonts w:cstheme="minorHAnsi"/>
          <w:sz w:val="24"/>
          <w:szCs w:val="24"/>
        </w:rPr>
        <w:t>ROW) are available for the remaining fossil fuels which have been chosen for the</w:t>
      </w:r>
      <w:r w:rsidR="00904294">
        <w:rPr>
          <w:rFonts w:cstheme="minorHAnsi"/>
          <w:sz w:val="24"/>
          <w:szCs w:val="24"/>
        </w:rPr>
        <w:t>se</w:t>
      </w:r>
      <w:r w:rsidR="006B575B" w:rsidRPr="006B575B">
        <w:rPr>
          <w:rFonts w:cstheme="minorHAnsi"/>
          <w:sz w:val="24"/>
          <w:szCs w:val="24"/>
        </w:rPr>
        <w:t xml:space="preserve"> remaining</w:t>
      </w:r>
      <w:r w:rsidRPr="006B575B">
        <w:rPr>
          <w:rFonts w:cstheme="minorHAnsi"/>
          <w:sz w:val="24"/>
          <w:szCs w:val="24"/>
        </w:rPr>
        <w:t xml:space="preserve"> fuels.</w:t>
      </w:r>
      <w:r w:rsidRPr="006B575B">
        <w:rPr>
          <w:rFonts w:cstheme="minorHAnsi"/>
          <w:sz w:val="24"/>
          <w:szCs w:val="24"/>
        </w:rPr>
        <w:t xml:space="preserve"> </w:t>
      </w:r>
      <w:r w:rsidR="006B575B" w:rsidRPr="006B575B">
        <w:rPr>
          <w:rFonts w:cstheme="minorHAnsi"/>
          <w:sz w:val="24"/>
          <w:szCs w:val="24"/>
        </w:rPr>
        <w:t>Accordingly, it is clear that the present study assumes the fossil fuel technologies vary considerably in different locations.</w:t>
      </w:r>
    </w:p>
    <w:p w:rsidR="007F685A" w:rsidRPr="006B575B" w:rsidRDefault="007F685A" w:rsidP="007F685A">
      <w:pPr>
        <w:spacing w:after="0" w:line="480" w:lineRule="auto"/>
        <w:rPr>
          <w:rFonts w:cstheme="minorHAnsi"/>
          <w:sz w:val="24"/>
          <w:szCs w:val="24"/>
        </w:rPr>
      </w:pPr>
    </w:p>
    <w:p w:rsidR="007F685A" w:rsidRPr="006B575B" w:rsidRDefault="007F685A" w:rsidP="007F685A">
      <w:pPr>
        <w:spacing w:after="0" w:line="480" w:lineRule="auto"/>
        <w:rPr>
          <w:rFonts w:cstheme="minorHAnsi"/>
          <w:sz w:val="24"/>
          <w:szCs w:val="24"/>
        </w:rPr>
      </w:pPr>
      <w:r w:rsidRPr="006B575B">
        <w:rPr>
          <w:rFonts w:cstheme="minorHAnsi"/>
          <w:sz w:val="24"/>
          <w:szCs w:val="24"/>
        </w:rPr>
        <w:t>Out of these, h</w:t>
      </w:r>
      <w:r w:rsidR="00863E42" w:rsidRPr="006B575B">
        <w:rPr>
          <w:rFonts w:cstheme="minorHAnsi"/>
          <w:sz w:val="24"/>
          <w:szCs w:val="24"/>
        </w:rPr>
        <w:t xml:space="preserve">ydrocarbon gas liquid consists of: </w:t>
      </w:r>
      <w:proofErr w:type="spellStart"/>
      <w:r w:rsidR="00863E42" w:rsidRPr="006B575B">
        <w:rPr>
          <w:rFonts w:cstheme="minorHAnsi"/>
          <w:sz w:val="24"/>
          <w:szCs w:val="24"/>
        </w:rPr>
        <w:t>i</w:t>
      </w:r>
      <w:proofErr w:type="spellEnd"/>
      <w:r w:rsidR="00863E42" w:rsidRPr="006B575B">
        <w:rPr>
          <w:rFonts w:cstheme="minorHAnsi"/>
          <w:sz w:val="24"/>
          <w:szCs w:val="24"/>
        </w:rPr>
        <w:t>) liquefied petroleum gas (primarily ethane, propane, butane, isobutane, and refinery olefins, such as, ethylene, propylene, butylene, and isobutylene), and</w:t>
      </w:r>
      <w:r w:rsidR="00C22394" w:rsidRPr="006B575B">
        <w:rPr>
          <w:rFonts w:cstheme="minorHAnsi"/>
          <w:sz w:val="24"/>
          <w:szCs w:val="24"/>
        </w:rPr>
        <w:t>,</w:t>
      </w:r>
      <w:r w:rsidR="00863E42" w:rsidRPr="006B575B">
        <w:rPr>
          <w:rFonts w:cstheme="minorHAnsi"/>
          <w:sz w:val="24"/>
          <w:szCs w:val="24"/>
        </w:rPr>
        <w:t xml:space="preserve"> ii) natural gasoline [2]. </w:t>
      </w:r>
      <w:r w:rsidR="00706A24" w:rsidRPr="006B575B">
        <w:rPr>
          <w:rFonts w:cstheme="minorHAnsi"/>
          <w:sz w:val="24"/>
          <w:szCs w:val="24"/>
        </w:rPr>
        <w:t xml:space="preserve">Percentage consumption of these gases have been </w:t>
      </w:r>
      <w:r w:rsidR="005A55FF" w:rsidRPr="006B575B">
        <w:rPr>
          <w:rFonts w:cstheme="minorHAnsi"/>
          <w:sz w:val="24"/>
          <w:szCs w:val="24"/>
        </w:rPr>
        <w:t>sourced</w:t>
      </w:r>
      <w:r w:rsidR="00706A24" w:rsidRPr="006B575B">
        <w:rPr>
          <w:rFonts w:cstheme="minorHAnsi"/>
          <w:sz w:val="24"/>
          <w:szCs w:val="24"/>
        </w:rPr>
        <w:t xml:space="preserve"> from EIA report [1,2]. </w:t>
      </w:r>
      <w:r w:rsidR="005A55FF" w:rsidRPr="006B575B">
        <w:rPr>
          <w:rFonts w:cstheme="minorHAnsi"/>
          <w:sz w:val="24"/>
          <w:szCs w:val="24"/>
        </w:rPr>
        <w:t>Accordingly, t</w:t>
      </w:r>
      <w:r w:rsidR="00706A24" w:rsidRPr="006B575B">
        <w:rPr>
          <w:rFonts w:cstheme="minorHAnsi"/>
          <w:sz w:val="24"/>
          <w:szCs w:val="24"/>
        </w:rPr>
        <w:t xml:space="preserve">he life cycle processes </w:t>
      </w:r>
      <w:r w:rsidR="005A55FF" w:rsidRPr="006B575B">
        <w:rPr>
          <w:rFonts w:cstheme="minorHAnsi"/>
          <w:sz w:val="24"/>
          <w:szCs w:val="24"/>
        </w:rPr>
        <w:t xml:space="preserve">of hydrocarbon gas liquid </w:t>
      </w:r>
      <w:r w:rsidR="00706A24" w:rsidRPr="006B575B">
        <w:rPr>
          <w:rFonts w:cstheme="minorHAnsi"/>
          <w:sz w:val="24"/>
          <w:szCs w:val="24"/>
        </w:rPr>
        <w:t>have been modelled based on the percentage consumption</w:t>
      </w:r>
      <w:r w:rsidRPr="006B575B">
        <w:rPr>
          <w:rFonts w:cstheme="minorHAnsi"/>
          <w:sz w:val="24"/>
          <w:szCs w:val="24"/>
        </w:rPr>
        <w:t xml:space="preserve"> of </w:t>
      </w:r>
      <w:r w:rsidR="00C15C14" w:rsidRPr="006B575B">
        <w:rPr>
          <w:rFonts w:cstheme="minorHAnsi"/>
          <w:sz w:val="24"/>
          <w:szCs w:val="24"/>
        </w:rPr>
        <w:t>above</w:t>
      </w:r>
      <w:r w:rsidR="00541C09" w:rsidRPr="006B575B">
        <w:rPr>
          <w:rFonts w:cstheme="minorHAnsi"/>
          <w:sz w:val="24"/>
          <w:szCs w:val="24"/>
        </w:rPr>
        <w:t xml:space="preserve"> fuels</w:t>
      </w:r>
      <w:r w:rsidR="00706A24" w:rsidRPr="006B575B">
        <w:rPr>
          <w:rFonts w:cstheme="minorHAnsi"/>
          <w:sz w:val="24"/>
          <w:szCs w:val="24"/>
        </w:rPr>
        <w:t>. Ultimately</w:t>
      </w:r>
      <w:r w:rsidR="00FD44A3" w:rsidRPr="006B575B">
        <w:rPr>
          <w:rFonts w:cstheme="minorHAnsi"/>
          <w:sz w:val="24"/>
          <w:szCs w:val="24"/>
        </w:rPr>
        <w:t>,</w:t>
      </w:r>
      <w:r w:rsidR="00706A24" w:rsidRPr="006B575B">
        <w:rPr>
          <w:rFonts w:cstheme="minorHAnsi"/>
          <w:sz w:val="24"/>
          <w:szCs w:val="24"/>
        </w:rPr>
        <w:t xml:space="preserve"> 1 litre hydrocarbon gas liquid consists of 0.373 litre propane equivalent and 0.627 litre gaso</w:t>
      </w:r>
      <w:r w:rsidR="00BE5F9D" w:rsidRPr="006B575B">
        <w:rPr>
          <w:rFonts w:cstheme="minorHAnsi"/>
          <w:sz w:val="24"/>
          <w:szCs w:val="24"/>
        </w:rPr>
        <w:t xml:space="preserve">line equivalent. </w:t>
      </w:r>
      <w:r w:rsidRPr="006B575B">
        <w:rPr>
          <w:rFonts w:cstheme="minorHAnsi"/>
          <w:sz w:val="24"/>
          <w:szCs w:val="24"/>
        </w:rPr>
        <w:t xml:space="preserve">Hydrocarbon gas liquid necessitates various inputs from the technosphere; such as, onshore natural gas field infrastructure, onshore gas well, diesel burned in diesel-electric power generation process, medium voltage electricity, heating energy, steam, ethylene glycol, methanol, sour gas, sweet gas, sweetening process of natural gas, drying of natural gas, liquid ammonia, calcium chloride, organic chemical, liquid chlorine, heavy fuel oil, hydrochloric acid, iron sulfate, hydrated lime, lubricating oil, methyl tert-butyl ether, molybdenum, naphtha, nickel, liquid nitrogen, palladium, petroleum, platinum, liquid propylene glycol, rhodium, soap, sodium hypochlorite, sulfuric acid, zeolite, zinc and water. Whereas major outputs to the technosphere include average incineration residue, hazardous waste, municipal solid waste, refinery sludge, spent catalytic converter NOx reduction, spent antifreezer liquid, spent solvent mixture, waste emulsion paint, waste </w:t>
      </w:r>
      <w:r w:rsidRPr="006B575B">
        <w:rPr>
          <w:rFonts w:cstheme="minorHAnsi"/>
          <w:sz w:val="24"/>
          <w:szCs w:val="24"/>
        </w:rPr>
        <w:lastRenderedPageBreak/>
        <w:t>refinery gas, waste mineral oil, waste sour natural gas, waste sweet natural gas, waste textile, waste wood, discharged water from natural gas extraction, etc.</w:t>
      </w:r>
    </w:p>
    <w:p w:rsidR="007F685A" w:rsidRPr="006B575B" w:rsidRDefault="007F685A" w:rsidP="00AA1F96">
      <w:pPr>
        <w:spacing w:after="0" w:line="480" w:lineRule="auto"/>
        <w:rPr>
          <w:rFonts w:cstheme="minorHAnsi"/>
          <w:sz w:val="24"/>
          <w:szCs w:val="24"/>
        </w:rPr>
      </w:pPr>
    </w:p>
    <w:p w:rsidR="001D53FF" w:rsidRPr="006B575B" w:rsidRDefault="00BE5F9D" w:rsidP="001D53FF">
      <w:pPr>
        <w:spacing w:after="0" w:line="480" w:lineRule="auto"/>
        <w:rPr>
          <w:rFonts w:cstheme="minorHAnsi"/>
          <w:sz w:val="24"/>
          <w:szCs w:val="24"/>
        </w:rPr>
      </w:pPr>
      <w:r w:rsidRPr="006B575B">
        <w:rPr>
          <w:rFonts w:cstheme="minorHAnsi"/>
          <w:sz w:val="24"/>
          <w:szCs w:val="24"/>
        </w:rPr>
        <w:t>Unfinished oil has</w:t>
      </w:r>
      <w:r w:rsidR="00706A24" w:rsidRPr="006B575B">
        <w:rPr>
          <w:rFonts w:cstheme="minorHAnsi"/>
          <w:sz w:val="24"/>
          <w:szCs w:val="24"/>
        </w:rPr>
        <w:t xml:space="preserve"> been modelled with equivalent ‘</w:t>
      </w:r>
      <w:r w:rsidR="00541C09" w:rsidRPr="006B575B">
        <w:rPr>
          <w:rFonts w:cstheme="minorHAnsi"/>
          <w:sz w:val="24"/>
          <w:szCs w:val="24"/>
        </w:rPr>
        <w:t>petroleum</w:t>
      </w:r>
      <w:r w:rsidR="00706A24" w:rsidRPr="006B575B">
        <w:rPr>
          <w:rFonts w:cstheme="minorHAnsi"/>
          <w:sz w:val="24"/>
          <w:szCs w:val="24"/>
        </w:rPr>
        <w:t>’</w:t>
      </w:r>
      <w:r w:rsidR="007F685A" w:rsidRPr="006B575B">
        <w:rPr>
          <w:rFonts w:cstheme="minorHAnsi"/>
          <w:sz w:val="24"/>
          <w:szCs w:val="24"/>
        </w:rPr>
        <w:t xml:space="preserve"> {GLO}</w:t>
      </w:r>
      <w:r w:rsidR="00706A24" w:rsidRPr="006B575B">
        <w:rPr>
          <w:rFonts w:cstheme="minorHAnsi"/>
          <w:sz w:val="24"/>
          <w:szCs w:val="24"/>
        </w:rPr>
        <w:t xml:space="preserve"> process </w:t>
      </w:r>
      <w:r w:rsidR="00FD44A3" w:rsidRPr="006B575B">
        <w:rPr>
          <w:rFonts w:cstheme="minorHAnsi"/>
          <w:sz w:val="24"/>
          <w:szCs w:val="24"/>
        </w:rPr>
        <w:t>based on</w:t>
      </w:r>
      <w:r w:rsidR="002E55B0" w:rsidRPr="006B575B">
        <w:rPr>
          <w:rFonts w:cstheme="minorHAnsi"/>
          <w:sz w:val="24"/>
          <w:szCs w:val="24"/>
        </w:rPr>
        <w:t xml:space="preserve"> E</w:t>
      </w:r>
      <w:r w:rsidR="00706A24" w:rsidRPr="006B575B">
        <w:rPr>
          <w:rFonts w:cstheme="minorHAnsi"/>
          <w:sz w:val="24"/>
          <w:szCs w:val="24"/>
        </w:rPr>
        <w:t>coinvent database version 3.</w:t>
      </w:r>
      <w:r w:rsidR="005A55FF" w:rsidRPr="006B575B">
        <w:rPr>
          <w:rFonts w:cstheme="minorHAnsi"/>
          <w:sz w:val="24"/>
          <w:szCs w:val="24"/>
        </w:rPr>
        <w:t>6</w:t>
      </w:r>
      <w:r w:rsidR="00C064DE" w:rsidRPr="006B575B">
        <w:rPr>
          <w:rFonts w:cstheme="minorHAnsi"/>
          <w:sz w:val="24"/>
          <w:szCs w:val="24"/>
        </w:rPr>
        <w:t xml:space="preserve"> [5]</w:t>
      </w:r>
      <w:r w:rsidR="00706A24" w:rsidRPr="006B575B">
        <w:rPr>
          <w:rFonts w:cstheme="minorHAnsi"/>
          <w:sz w:val="24"/>
          <w:szCs w:val="24"/>
        </w:rPr>
        <w:t xml:space="preserve">. </w:t>
      </w:r>
      <w:r w:rsidR="001D53FF" w:rsidRPr="006B575B">
        <w:rPr>
          <w:rFonts w:cstheme="minorHAnsi"/>
          <w:sz w:val="24"/>
          <w:szCs w:val="24"/>
        </w:rPr>
        <w:t xml:space="preserve">Accordingly, the unfinished oil process models the petroleum LCIs all over the world in both onshore and offshore sectors and encompass materials, minerals, chemicals, energy use, infrastructures and other life cycle emissions to air, water and soil. Herein, inputs from technosphere include inorganic chemicals, organic chemicals, vented natural gas, onshore well platform, onshore petroleum field infrastructure, offshore platform, petroleum pipeline infrastructure, sweet gas burned in gas turbine, etc. An inconclusive list of inorganic chemicals includes powdered aluminium sulfate, liquid ammonia, ammonium nitrate, ammonium sulfate, calcium chloride, liquid chlorine, hydrochloric acid, hydrogen fluoride, nitric acid, liquid oxygen, liquid nitrogen, industrial grade phosphoric acid, milled quicklime, light soda ash, sodium chlorate, sodium hydroxide, sodium silicate, sodium sulfate, sulphuric acid, titanium dioxide, etc. Major organic chemicals include acetic acid, acetone, benzene, butadiene, ethyl benzene, ethylene dichloride, ethylene oxide, ethylene, ethylene glycol, formaldehyde, methanol, methyl tert-butyl ether, phenol, propylene, styrene, toluene, urea, vinyl acetate, vinyl chloride, xylene, naphtha, etc. Onshore petroleum field infrastructure necessitates reinforcing steel, electricity, diesel (to operate various construction machinery), etc. Petroleum pipeline construction process mostly accompanies materials like reinforcing steel, hot rolled low-alloy steel, sand, and processes such as drawing of steel pipe and use of diesel in various mobile machinery, etc. Similarly, onshore oil/gas well production process necessitates activated bentonite, barite, Portland cement, inorganic chemical, organic chemical, diesel, </w:t>
      </w:r>
      <w:r w:rsidR="001D53FF" w:rsidRPr="006B575B">
        <w:rPr>
          <w:rFonts w:cstheme="minorHAnsi"/>
          <w:sz w:val="24"/>
          <w:szCs w:val="24"/>
        </w:rPr>
        <w:lastRenderedPageBreak/>
        <w:t xml:space="preserve">lignite, lubricating oil, reinforcing steel, etc. Major materials included in offshore oil exploration platforms are cast aluminium alloy, cast iron, concrete, low-alloyed steel, hot roller chromium steel, zinc, copper, metallurgical grade silicon, etc. Whereas outputs to the technosphere include radioactive waste, hazardous waste, waste concrete, municipal solid waste, waste discharge from onshore extraction, fraction 1, 7, 8 from naphtha separation, etc. </w:t>
      </w:r>
    </w:p>
    <w:p w:rsidR="001D53FF" w:rsidRPr="006B575B" w:rsidRDefault="001D53FF" w:rsidP="001D53FF">
      <w:pPr>
        <w:spacing w:after="0" w:line="480" w:lineRule="auto"/>
        <w:rPr>
          <w:rFonts w:cstheme="minorHAnsi"/>
          <w:sz w:val="24"/>
          <w:szCs w:val="24"/>
        </w:rPr>
      </w:pPr>
    </w:p>
    <w:p w:rsidR="001D53FF" w:rsidRDefault="001D53FF" w:rsidP="00AA1F96">
      <w:pPr>
        <w:spacing w:after="0" w:line="480" w:lineRule="auto"/>
        <w:rPr>
          <w:rFonts w:cstheme="minorHAnsi"/>
          <w:sz w:val="24"/>
          <w:szCs w:val="24"/>
        </w:rPr>
      </w:pPr>
      <w:r w:rsidRPr="006B575B">
        <w:rPr>
          <w:rFonts w:cstheme="minorHAnsi"/>
          <w:sz w:val="24"/>
          <w:szCs w:val="24"/>
        </w:rPr>
        <w:t>Usually petroleum is produced as a co-product of 'combined gas and oil production' process. Therefore, the principle of co-product allocation has been applied in these Ecoinvent processes.</w:t>
      </w:r>
    </w:p>
    <w:p w:rsidR="001D53FF" w:rsidRDefault="001D53FF" w:rsidP="00AA1F96">
      <w:pPr>
        <w:spacing w:after="0" w:line="480" w:lineRule="auto"/>
        <w:rPr>
          <w:rFonts w:cstheme="minorHAnsi"/>
          <w:sz w:val="24"/>
          <w:szCs w:val="24"/>
        </w:rPr>
      </w:pPr>
    </w:p>
    <w:p w:rsidR="001D53FF" w:rsidRPr="006B575B" w:rsidRDefault="001D53FF" w:rsidP="001D53FF">
      <w:pPr>
        <w:spacing w:after="0" w:line="480" w:lineRule="auto"/>
        <w:rPr>
          <w:rFonts w:cstheme="minorHAnsi"/>
          <w:sz w:val="24"/>
          <w:szCs w:val="24"/>
        </w:rPr>
      </w:pPr>
      <w:r>
        <w:rPr>
          <w:rFonts w:cstheme="minorHAnsi"/>
          <w:sz w:val="24"/>
          <w:szCs w:val="24"/>
        </w:rPr>
        <w:t>Next, m</w:t>
      </w:r>
      <w:r w:rsidR="00541C09" w:rsidRPr="006B575B">
        <w:rPr>
          <w:rFonts w:cstheme="minorHAnsi"/>
          <w:sz w:val="24"/>
          <w:szCs w:val="24"/>
        </w:rPr>
        <w:t>otor gasoline has been modelled with equivalent ‘</w:t>
      </w:r>
      <w:r w:rsidR="00BE5F9D" w:rsidRPr="006B575B">
        <w:rPr>
          <w:rFonts w:cstheme="minorHAnsi"/>
          <w:sz w:val="24"/>
          <w:szCs w:val="24"/>
        </w:rPr>
        <w:t>petrol</w:t>
      </w:r>
      <w:r w:rsidR="00541C09" w:rsidRPr="006B575B">
        <w:rPr>
          <w:rFonts w:cstheme="minorHAnsi"/>
          <w:sz w:val="24"/>
          <w:szCs w:val="24"/>
        </w:rPr>
        <w:t xml:space="preserve">’ process </w:t>
      </w:r>
      <w:r w:rsidR="008F378A" w:rsidRPr="006B575B">
        <w:rPr>
          <w:rFonts w:cstheme="minorHAnsi"/>
          <w:sz w:val="24"/>
          <w:szCs w:val="24"/>
        </w:rPr>
        <w:t xml:space="preserve">based on </w:t>
      </w:r>
      <w:r w:rsidR="002E55B0" w:rsidRPr="006B575B">
        <w:rPr>
          <w:rFonts w:cstheme="minorHAnsi"/>
          <w:sz w:val="24"/>
          <w:szCs w:val="24"/>
        </w:rPr>
        <w:t xml:space="preserve">Ecoinvent </w:t>
      </w:r>
      <w:r w:rsidR="008F378A" w:rsidRPr="006B575B">
        <w:rPr>
          <w:rFonts w:cstheme="minorHAnsi"/>
          <w:sz w:val="24"/>
          <w:szCs w:val="24"/>
        </w:rPr>
        <w:t>database version 3.</w:t>
      </w:r>
      <w:r w:rsidR="005A55FF" w:rsidRPr="006B575B">
        <w:rPr>
          <w:rFonts w:cstheme="minorHAnsi"/>
          <w:sz w:val="24"/>
          <w:szCs w:val="24"/>
        </w:rPr>
        <w:t>6</w:t>
      </w:r>
      <w:r w:rsidR="00C064DE" w:rsidRPr="006B575B">
        <w:rPr>
          <w:rFonts w:cstheme="minorHAnsi"/>
          <w:sz w:val="24"/>
          <w:szCs w:val="24"/>
        </w:rPr>
        <w:t xml:space="preserve"> </w:t>
      </w:r>
      <w:r>
        <w:rPr>
          <w:rFonts w:cstheme="minorHAnsi"/>
          <w:sz w:val="24"/>
          <w:szCs w:val="24"/>
        </w:rPr>
        <w:t xml:space="preserve">that </w:t>
      </w:r>
      <w:r w:rsidRPr="006B575B">
        <w:rPr>
          <w:rFonts w:cstheme="minorHAnsi"/>
          <w:sz w:val="24"/>
          <w:szCs w:val="24"/>
        </w:rPr>
        <w:t xml:space="preserve">includes petrol production, all necessary infrastructure processes, transportation, and various form of energy usages; such as, electricity, heat, </w:t>
      </w:r>
      <w:r w:rsidRPr="006B575B">
        <w:rPr>
          <w:rFonts w:cstheme="minorHAnsi"/>
          <w:sz w:val="24"/>
          <w:szCs w:val="24"/>
        </w:rPr>
        <w:t>etc.</w:t>
      </w:r>
      <w:r>
        <w:rPr>
          <w:rFonts w:cstheme="minorHAnsi"/>
          <w:sz w:val="24"/>
          <w:szCs w:val="24"/>
        </w:rPr>
        <w:t xml:space="preserve"> [5]</w:t>
      </w:r>
      <w:r w:rsidRPr="006B575B">
        <w:rPr>
          <w:rFonts w:cstheme="minorHAnsi"/>
          <w:sz w:val="24"/>
          <w:szCs w:val="24"/>
        </w:rPr>
        <w:t>. Unleaded petrol refinery operation requires liquid ammonia, calcium chloride, organic chemical, liquid chlorine, heavy fuel oil, hydrochloric acid, iron sulfate, hydrated lime, lubricating oil, methyl tert-butyl ether, molybdenum, naphtha, nickel, liquid nitrogen, palladium, petroleum, platinum, liquid propylene glycol, rhodium, soap, sodium hypochlorite, sulfuric acid, zeolite, zinc and water from the technosphere. Whereas outputs to the technosphere include refinery sludge, spent catalytic converter NOx reduction and waste refinery gas. The motor gasoline process includes the transportation of the product from the refinery to the end user. It also includes the operation of storage tanks and petrol stations and emissions from evaporations or treatment of effluents. However, emissions from car-washing at petrol stations during transportation is not included.</w:t>
      </w:r>
    </w:p>
    <w:p w:rsidR="001D53FF" w:rsidRPr="006B575B" w:rsidRDefault="00541C09" w:rsidP="001D53FF">
      <w:pPr>
        <w:spacing w:after="0" w:line="480" w:lineRule="auto"/>
        <w:rPr>
          <w:rFonts w:cstheme="minorHAnsi"/>
          <w:sz w:val="24"/>
          <w:szCs w:val="24"/>
        </w:rPr>
      </w:pPr>
      <w:r w:rsidRPr="006B575B">
        <w:rPr>
          <w:rFonts w:cstheme="minorHAnsi"/>
          <w:sz w:val="24"/>
          <w:szCs w:val="24"/>
        </w:rPr>
        <w:lastRenderedPageBreak/>
        <w:t xml:space="preserve">Distillate fuel oil and residual fuel oil have been modelled with equivalent ‘diesel’ and ‘residual fuel oil’ based </w:t>
      </w:r>
      <w:r w:rsidR="002C0382" w:rsidRPr="006B575B">
        <w:rPr>
          <w:rFonts w:cstheme="minorHAnsi"/>
          <w:sz w:val="24"/>
          <w:szCs w:val="24"/>
        </w:rPr>
        <w:t xml:space="preserve">life cycle inventory (LCI) </w:t>
      </w:r>
      <w:r w:rsidRPr="006B575B">
        <w:rPr>
          <w:rFonts w:cstheme="minorHAnsi"/>
          <w:sz w:val="24"/>
          <w:szCs w:val="24"/>
        </w:rPr>
        <w:t xml:space="preserve">processes, respectively, based on </w:t>
      </w:r>
      <w:r w:rsidR="002E55B0" w:rsidRPr="006B575B">
        <w:rPr>
          <w:rFonts w:cstheme="minorHAnsi"/>
          <w:sz w:val="24"/>
          <w:szCs w:val="24"/>
        </w:rPr>
        <w:t xml:space="preserve">Ecoinvent </w:t>
      </w:r>
      <w:r w:rsidR="008F378A" w:rsidRPr="006B575B">
        <w:rPr>
          <w:rFonts w:cstheme="minorHAnsi"/>
          <w:sz w:val="24"/>
          <w:szCs w:val="24"/>
        </w:rPr>
        <w:t>database [5</w:t>
      </w:r>
      <w:r w:rsidR="00C064DE" w:rsidRPr="006B575B">
        <w:rPr>
          <w:rFonts w:cstheme="minorHAnsi"/>
          <w:sz w:val="24"/>
          <w:szCs w:val="24"/>
        </w:rPr>
        <w:t>]</w:t>
      </w:r>
      <w:r w:rsidRPr="006B575B">
        <w:rPr>
          <w:rFonts w:cstheme="minorHAnsi"/>
          <w:sz w:val="24"/>
          <w:szCs w:val="24"/>
        </w:rPr>
        <w:t>.</w:t>
      </w:r>
      <w:r w:rsidR="001F6DC3" w:rsidRPr="006B575B">
        <w:rPr>
          <w:rFonts w:cstheme="minorHAnsi"/>
          <w:sz w:val="24"/>
          <w:szCs w:val="24"/>
        </w:rPr>
        <w:t xml:space="preserve"> </w:t>
      </w:r>
      <w:r w:rsidR="001D53FF">
        <w:rPr>
          <w:rFonts w:cstheme="minorHAnsi"/>
          <w:sz w:val="24"/>
          <w:szCs w:val="24"/>
        </w:rPr>
        <w:t>In addition, t</w:t>
      </w:r>
      <w:r w:rsidR="001D53FF" w:rsidRPr="006B575B">
        <w:rPr>
          <w:rFonts w:cstheme="minorHAnsi"/>
          <w:sz w:val="24"/>
          <w:szCs w:val="24"/>
        </w:rPr>
        <w:t xml:space="preserve">he LCI of jet fuel mimics the LCI of motor gasoline except avoiding the technospheric inputs like methyl tert-butyl ether, palladium and rhodium. The same group of materials, processes and energy inputs are needed for distillate fuel oil as well except methyl tert-butyl ether, nickel, palladium, platinum, and rhodium. It is however noteworthy to mention that although various materials, processes or energy inputs are similar across petroleum derivatives, amount of these vary significantly within the fossil fuels. Similarly, emissions to air, water, soil or final waste flows and output to the technosphere vary significantly with respect to the fossil fuels. Full details of these LCI processes are </w:t>
      </w:r>
      <w:r w:rsidR="00904294">
        <w:rPr>
          <w:rFonts w:cstheme="minorHAnsi"/>
          <w:sz w:val="24"/>
          <w:szCs w:val="24"/>
        </w:rPr>
        <w:t>discussed in Ecoinvent database as copyrighted materials</w:t>
      </w:r>
      <w:r w:rsidR="001D53FF" w:rsidRPr="006B575B">
        <w:rPr>
          <w:rFonts w:cstheme="minorHAnsi"/>
          <w:sz w:val="24"/>
          <w:szCs w:val="24"/>
        </w:rPr>
        <w:t>.</w:t>
      </w:r>
    </w:p>
    <w:p w:rsidR="001D53FF" w:rsidRDefault="001D53FF" w:rsidP="00AA1F96">
      <w:pPr>
        <w:spacing w:after="0" w:line="480" w:lineRule="auto"/>
        <w:rPr>
          <w:rFonts w:cstheme="minorHAnsi"/>
          <w:sz w:val="24"/>
          <w:szCs w:val="24"/>
        </w:rPr>
      </w:pPr>
    </w:p>
    <w:p w:rsidR="00904294" w:rsidRDefault="00541C09" w:rsidP="00AA1F96">
      <w:pPr>
        <w:spacing w:after="0" w:line="480" w:lineRule="auto"/>
        <w:rPr>
          <w:rFonts w:cstheme="minorHAnsi"/>
          <w:sz w:val="24"/>
          <w:szCs w:val="24"/>
        </w:rPr>
      </w:pPr>
      <w:r w:rsidRPr="006B575B">
        <w:rPr>
          <w:rFonts w:cstheme="minorHAnsi"/>
          <w:sz w:val="24"/>
          <w:szCs w:val="24"/>
        </w:rPr>
        <w:t xml:space="preserve">Other oil consists of </w:t>
      </w:r>
      <w:r w:rsidR="008F378A" w:rsidRPr="006B575B">
        <w:rPr>
          <w:rFonts w:cstheme="minorHAnsi"/>
          <w:sz w:val="24"/>
          <w:szCs w:val="24"/>
        </w:rPr>
        <w:t xml:space="preserve">few </w:t>
      </w:r>
      <w:r w:rsidRPr="006B575B">
        <w:rPr>
          <w:rFonts w:cstheme="minorHAnsi"/>
          <w:sz w:val="24"/>
          <w:szCs w:val="24"/>
        </w:rPr>
        <w:t>components</w:t>
      </w:r>
      <w:r w:rsidR="008F378A" w:rsidRPr="006B575B">
        <w:rPr>
          <w:rFonts w:cstheme="minorHAnsi"/>
          <w:sz w:val="24"/>
          <w:szCs w:val="24"/>
        </w:rPr>
        <w:t>; as such,</w:t>
      </w:r>
      <w:r w:rsidRPr="006B575B">
        <w:rPr>
          <w:rFonts w:cstheme="minorHAnsi"/>
          <w:sz w:val="24"/>
          <w:szCs w:val="24"/>
        </w:rPr>
        <w:t xml:space="preserve"> asphalt and road oil, naphtha-type jet fuel, special naphtha, kerosene, petroleum coke, waxes, and miscellaneous products [2]. All these </w:t>
      </w:r>
      <w:r w:rsidR="00FD44A3" w:rsidRPr="006B575B">
        <w:rPr>
          <w:rFonts w:cstheme="minorHAnsi"/>
          <w:sz w:val="24"/>
          <w:szCs w:val="24"/>
        </w:rPr>
        <w:t xml:space="preserve">components </w:t>
      </w:r>
      <w:r w:rsidRPr="006B575B">
        <w:rPr>
          <w:rFonts w:cstheme="minorHAnsi"/>
          <w:sz w:val="24"/>
          <w:szCs w:val="24"/>
        </w:rPr>
        <w:t xml:space="preserve">have been assumed to share equal </w:t>
      </w:r>
      <w:r w:rsidR="00FD44A3" w:rsidRPr="006B575B">
        <w:rPr>
          <w:rFonts w:cstheme="minorHAnsi"/>
          <w:sz w:val="24"/>
          <w:szCs w:val="24"/>
        </w:rPr>
        <w:t xml:space="preserve">volume </w:t>
      </w:r>
      <w:r w:rsidRPr="006B575B">
        <w:rPr>
          <w:rFonts w:cstheme="minorHAnsi"/>
          <w:sz w:val="24"/>
          <w:szCs w:val="24"/>
        </w:rPr>
        <w:t xml:space="preserve">percentage in per </w:t>
      </w:r>
      <w:r w:rsidR="00C22394" w:rsidRPr="006B575B">
        <w:rPr>
          <w:rFonts w:cstheme="minorHAnsi"/>
          <w:sz w:val="24"/>
          <w:szCs w:val="24"/>
        </w:rPr>
        <w:t>litre</w:t>
      </w:r>
      <w:r w:rsidRPr="006B575B">
        <w:rPr>
          <w:rFonts w:cstheme="minorHAnsi"/>
          <w:sz w:val="24"/>
          <w:szCs w:val="24"/>
        </w:rPr>
        <w:t xml:space="preserve"> </w:t>
      </w:r>
      <w:r w:rsidR="008F378A" w:rsidRPr="006B575B">
        <w:rPr>
          <w:rFonts w:cstheme="minorHAnsi"/>
          <w:sz w:val="24"/>
          <w:szCs w:val="24"/>
        </w:rPr>
        <w:t>‘</w:t>
      </w:r>
      <w:r w:rsidRPr="006B575B">
        <w:rPr>
          <w:rFonts w:cstheme="minorHAnsi"/>
          <w:sz w:val="24"/>
          <w:szCs w:val="24"/>
        </w:rPr>
        <w:t>other oil</w:t>
      </w:r>
      <w:r w:rsidR="008F378A" w:rsidRPr="006B575B">
        <w:rPr>
          <w:rFonts w:cstheme="minorHAnsi"/>
          <w:sz w:val="24"/>
          <w:szCs w:val="24"/>
        </w:rPr>
        <w:t>’</w:t>
      </w:r>
      <w:r w:rsidR="00FD44A3" w:rsidRPr="006B575B">
        <w:rPr>
          <w:rFonts w:cstheme="minorHAnsi"/>
          <w:sz w:val="24"/>
          <w:szCs w:val="24"/>
        </w:rPr>
        <w:t xml:space="preserve"> as there is no information on the percentage data of each individual component in EIA reports [1-4]</w:t>
      </w:r>
      <w:r w:rsidRPr="006B575B">
        <w:rPr>
          <w:rFonts w:cstheme="minorHAnsi"/>
          <w:sz w:val="24"/>
          <w:szCs w:val="24"/>
        </w:rPr>
        <w:t xml:space="preserve">. Accordingly, 0.2 litre asphalt and road oil, 0.2 litre </w:t>
      </w:r>
      <w:r w:rsidR="00FD44A3" w:rsidRPr="006B575B">
        <w:rPr>
          <w:rFonts w:cstheme="minorHAnsi"/>
          <w:sz w:val="24"/>
          <w:szCs w:val="24"/>
        </w:rPr>
        <w:t>naphtha</w:t>
      </w:r>
      <w:r w:rsidRPr="006B575B">
        <w:rPr>
          <w:rFonts w:cstheme="minorHAnsi"/>
          <w:sz w:val="24"/>
          <w:szCs w:val="24"/>
        </w:rPr>
        <w:t xml:space="preserve">, 0.2 litre </w:t>
      </w:r>
      <w:r w:rsidR="00FD44A3" w:rsidRPr="006B575B">
        <w:rPr>
          <w:rFonts w:cstheme="minorHAnsi"/>
          <w:sz w:val="24"/>
          <w:szCs w:val="24"/>
        </w:rPr>
        <w:t>kerosene</w:t>
      </w:r>
      <w:r w:rsidRPr="006B575B">
        <w:rPr>
          <w:rFonts w:cstheme="minorHAnsi"/>
          <w:sz w:val="24"/>
          <w:szCs w:val="24"/>
        </w:rPr>
        <w:t xml:space="preserve">, 0.2 litre </w:t>
      </w:r>
      <w:r w:rsidR="00FD44A3" w:rsidRPr="006B575B">
        <w:rPr>
          <w:rFonts w:cstheme="minorHAnsi"/>
          <w:sz w:val="24"/>
          <w:szCs w:val="24"/>
        </w:rPr>
        <w:t>petroleum</w:t>
      </w:r>
      <w:r w:rsidRPr="006B575B">
        <w:rPr>
          <w:rFonts w:cstheme="minorHAnsi"/>
          <w:sz w:val="24"/>
          <w:szCs w:val="24"/>
        </w:rPr>
        <w:t xml:space="preserve"> coke and 0.2 litre </w:t>
      </w:r>
      <w:r w:rsidR="00FD44A3" w:rsidRPr="006B575B">
        <w:rPr>
          <w:rFonts w:cstheme="minorHAnsi"/>
          <w:sz w:val="24"/>
          <w:szCs w:val="24"/>
        </w:rPr>
        <w:t>wax</w:t>
      </w:r>
      <w:r w:rsidRPr="006B575B">
        <w:rPr>
          <w:rFonts w:cstheme="minorHAnsi"/>
          <w:sz w:val="24"/>
          <w:szCs w:val="24"/>
        </w:rPr>
        <w:t xml:space="preserve"> </w:t>
      </w:r>
      <w:r w:rsidR="00FD44A3" w:rsidRPr="006B575B">
        <w:rPr>
          <w:rFonts w:cstheme="minorHAnsi"/>
          <w:sz w:val="24"/>
          <w:szCs w:val="24"/>
        </w:rPr>
        <w:t xml:space="preserve">have been modelled for each litre </w:t>
      </w:r>
      <w:r w:rsidR="008F378A" w:rsidRPr="006B575B">
        <w:rPr>
          <w:rFonts w:cstheme="minorHAnsi"/>
          <w:sz w:val="24"/>
          <w:szCs w:val="24"/>
        </w:rPr>
        <w:t>‘</w:t>
      </w:r>
      <w:r w:rsidR="00FD44A3" w:rsidRPr="006B575B">
        <w:rPr>
          <w:rFonts w:cstheme="minorHAnsi"/>
          <w:sz w:val="24"/>
          <w:szCs w:val="24"/>
        </w:rPr>
        <w:t>other oil</w:t>
      </w:r>
      <w:r w:rsidR="008F378A" w:rsidRPr="006B575B">
        <w:rPr>
          <w:rFonts w:cstheme="minorHAnsi"/>
          <w:sz w:val="24"/>
          <w:szCs w:val="24"/>
        </w:rPr>
        <w:t>’</w:t>
      </w:r>
      <w:r w:rsidR="00FD44A3" w:rsidRPr="006B575B">
        <w:rPr>
          <w:rFonts w:cstheme="minorHAnsi"/>
          <w:sz w:val="24"/>
          <w:szCs w:val="24"/>
        </w:rPr>
        <w:t>.</w:t>
      </w:r>
      <w:r w:rsidR="001F6DC3" w:rsidRPr="006B575B">
        <w:rPr>
          <w:rFonts w:cstheme="minorHAnsi"/>
          <w:sz w:val="24"/>
          <w:szCs w:val="24"/>
        </w:rPr>
        <w:t xml:space="preserve"> </w:t>
      </w:r>
    </w:p>
    <w:p w:rsidR="00904294" w:rsidRDefault="00904294" w:rsidP="00AA1F96">
      <w:pPr>
        <w:spacing w:after="0" w:line="480" w:lineRule="auto"/>
        <w:rPr>
          <w:rFonts w:cstheme="minorHAnsi"/>
          <w:sz w:val="24"/>
          <w:szCs w:val="24"/>
        </w:rPr>
      </w:pPr>
    </w:p>
    <w:p w:rsidR="0045632A" w:rsidRPr="006B575B" w:rsidRDefault="00FD44A3" w:rsidP="00E86789">
      <w:pPr>
        <w:spacing w:after="0" w:line="480" w:lineRule="auto"/>
        <w:rPr>
          <w:rFonts w:cstheme="minorHAnsi"/>
          <w:sz w:val="24"/>
          <w:szCs w:val="24"/>
        </w:rPr>
      </w:pPr>
      <w:r w:rsidRPr="006B575B">
        <w:rPr>
          <w:rFonts w:cstheme="minorHAnsi"/>
          <w:sz w:val="24"/>
          <w:szCs w:val="24"/>
        </w:rPr>
        <w:t xml:space="preserve">The life cycle processes of natural gas </w:t>
      </w:r>
      <w:r w:rsidR="00E86351" w:rsidRPr="006B575B">
        <w:rPr>
          <w:rFonts w:cstheme="minorHAnsi"/>
          <w:sz w:val="24"/>
          <w:szCs w:val="24"/>
        </w:rPr>
        <w:t xml:space="preserve">and coal </w:t>
      </w:r>
      <w:r w:rsidRPr="006B575B">
        <w:rPr>
          <w:rFonts w:cstheme="minorHAnsi"/>
          <w:sz w:val="24"/>
          <w:szCs w:val="24"/>
        </w:rPr>
        <w:t xml:space="preserve">have been modelled based on equivalent ‘natural gas’ </w:t>
      </w:r>
      <w:r w:rsidR="00E86351" w:rsidRPr="006B575B">
        <w:rPr>
          <w:rFonts w:cstheme="minorHAnsi"/>
          <w:sz w:val="24"/>
          <w:szCs w:val="24"/>
        </w:rPr>
        <w:t xml:space="preserve">and ‘coal’ </w:t>
      </w:r>
      <w:r w:rsidRPr="006B575B">
        <w:rPr>
          <w:rFonts w:cstheme="minorHAnsi"/>
          <w:sz w:val="24"/>
          <w:szCs w:val="24"/>
        </w:rPr>
        <w:t xml:space="preserve">process out of the </w:t>
      </w:r>
      <w:r w:rsidR="002E55B0" w:rsidRPr="006B575B">
        <w:rPr>
          <w:rFonts w:cstheme="minorHAnsi"/>
          <w:sz w:val="24"/>
          <w:szCs w:val="24"/>
        </w:rPr>
        <w:t xml:space="preserve">Ecoinvent </w:t>
      </w:r>
      <w:r w:rsidRPr="006B575B">
        <w:rPr>
          <w:rFonts w:cstheme="minorHAnsi"/>
          <w:sz w:val="24"/>
          <w:szCs w:val="24"/>
        </w:rPr>
        <w:t xml:space="preserve">database </w:t>
      </w:r>
      <w:r w:rsidR="000639F4" w:rsidRPr="006B575B">
        <w:rPr>
          <w:rFonts w:cstheme="minorHAnsi"/>
          <w:sz w:val="24"/>
          <w:szCs w:val="24"/>
        </w:rPr>
        <w:t>version 3.</w:t>
      </w:r>
      <w:r w:rsidR="005A55FF" w:rsidRPr="006B575B">
        <w:rPr>
          <w:rFonts w:cstheme="minorHAnsi"/>
          <w:sz w:val="24"/>
          <w:szCs w:val="24"/>
        </w:rPr>
        <w:t>6</w:t>
      </w:r>
      <w:r w:rsidR="00E86351" w:rsidRPr="006B575B">
        <w:rPr>
          <w:rFonts w:cstheme="minorHAnsi"/>
          <w:sz w:val="24"/>
          <w:szCs w:val="24"/>
        </w:rPr>
        <w:t xml:space="preserve"> </w:t>
      </w:r>
      <w:r w:rsidR="00C064DE" w:rsidRPr="006B575B">
        <w:rPr>
          <w:rFonts w:cstheme="minorHAnsi"/>
          <w:sz w:val="24"/>
          <w:szCs w:val="24"/>
        </w:rPr>
        <w:t>[5]</w:t>
      </w:r>
      <w:r w:rsidRPr="006B575B">
        <w:rPr>
          <w:rFonts w:cstheme="minorHAnsi"/>
          <w:sz w:val="24"/>
          <w:szCs w:val="24"/>
        </w:rPr>
        <w:t xml:space="preserve">. </w:t>
      </w:r>
      <w:r w:rsidR="0045632A" w:rsidRPr="006B575B">
        <w:rPr>
          <w:rFonts w:cstheme="minorHAnsi"/>
          <w:sz w:val="24"/>
          <w:szCs w:val="24"/>
        </w:rPr>
        <w:t xml:space="preserve">As for natural gas LCI process, the core processes include onshore gas well, onshore natural gas field infrastructure, offshore gas well, offshore platform infrastructure, natural gas processing plant processes, liquefied natural gas processes, sweetening of natural gas, high pressure </w:t>
      </w:r>
      <w:r w:rsidR="0045632A" w:rsidRPr="006B575B">
        <w:rPr>
          <w:rFonts w:cstheme="minorHAnsi"/>
          <w:sz w:val="24"/>
          <w:szCs w:val="24"/>
        </w:rPr>
        <w:lastRenderedPageBreak/>
        <w:t xml:space="preserve">natural gas processes, high pressure distribution network, pressure reduction from high to low pressure, low pressure distribution network, etc. An inconclusive list of technospheric inputs include ethylene glycol, methanol, activated bentonite, barite, inorganic chemical, organic chemical, lignite, lubricating oil, reinforcing steel, </w:t>
      </w:r>
      <w:r w:rsidR="00011181" w:rsidRPr="006B575B">
        <w:rPr>
          <w:rFonts w:cstheme="minorHAnsi"/>
          <w:sz w:val="24"/>
          <w:szCs w:val="24"/>
        </w:rPr>
        <w:t>concrete,</w:t>
      </w:r>
      <w:r w:rsidR="00DC014C" w:rsidRPr="006B575B">
        <w:rPr>
          <w:rFonts w:cstheme="minorHAnsi"/>
          <w:sz w:val="24"/>
          <w:szCs w:val="24"/>
        </w:rPr>
        <w:t xml:space="preserve"> cement, </w:t>
      </w:r>
      <w:r w:rsidR="00011181" w:rsidRPr="006B575B">
        <w:rPr>
          <w:rFonts w:cstheme="minorHAnsi"/>
          <w:sz w:val="24"/>
          <w:szCs w:val="24"/>
        </w:rPr>
        <w:t xml:space="preserve">cast iron, sand, pitch, gravel, </w:t>
      </w:r>
      <w:r w:rsidR="00E86789" w:rsidRPr="006B575B">
        <w:rPr>
          <w:rFonts w:cstheme="minorHAnsi"/>
          <w:sz w:val="24"/>
          <w:szCs w:val="24"/>
        </w:rPr>
        <w:t xml:space="preserve">plastic mix, </w:t>
      </w:r>
      <w:r w:rsidR="00DC014C" w:rsidRPr="006B575B">
        <w:rPr>
          <w:rFonts w:cstheme="minorHAnsi"/>
          <w:sz w:val="24"/>
          <w:szCs w:val="24"/>
        </w:rPr>
        <w:t xml:space="preserve">water, soda ash, </w:t>
      </w:r>
      <w:r w:rsidR="00E86789" w:rsidRPr="006B575B">
        <w:rPr>
          <w:rFonts w:cstheme="minorHAnsi"/>
          <w:sz w:val="24"/>
          <w:szCs w:val="24"/>
        </w:rPr>
        <w:t>excavation process, pipe drawing process, transportation process, electricity, diesel, etc. Similarly, major output</w:t>
      </w:r>
      <w:r w:rsidR="008B7F0F" w:rsidRPr="006B575B">
        <w:rPr>
          <w:rFonts w:cstheme="minorHAnsi"/>
          <w:sz w:val="24"/>
          <w:szCs w:val="24"/>
        </w:rPr>
        <w:t>s</w:t>
      </w:r>
      <w:r w:rsidR="00E86789" w:rsidRPr="006B575B">
        <w:rPr>
          <w:rFonts w:cstheme="minorHAnsi"/>
          <w:sz w:val="24"/>
          <w:szCs w:val="24"/>
        </w:rPr>
        <w:t xml:space="preserve"> to the technosph</w:t>
      </w:r>
      <w:r w:rsidR="008B7F0F" w:rsidRPr="006B575B">
        <w:rPr>
          <w:rFonts w:cstheme="minorHAnsi"/>
          <w:sz w:val="24"/>
          <w:szCs w:val="24"/>
        </w:rPr>
        <w:t>ere include</w:t>
      </w:r>
      <w:r w:rsidR="00E86789" w:rsidRPr="006B575B">
        <w:rPr>
          <w:rFonts w:cstheme="minorHAnsi"/>
          <w:sz w:val="24"/>
          <w:szCs w:val="24"/>
        </w:rPr>
        <w:t xml:space="preserve"> decommissioned pipeline, </w:t>
      </w:r>
      <w:r w:rsidR="008B7F0F" w:rsidRPr="006B575B">
        <w:rPr>
          <w:rFonts w:cstheme="minorHAnsi"/>
          <w:sz w:val="24"/>
          <w:szCs w:val="24"/>
        </w:rPr>
        <w:t xml:space="preserve">waste natural gas, </w:t>
      </w:r>
      <w:r w:rsidR="00E86789" w:rsidRPr="006B575B">
        <w:rPr>
          <w:rFonts w:cstheme="minorHAnsi"/>
          <w:sz w:val="24"/>
          <w:szCs w:val="24"/>
        </w:rPr>
        <w:t>waste bitumen, waste concrete, waste plastic, waste reinforcement steel</w:t>
      </w:r>
      <w:r w:rsidR="008B7F0F" w:rsidRPr="006B575B">
        <w:rPr>
          <w:rFonts w:cstheme="minorHAnsi"/>
          <w:sz w:val="24"/>
          <w:szCs w:val="24"/>
        </w:rPr>
        <w:t>, hazardous waste, municipal waste, radioactive waste, etc.</w:t>
      </w:r>
    </w:p>
    <w:p w:rsidR="00BA34DE" w:rsidRPr="006B575B" w:rsidRDefault="00BA34DE" w:rsidP="00E86789">
      <w:pPr>
        <w:spacing w:after="0" w:line="480" w:lineRule="auto"/>
        <w:rPr>
          <w:rFonts w:cstheme="minorHAnsi"/>
          <w:sz w:val="24"/>
          <w:szCs w:val="24"/>
        </w:rPr>
      </w:pPr>
    </w:p>
    <w:p w:rsidR="00684521" w:rsidRDefault="00BA34DE" w:rsidP="00684521">
      <w:pPr>
        <w:spacing w:after="0" w:line="480" w:lineRule="auto"/>
        <w:rPr>
          <w:rFonts w:cstheme="minorHAnsi"/>
          <w:sz w:val="24"/>
          <w:szCs w:val="24"/>
        </w:rPr>
      </w:pPr>
      <w:r w:rsidRPr="006B575B">
        <w:rPr>
          <w:rFonts w:cstheme="minorHAnsi"/>
          <w:sz w:val="24"/>
          <w:szCs w:val="24"/>
        </w:rPr>
        <w:t xml:space="preserve">Lastly, </w:t>
      </w:r>
      <w:r w:rsidR="00012730" w:rsidRPr="006B575B">
        <w:rPr>
          <w:rFonts w:cstheme="minorHAnsi"/>
          <w:sz w:val="24"/>
          <w:szCs w:val="24"/>
        </w:rPr>
        <w:t xml:space="preserve">the </w:t>
      </w:r>
      <w:r w:rsidRPr="006B575B">
        <w:rPr>
          <w:rFonts w:cstheme="minorHAnsi"/>
          <w:sz w:val="24"/>
          <w:szCs w:val="24"/>
        </w:rPr>
        <w:t xml:space="preserve">Ecoinvent processes of lignite {ROW} and hard coal {ROW} have been used in coal LCI modelling. Hard coal represents both anthracite and bituminous coal. </w:t>
      </w:r>
      <w:r w:rsidR="00012730" w:rsidRPr="006B575B">
        <w:rPr>
          <w:rFonts w:cstheme="minorHAnsi"/>
          <w:sz w:val="24"/>
          <w:szCs w:val="24"/>
        </w:rPr>
        <w:t>Herein, the LCI processes include few core processes; such as, lignite coal mining operation, lignite coal preparation, hard coal mining operation, hard coal pr</w:t>
      </w:r>
      <w:r w:rsidR="00FA2988" w:rsidRPr="006B575B">
        <w:rPr>
          <w:rFonts w:cstheme="minorHAnsi"/>
          <w:sz w:val="24"/>
          <w:szCs w:val="24"/>
        </w:rPr>
        <w:t>eparation, open cast mining</w:t>
      </w:r>
      <w:r w:rsidR="00012730" w:rsidRPr="006B575B">
        <w:rPr>
          <w:rFonts w:cstheme="minorHAnsi"/>
          <w:sz w:val="24"/>
          <w:szCs w:val="24"/>
        </w:rPr>
        <w:t xml:space="preserve"> infrastructure, underground mining infrastructure</w:t>
      </w:r>
      <w:r w:rsidR="00FA2988" w:rsidRPr="006B575B">
        <w:rPr>
          <w:rFonts w:cstheme="minorHAnsi"/>
          <w:sz w:val="24"/>
          <w:szCs w:val="24"/>
        </w:rPr>
        <w:t>, etc</w:t>
      </w:r>
      <w:r w:rsidR="00012730" w:rsidRPr="006B575B">
        <w:rPr>
          <w:rFonts w:cstheme="minorHAnsi"/>
          <w:sz w:val="24"/>
          <w:szCs w:val="24"/>
        </w:rPr>
        <w:t>. The inputs from nature include hard coal, lignite coal, off-gas, water, etc. The inputs from technosphere include reinforcing steel, alloy steel, aluminium, cement, concrete, copper, zinc, wood, rubber, plastic, water, organic, inorganic chemicals and o</w:t>
      </w:r>
      <w:r w:rsidR="00DB26F4" w:rsidRPr="006B575B">
        <w:rPr>
          <w:rFonts w:cstheme="minorHAnsi"/>
          <w:sz w:val="24"/>
          <w:szCs w:val="24"/>
        </w:rPr>
        <w:t xml:space="preserve">ther process inputs, </w:t>
      </w:r>
      <w:r w:rsidR="00012730" w:rsidRPr="006B575B">
        <w:rPr>
          <w:rFonts w:cstheme="minorHAnsi"/>
          <w:sz w:val="24"/>
          <w:szCs w:val="24"/>
        </w:rPr>
        <w:t>such as, electricity, transportation, blasting process, diesel, heat energy, etc. In addition, the outputs to the technosphere include spoil</w:t>
      </w:r>
      <w:r w:rsidR="00DB26F4" w:rsidRPr="006B575B">
        <w:rPr>
          <w:rFonts w:cstheme="minorHAnsi"/>
          <w:sz w:val="24"/>
          <w:szCs w:val="24"/>
        </w:rPr>
        <w:t>s</w:t>
      </w:r>
      <w:r w:rsidR="00012730" w:rsidRPr="006B575B">
        <w:rPr>
          <w:rFonts w:cstheme="minorHAnsi"/>
          <w:sz w:val="24"/>
          <w:szCs w:val="24"/>
        </w:rPr>
        <w:t xml:space="preserve"> from lignite and hard coal mining in the form of landfill, incinerated waste, hazardous waste, coal slurry, waste wood, etc.</w:t>
      </w:r>
    </w:p>
    <w:p w:rsidR="00904294" w:rsidRDefault="00904294" w:rsidP="002C0382">
      <w:pPr>
        <w:spacing w:after="0" w:line="480" w:lineRule="auto"/>
        <w:rPr>
          <w:rFonts w:cstheme="minorHAnsi"/>
          <w:sz w:val="24"/>
          <w:szCs w:val="24"/>
        </w:rPr>
      </w:pPr>
    </w:p>
    <w:p w:rsidR="002C0382" w:rsidRPr="006B575B" w:rsidRDefault="002C0382" w:rsidP="002C0382">
      <w:pPr>
        <w:spacing w:after="0" w:line="480" w:lineRule="auto"/>
        <w:rPr>
          <w:rFonts w:cstheme="minorHAnsi"/>
          <w:sz w:val="24"/>
          <w:szCs w:val="24"/>
        </w:rPr>
      </w:pPr>
      <w:r w:rsidRPr="006B575B">
        <w:rPr>
          <w:rFonts w:cstheme="minorHAnsi"/>
          <w:sz w:val="24"/>
          <w:szCs w:val="24"/>
        </w:rPr>
        <w:t>Finally, a licensed copy of SimaPro LCA software version 9.0.0.49 has been used for LCA modelling [6].</w:t>
      </w:r>
    </w:p>
    <w:p w:rsidR="00086150" w:rsidRPr="006B575B" w:rsidRDefault="00086150" w:rsidP="00AA1F96">
      <w:pPr>
        <w:spacing w:after="0" w:line="480" w:lineRule="auto"/>
        <w:rPr>
          <w:rFonts w:cstheme="minorHAnsi"/>
          <w:b/>
          <w:sz w:val="24"/>
          <w:szCs w:val="24"/>
        </w:rPr>
      </w:pPr>
      <w:r w:rsidRPr="006B575B">
        <w:rPr>
          <w:rFonts w:cstheme="minorHAnsi"/>
          <w:b/>
          <w:sz w:val="24"/>
          <w:szCs w:val="24"/>
        </w:rPr>
        <w:lastRenderedPageBreak/>
        <w:t>Supplementary References</w:t>
      </w:r>
    </w:p>
    <w:p w:rsidR="00086150" w:rsidRPr="006B575B" w:rsidRDefault="00086150" w:rsidP="00AA1F96">
      <w:pPr>
        <w:spacing w:after="0" w:line="480" w:lineRule="auto"/>
        <w:rPr>
          <w:rFonts w:cstheme="minorHAnsi"/>
          <w:sz w:val="24"/>
          <w:szCs w:val="24"/>
        </w:rPr>
      </w:pPr>
      <w:r w:rsidRPr="006B575B">
        <w:rPr>
          <w:rFonts w:cstheme="minorHAnsi"/>
          <w:sz w:val="24"/>
          <w:szCs w:val="24"/>
        </w:rPr>
        <w:t xml:space="preserve">1. US Energy Information Administration. Short-Term Energy Outlook </w:t>
      </w:r>
      <w:r w:rsidR="00BA2A55" w:rsidRPr="006B575B">
        <w:rPr>
          <w:rFonts w:cstheme="minorHAnsi"/>
          <w:sz w:val="24"/>
          <w:szCs w:val="24"/>
        </w:rPr>
        <w:t xml:space="preserve">August </w:t>
      </w:r>
      <w:r w:rsidRPr="006B575B">
        <w:rPr>
          <w:rFonts w:cstheme="minorHAnsi"/>
          <w:sz w:val="24"/>
          <w:szCs w:val="24"/>
        </w:rPr>
        <w:t xml:space="preserve">2020. </w:t>
      </w:r>
    </w:p>
    <w:p w:rsidR="00086150" w:rsidRPr="006B575B" w:rsidRDefault="00086150" w:rsidP="00AA1F96">
      <w:pPr>
        <w:spacing w:after="0" w:line="480" w:lineRule="auto"/>
        <w:rPr>
          <w:rFonts w:cstheme="minorHAnsi"/>
          <w:sz w:val="24"/>
          <w:szCs w:val="24"/>
        </w:rPr>
      </w:pPr>
      <w:r w:rsidRPr="006B575B">
        <w:rPr>
          <w:rFonts w:cstheme="minorHAnsi"/>
          <w:sz w:val="24"/>
          <w:szCs w:val="24"/>
        </w:rPr>
        <w:t>Office of Energy Statistics, U.S. Department of Energy, Washington, USA (2020).</w:t>
      </w:r>
    </w:p>
    <w:p w:rsidR="00086150" w:rsidRPr="006B575B" w:rsidRDefault="00086150" w:rsidP="00AA1F96">
      <w:pPr>
        <w:spacing w:after="0" w:line="480" w:lineRule="auto"/>
        <w:rPr>
          <w:rFonts w:cstheme="minorHAnsi"/>
          <w:sz w:val="24"/>
          <w:szCs w:val="24"/>
        </w:rPr>
      </w:pPr>
      <w:r w:rsidRPr="006B575B">
        <w:rPr>
          <w:rFonts w:cstheme="minorHAnsi"/>
          <w:sz w:val="24"/>
          <w:szCs w:val="24"/>
        </w:rPr>
        <w:t>2. US Energy Information Administration. Monthly Energy Review April 2020. DOE/EIA‐0035(2020/4). Office of Energy Statistics, U.S. Department of Energy, Washington, USA (2020).</w:t>
      </w:r>
    </w:p>
    <w:p w:rsidR="00086150" w:rsidRPr="006B575B" w:rsidRDefault="00086150" w:rsidP="00AA1F96">
      <w:pPr>
        <w:spacing w:after="0" w:line="480" w:lineRule="auto"/>
        <w:rPr>
          <w:rFonts w:cstheme="minorHAnsi"/>
          <w:color w:val="000000" w:themeColor="text1"/>
          <w:sz w:val="24"/>
          <w:szCs w:val="24"/>
        </w:rPr>
      </w:pPr>
      <w:r w:rsidRPr="006B575B">
        <w:rPr>
          <w:rFonts w:cstheme="minorHAnsi"/>
          <w:color w:val="000000" w:themeColor="text1"/>
          <w:sz w:val="24"/>
          <w:szCs w:val="24"/>
        </w:rPr>
        <w:t xml:space="preserve">3. US Energy Information Administration. </w:t>
      </w:r>
      <w:r w:rsidR="00EC5A74" w:rsidRPr="006B575B">
        <w:rPr>
          <w:rFonts w:cstheme="minorHAnsi"/>
          <w:color w:val="000000" w:themeColor="text1"/>
          <w:sz w:val="24"/>
          <w:szCs w:val="24"/>
        </w:rPr>
        <w:t xml:space="preserve">As available in </w:t>
      </w:r>
      <w:hyperlink r:id="rId7" w:history="1">
        <w:r w:rsidRPr="006B575B">
          <w:rPr>
            <w:rStyle w:val="Hyperlink"/>
            <w:rFonts w:cstheme="minorHAnsi"/>
            <w:color w:val="000000" w:themeColor="text1"/>
            <w:sz w:val="24"/>
            <w:szCs w:val="24"/>
            <w:u w:val="none"/>
          </w:rPr>
          <w:t>https://www.eia.gov/</w:t>
        </w:r>
      </w:hyperlink>
      <w:r w:rsidR="00512409" w:rsidRPr="006B575B">
        <w:rPr>
          <w:rFonts w:cstheme="minorHAnsi"/>
          <w:color w:val="000000" w:themeColor="text1"/>
          <w:sz w:val="24"/>
          <w:szCs w:val="24"/>
        </w:rPr>
        <w:t>.</w:t>
      </w:r>
      <w:r w:rsidR="00BA2A55" w:rsidRPr="006B575B">
        <w:rPr>
          <w:rFonts w:cstheme="minorHAnsi"/>
          <w:color w:val="000000" w:themeColor="text1"/>
          <w:sz w:val="24"/>
          <w:szCs w:val="24"/>
        </w:rPr>
        <w:t xml:space="preserve"> Accessed in Sep</w:t>
      </w:r>
      <w:r w:rsidR="00512409" w:rsidRPr="006B575B">
        <w:rPr>
          <w:rFonts w:cstheme="minorHAnsi"/>
          <w:color w:val="000000" w:themeColor="text1"/>
          <w:sz w:val="24"/>
          <w:szCs w:val="24"/>
        </w:rPr>
        <w:t>, 2020.</w:t>
      </w:r>
    </w:p>
    <w:p w:rsidR="00086150" w:rsidRPr="006B575B" w:rsidRDefault="00086150" w:rsidP="00AA1F96">
      <w:pPr>
        <w:spacing w:after="0" w:line="480" w:lineRule="auto"/>
        <w:rPr>
          <w:rFonts w:cstheme="minorHAnsi"/>
          <w:sz w:val="24"/>
          <w:szCs w:val="24"/>
        </w:rPr>
      </w:pPr>
      <w:r w:rsidRPr="006B575B">
        <w:rPr>
          <w:rFonts w:cstheme="minorHAnsi"/>
          <w:sz w:val="24"/>
          <w:szCs w:val="24"/>
        </w:rPr>
        <w:t>4. U.S. Energy Information Administration. International Energy Outlook 2019. Office of Energy Statistics, U.S. Department of Energy, Washington, USA (2019).</w:t>
      </w:r>
    </w:p>
    <w:p w:rsidR="00C064DE" w:rsidRPr="006B575B" w:rsidRDefault="00C064DE" w:rsidP="00AA1F96">
      <w:pPr>
        <w:spacing w:after="0" w:line="480" w:lineRule="auto"/>
        <w:rPr>
          <w:rFonts w:cstheme="minorHAnsi"/>
          <w:sz w:val="24"/>
          <w:szCs w:val="24"/>
        </w:rPr>
      </w:pPr>
      <w:r w:rsidRPr="006B575B">
        <w:rPr>
          <w:rFonts w:cstheme="minorHAnsi"/>
          <w:sz w:val="24"/>
          <w:szCs w:val="24"/>
        </w:rPr>
        <w:t>5. Ecoinvent version 3.</w:t>
      </w:r>
      <w:r w:rsidR="005A55FF" w:rsidRPr="006B575B">
        <w:rPr>
          <w:rFonts w:cstheme="minorHAnsi"/>
          <w:sz w:val="24"/>
          <w:szCs w:val="24"/>
        </w:rPr>
        <w:t>6</w:t>
      </w:r>
      <w:r w:rsidRPr="006B575B">
        <w:rPr>
          <w:rFonts w:cstheme="minorHAnsi"/>
          <w:sz w:val="24"/>
          <w:szCs w:val="24"/>
        </w:rPr>
        <w:t>. As available in https://www.ecoinvent.org/databa</w:t>
      </w:r>
      <w:r w:rsidR="005A55FF" w:rsidRPr="006B575B">
        <w:rPr>
          <w:rFonts w:cstheme="minorHAnsi"/>
          <w:sz w:val="24"/>
          <w:szCs w:val="24"/>
        </w:rPr>
        <w:t xml:space="preserve">se. Accessed in </w:t>
      </w:r>
      <w:r w:rsidR="00BA2A55" w:rsidRPr="006B575B">
        <w:rPr>
          <w:rFonts w:cstheme="minorHAnsi"/>
          <w:sz w:val="24"/>
          <w:szCs w:val="24"/>
        </w:rPr>
        <w:t>Sep,</w:t>
      </w:r>
      <w:r w:rsidR="005A55FF" w:rsidRPr="006B575B">
        <w:rPr>
          <w:rFonts w:cstheme="minorHAnsi"/>
          <w:sz w:val="24"/>
          <w:szCs w:val="24"/>
        </w:rPr>
        <w:t xml:space="preserve"> 2020</w:t>
      </w:r>
      <w:r w:rsidRPr="006B575B">
        <w:rPr>
          <w:rFonts w:cstheme="minorHAnsi"/>
          <w:sz w:val="24"/>
          <w:szCs w:val="24"/>
        </w:rPr>
        <w:t>.</w:t>
      </w:r>
    </w:p>
    <w:p w:rsidR="00C064DE" w:rsidRPr="006B575B" w:rsidRDefault="00BA2A55" w:rsidP="00AA1F96">
      <w:pPr>
        <w:spacing w:after="0" w:line="480" w:lineRule="auto"/>
        <w:rPr>
          <w:rFonts w:cstheme="minorHAnsi"/>
          <w:sz w:val="24"/>
          <w:szCs w:val="24"/>
        </w:rPr>
      </w:pPr>
      <w:r w:rsidRPr="006B575B">
        <w:rPr>
          <w:rFonts w:cstheme="minorHAnsi"/>
          <w:sz w:val="24"/>
          <w:szCs w:val="24"/>
        </w:rPr>
        <w:t>6. SimaPro version 9.0.0.49</w:t>
      </w:r>
      <w:r w:rsidR="00C064DE" w:rsidRPr="006B575B">
        <w:rPr>
          <w:rFonts w:cstheme="minorHAnsi"/>
          <w:sz w:val="24"/>
          <w:szCs w:val="24"/>
        </w:rPr>
        <w:t xml:space="preserve">. </w:t>
      </w:r>
      <w:proofErr w:type="spellStart"/>
      <w:r w:rsidR="00C064DE" w:rsidRPr="006B575B">
        <w:rPr>
          <w:rFonts w:cstheme="minorHAnsi"/>
          <w:sz w:val="24"/>
          <w:szCs w:val="24"/>
        </w:rPr>
        <w:t>PRé</w:t>
      </w:r>
      <w:proofErr w:type="spellEnd"/>
      <w:r w:rsidR="00C064DE" w:rsidRPr="006B575B">
        <w:rPr>
          <w:rFonts w:cstheme="minorHAnsi"/>
          <w:sz w:val="24"/>
          <w:szCs w:val="24"/>
        </w:rPr>
        <w:t>. Quantifying sustainability. As available in https://www.presu</w:t>
      </w:r>
      <w:r w:rsidRPr="006B575B">
        <w:rPr>
          <w:rFonts w:cstheme="minorHAnsi"/>
          <w:sz w:val="24"/>
          <w:szCs w:val="24"/>
        </w:rPr>
        <w:t>stainability.com/. Accessed in Sep</w:t>
      </w:r>
      <w:r w:rsidR="00C064DE" w:rsidRPr="006B575B">
        <w:rPr>
          <w:rFonts w:cstheme="minorHAnsi"/>
          <w:sz w:val="24"/>
          <w:szCs w:val="24"/>
        </w:rPr>
        <w:t>, 2020.</w:t>
      </w:r>
    </w:p>
    <w:p w:rsidR="00C064DE" w:rsidRPr="006B575B" w:rsidRDefault="00C064DE" w:rsidP="00AA1F96">
      <w:pPr>
        <w:spacing w:after="0" w:line="480" w:lineRule="auto"/>
        <w:rPr>
          <w:rFonts w:cstheme="minorHAnsi"/>
          <w:sz w:val="24"/>
          <w:szCs w:val="24"/>
        </w:rPr>
      </w:pPr>
      <w:bookmarkStart w:id="0" w:name="_GoBack"/>
      <w:bookmarkEnd w:id="0"/>
    </w:p>
    <w:sectPr w:rsidR="00C064DE" w:rsidRPr="006B57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E1" w:rsidRDefault="00B109E1" w:rsidP="00AA1F96">
      <w:pPr>
        <w:spacing w:after="0" w:line="240" w:lineRule="auto"/>
      </w:pPr>
      <w:r>
        <w:separator/>
      </w:r>
    </w:p>
  </w:endnote>
  <w:endnote w:type="continuationSeparator" w:id="0">
    <w:p w:rsidR="00B109E1" w:rsidRDefault="00B109E1" w:rsidP="00AA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2729"/>
      <w:docPartObj>
        <w:docPartGallery w:val="Page Numbers (Bottom of Page)"/>
        <w:docPartUnique/>
      </w:docPartObj>
    </w:sdtPr>
    <w:sdtEndPr>
      <w:rPr>
        <w:noProof/>
      </w:rPr>
    </w:sdtEndPr>
    <w:sdtContent>
      <w:p w:rsidR="00AA1F96" w:rsidRDefault="00AA1F96">
        <w:pPr>
          <w:pStyle w:val="Footer"/>
          <w:jc w:val="right"/>
        </w:pPr>
        <w:r>
          <w:fldChar w:fldCharType="begin"/>
        </w:r>
        <w:r>
          <w:instrText xml:space="preserve"> PAGE   \* MERGEFORMAT </w:instrText>
        </w:r>
        <w:r>
          <w:fldChar w:fldCharType="separate"/>
        </w:r>
        <w:r w:rsidR="00910977">
          <w:rPr>
            <w:noProof/>
          </w:rPr>
          <w:t>8</w:t>
        </w:r>
        <w:r>
          <w:rPr>
            <w:noProof/>
          </w:rPr>
          <w:fldChar w:fldCharType="end"/>
        </w:r>
      </w:p>
    </w:sdtContent>
  </w:sdt>
  <w:p w:rsidR="00AA1F96" w:rsidRDefault="00AA1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E1" w:rsidRDefault="00B109E1" w:rsidP="00AA1F96">
      <w:pPr>
        <w:spacing w:after="0" w:line="240" w:lineRule="auto"/>
      </w:pPr>
      <w:r>
        <w:separator/>
      </w:r>
    </w:p>
  </w:footnote>
  <w:footnote w:type="continuationSeparator" w:id="0">
    <w:p w:rsidR="00B109E1" w:rsidRDefault="00B109E1" w:rsidP="00AA1F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3C"/>
    <w:rsid w:val="0000060C"/>
    <w:rsid w:val="00011181"/>
    <w:rsid w:val="00012730"/>
    <w:rsid w:val="000639F4"/>
    <w:rsid w:val="00086150"/>
    <w:rsid w:val="00092B3A"/>
    <w:rsid w:val="000E6474"/>
    <w:rsid w:val="00124ABA"/>
    <w:rsid w:val="001635FA"/>
    <w:rsid w:val="001835B1"/>
    <w:rsid w:val="001D53FF"/>
    <w:rsid w:val="001F6DC3"/>
    <w:rsid w:val="00217798"/>
    <w:rsid w:val="0022363B"/>
    <w:rsid w:val="002467D8"/>
    <w:rsid w:val="002C0382"/>
    <w:rsid w:val="002C4B08"/>
    <w:rsid w:val="002E55B0"/>
    <w:rsid w:val="002F1C50"/>
    <w:rsid w:val="00352884"/>
    <w:rsid w:val="00357780"/>
    <w:rsid w:val="00397B9D"/>
    <w:rsid w:val="003A2B3C"/>
    <w:rsid w:val="003B57C2"/>
    <w:rsid w:val="003F777B"/>
    <w:rsid w:val="00402C86"/>
    <w:rsid w:val="00423CC0"/>
    <w:rsid w:val="00427E4E"/>
    <w:rsid w:val="0043622B"/>
    <w:rsid w:val="0045632A"/>
    <w:rsid w:val="004D260D"/>
    <w:rsid w:val="00512409"/>
    <w:rsid w:val="00541C09"/>
    <w:rsid w:val="0057261F"/>
    <w:rsid w:val="005A55FF"/>
    <w:rsid w:val="005F3921"/>
    <w:rsid w:val="005F4A77"/>
    <w:rsid w:val="0064227E"/>
    <w:rsid w:val="00667E4C"/>
    <w:rsid w:val="00682054"/>
    <w:rsid w:val="00684521"/>
    <w:rsid w:val="006973FB"/>
    <w:rsid w:val="006B575B"/>
    <w:rsid w:val="006F0791"/>
    <w:rsid w:val="00706A24"/>
    <w:rsid w:val="007324F3"/>
    <w:rsid w:val="00757A56"/>
    <w:rsid w:val="00790450"/>
    <w:rsid w:val="007F685A"/>
    <w:rsid w:val="00814E92"/>
    <w:rsid w:val="00814FAE"/>
    <w:rsid w:val="00863E42"/>
    <w:rsid w:val="0088529F"/>
    <w:rsid w:val="008B7F0F"/>
    <w:rsid w:val="008F271F"/>
    <w:rsid w:val="008F378A"/>
    <w:rsid w:val="0090308F"/>
    <w:rsid w:val="00904294"/>
    <w:rsid w:val="00910977"/>
    <w:rsid w:val="009347F4"/>
    <w:rsid w:val="0096534A"/>
    <w:rsid w:val="00971D4D"/>
    <w:rsid w:val="00990135"/>
    <w:rsid w:val="00995ACB"/>
    <w:rsid w:val="009A3224"/>
    <w:rsid w:val="009B78FB"/>
    <w:rsid w:val="00A2011A"/>
    <w:rsid w:val="00A45CAE"/>
    <w:rsid w:val="00A469A6"/>
    <w:rsid w:val="00A962FB"/>
    <w:rsid w:val="00AA1F96"/>
    <w:rsid w:val="00AB72F4"/>
    <w:rsid w:val="00AC1698"/>
    <w:rsid w:val="00AD019A"/>
    <w:rsid w:val="00AD5C29"/>
    <w:rsid w:val="00B109E1"/>
    <w:rsid w:val="00B17083"/>
    <w:rsid w:val="00B22EA5"/>
    <w:rsid w:val="00B34776"/>
    <w:rsid w:val="00BA2A55"/>
    <w:rsid w:val="00BA34DE"/>
    <w:rsid w:val="00BA5D88"/>
    <w:rsid w:val="00BC58C6"/>
    <w:rsid w:val="00BC6615"/>
    <w:rsid w:val="00BE5F9D"/>
    <w:rsid w:val="00C064DE"/>
    <w:rsid w:val="00C15C14"/>
    <w:rsid w:val="00C22394"/>
    <w:rsid w:val="00C51AAB"/>
    <w:rsid w:val="00CF52E8"/>
    <w:rsid w:val="00D369DB"/>
    <w:rsid w:val="00D47891"/>
    <w:rsid w:val="00D51D6E"/>
    <w:rsid w:val="00D53B44"/>
    <w:rsid w:val="00D540A8"/>
    <w:rsid w:val="00D56A6C"/>
    <w:rsid w:val="00D96BE3"/>
    <w:rsid w:val="00DB26F4"/>
    <w:rsid w:val="00DC014C"/>
    <w:rsid w:val="00DC767A"/>
    <w:rsid w:val="00E71CE8"/>
    <w:rsid w:val="00E86351"/>
    <w:rsid w:val="00E86789"/>
    <w:rsid w:val="00EC5A74"/>
    <w:rsid w:val="00EE2668"/>
    <w:rsid w:val="00EE5E8E"/>
    <w:rsid w:val="00F31B7B"/>
    <w:rsid w:val="00F34EE9"/>
    <w:rsid w:val="00F50886"/>
    <w:rsid w:val="00FA2988"/>
    <w:rsid w:val="00FD4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EE90"/>
  <w15:chartTrackingRefBased/>
  <w15:docId w15:val="{44A25AC4-34F4-4E86-AD98-5EB5F3E6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08F"/>
    <w:rPr>
      <w:color w:val="0000FF"/>
      <w:u w:val="single"/>
    </w:rPr>
  </w:style>
  <w:style w:type="paragraph" w:styleId="Header">
    <w:name w:val="header"/>
    <w:basedOn w:val="Normal"/>
    <w:link w:val="HeaderChar"/>
    <w:uiPriority w:val="99"/>
    <w:unhideWhenUsed/>
    <w:rsid w:val="00AA1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F96"/>
  </w:style>
  <w:style w:type="paragraph" w:styleId="Footer">
    <w:name w:val="footer"/>
    <w:basedOn w:val="Normal"/>
    <w:link w:val="FooterChar"/>
    <w:uiPriority w:val="99"/>
    <w:unhideWhenUsed/>
    <w:rsid w:val="00AA1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F96"/>
  </w:style>
  <w:style w:type="table" w:styleId="TableGrid">
    <w:name w:val="Table Grid"/>
    <w:basedOn w:val="TableNormal"/>
    <w:uiPriority w:val="39"/>
    <w:rsid w:val="007F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79098">
      <w:bodyDiv w:val="1"/>
      <w:marLeft w:val="0"/>
      <w:marRight w:val="0"/>
      <w:marTop w:val="0"/>
      <w:marBottom w:val="0"/>
      <w:divBdr>
        <w:top w:val="none" w:sz="0" w:space="0" w:color="auto"/>
        <w:left w:val="none" w:sz="0" w:space="0" w:color="auto"/>
        <w:bottom w:val="none" w:sz="0" w:space="0" w:color="auto"/>
        <w:right w:val="none" w:sz="0" w:space="0" w:color="auto"/>
      </w:divBdr>
    </w:div>
    <w:div w:id="1081754796">
      <w:bodyDiv w:val="1"/>
      <w:marLeft w:val="0"/>
      <w:marRight w:val="0"/>
      <w:marTop w:val="0"/>
      <w:marBottom w:val="0"/>
      <w:divBdr>
        <w:top w:val="none" w:sz="0" w:space="0" w:color="auto"/>
        <w:left w:val="none" w:sz="0" w:space="0" w:color="auto"/>
        <w:bottom w:val="none" w:sz="0" w:space="0" w:color="auto"/>
        <w:right w:val="none" w:sz="0" w:space="0" w:color="auto"/>
      </w:divBdr>
    </w:div>
    <w:div w:id="15875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i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brur.rashedi@cdu.edu.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Rashedi</dc:creator>
  <cp:keywords/>
  <dc:description/>
  <cp:lastModifiedBy>A Rashedi</cp:lastModifiedBy>
  <cp:revision>35</cp:revision>
  <dcterms:created xsi:type="dcterms:W3CDTF">2020-09-20T06:01:00Z</dcterms:created>
  <dcterms:modified xsi:type="dcterms:W3CDTF">2020-11-08T03:35:00Z</dcterms:modified>
</cp:coreProperties>
</file>