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637" w:rsidRPr="00E60AE2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E60AE2">
        <w:rPr>
          <w:rFonts w:ascii="Palatino Linotype" w:hAnsi="Palatino Linotype"/>
          <w:b w:val="0"/>
        </w:rPr>
        <w:t>Table S1: Statistical evaluation of agronomic parameters and qPCR measurements tested using pairwise t-Test.</w:t>
      </w:r>
    </w:p>
    <w:tbl>
      <w:tblPr>
        <w:tblW w:w="810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00"/>
        <w:gridCol w:w="1200"/>
        <w:gridCol w:w="1200"/>
        <w:gridCol w:w="1200"/>
        <w:gridCol w:w="1200"/>
      </w:tblGrid>
      <w:tr w:rsidR="00884637" w:rsidRPr="00B03225" w:rsidTr="004E7EE8">
        <w:trPr>
          <w:trHeight w:val="227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Test set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CB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E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mergence rate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0.493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0.15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0.435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0.355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0.116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0.024</w:t>
            </w:r>
          </w:p>
        </w:tc>
      </w:tr>
      <w:tr w:rsidR="00884637" w:rsidRPr="00B03225" w:rsidTr="004E7EE8">
        <w:trPr>
          <w:trHeight w:val="70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F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resh weight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0.168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0.811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0.269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0.021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0.339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0.043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Y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ield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0.94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0.69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0.82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Melk</w:t>
            </w:r>
          </w:p>
        </w:tc>
        <w:tc>
          <w:tcPr>
            <w:tcW w:w="210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E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mergence rate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0.434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0.084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0.282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0.915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0.496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0.099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F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resh weight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0.98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0.24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0.28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0.22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Y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ield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0.55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0.53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0.98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0.34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0.72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proofErr w:type="spellStart"/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Mitterdorf</w:t>
            </w:r>
            <w:proofErr w:type="spellEnd"/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E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mergence rate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0.889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70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0.414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0.493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0.017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0.021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0.063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F</w:t>
            </w:r>
            <w:r w:rsidRPr="00B03225">
              <w:rPr>
                <w:rFonts w:ascii="Palatino Linotype" w:hAnsi="Palatino Linotype" w:cs="Calibri"/>
                <w:sz w:val="18"/>
                <w:szCs w:val="18"/>
              </w:rPr>
              <w:t>resh weight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0.031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0.353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0.141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0.017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0.713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0.078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0.58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Yield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</w:t>
            </w:r>
            <w:r>
              <w:rPr>
                <w:rFonts w:ascii="Palatino Linotype" w:hAnsi="Palatino Linotype" w:cs="Calibri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0.87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0.78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sz w:val="18"/>
                <w:szCs w:val="18"/>
              </w:rPr>
              <w:t>0.91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tcBorders>
              <w:top w:val="nil"/>
              <w:bottom w:val="single" w:sz="4" w:space="0" w:color="auto"/>
            </w:tcBorders>
            <w:vAlign w:val="center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B03225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637" w:rsidRPr="00B03225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sz w:val="18"/>
                <w:szCs w:val="18"/>
              </w:rPr>
            </w:pP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qPCR</w:t>
            </w: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Bulk_soil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sz w:val="18"/>
                <w:szCs w:val="18"/>
              </w:rPr>
              <w:t>CB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sz w:val="18"/>
                <w:szCs w:val="18"/>
              </w:rPr>
              <w:t>CF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sz w:val="18"/>
                <w:szCs w:val="18"/>
              </w:rPr>
              <w:t>P69B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vAlign w:val="center"/>
            <w:hideMark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CB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vAlign w:val="center"/>
            <w:hideMark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Merge/>
            <w:vAlign w:val="center"/>
            <w:hideMark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P69B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0.00013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5.90E-05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2.00E-05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-</w:t>
            </w:r>
          </w:p>
        </w:tc>
      </w:tr>
      <w:tr w:rsidR="00884637" w:rsidRPr="00B03225" w:rsidTr="004E7EE8">
        <w:trPr>
          <w:trHeight w:val="227"/>
        </w:trPr>
        <w:tc>
          <w:tcPr>
            <w:tcW w:w="1200" w:type="dxa"/>
            <w:vAlign w:val="center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Calibri"/>
                <w:b/>
                <w:bCs/>
                <w:sz w:val="18"/>
                <w:szCs w:val="18"/>
              </w:rPr>
              <w:t>P69F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6</w:t>
            </w:r>
            <w:r>
              <w:rPr>
                <w:rFonts w:ascii="Palatino Linotype" w:hAnsi="Palatino Linotype" w:cs="Calibri"/>
                <w:sz w:val="18"/>
                <w:szCs w:val="18"/>
              </w:rPr>
              <w:t>.</w:t>
            </w:r>
            <w:r w:rsidRPr="004F17A9">
              <w:rPr>
                <w:rFonts w:ascii="Palatino Linotype" w:hAnsi="Palatino Linotype" w:cs="Calibri"/>
                <w:sz w:val="18"/>
                <w:szCs w:val="18"/>
              </w:rPr>
              <w:t>3</w:t>
            </w:r>
            <w:r>
              <w:rPr>
                <w:rFonts w:ascii="Palatino Linotype" w:hAnsi="Palatino Linotype" w:cs="Calibri"/>
                <w:sz w:val="18"/>
                <w:szCs w:val="18"/>
              </w:rPr>
              <w:t>0E-05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2</w:t>
            </w:r>
            <w:r>
              <w:rPr>
                <w:rFonts w:ascii="Palatino Linotype" w:hAnsi="Palatino Linotype" w:cs="Calibri"/>
                <w:sz w:val="18"/>
                <w:szCs w:val="18"/>
              </w:rPr>
              <w:t>.</w:t>
            </w:r>
            <w:r w:rsidRPr="004F17A9">
              <w:rPr>
                <w:rFonts w:ascii="Palatino Linotype" w:hAnsi="Palatino Linotype" w:cs="Calibri"/>
                <w:sz w:val="18"/>
                <w:szCs w:val="18"/>
              </w:rPr>
              <w:t>9</w:t>
            </w:r>
            <w:r>
              <w:rPr>
                <w:rFonts w:ascii="Palatino Linotype" w:hAnsi="Palatino Linotype" w:cs="Calibri"/>
                <w:sz w:val="18"/>
                <w:szCs w:val="18"/>
              </w:rPr>
              <w:t>0E-05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4F17A9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>
              <w:rPr>
                <w:rFonts w:ascii="Palatino Linotype" w:hAnsi="Palatino Linotype" w:cs="Calibri"/>
                <w:sz w:val="18"/>
                <w:szCs w:val="18"/>
              </w:rPr>
              <w:t>.00E-05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84637" w:rsidRPr="004F17A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</w:tr>
    </w:tbl>
    <w:p w:rsidR="00884637" w:rsidRDefault="00884637" w:rsidP="00884637">
      <w:pPr>
        <w:pStyle w:val="Beschriftung"/>
        <w:keepNext/>
      </w:pPr>
    </w:p>
    <w:p w:rsidR="00884637" w:rsidRPr="00E60AE2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E60AE2">
        <w:rPr>
          <w:rFonts w:ascii="Palatino Linotype" w:hAnsi="Palatino Linotype"/>
          <w:b w:val="0"/>
        </w:rPr>
        <w:t>Table S</w:t>
      </w:r>
      <w:r>
        <w:rPr>
          <w:rFonts w:ascii="Palatino Linotype" w:hAnsi="Palatino Linotype"/>
          <w:b w:val="0"/>
        </w:rPr>
        <w:t>2</w:t>
      </w:r>
      <w:r w:rsidRPr="00E60AE2">
        <w:rPr>
          <w:rFonts w:ascii="Palatino Linotype" w:hAnsi="Palatino Linotype"/>
          <w:b w:val="0"/>
        </w:rPr>
        <w:t>: Sequencing overview of 16S amplicons for each sample and observed alpha diversity.</w:t>
      </w:r>
    </w:p>
    <w:tbl>
      <w:tblPr>
        <w:tblW w:w="7878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1166"/>
        <w:gridCol w:w="1053"/>
        <w:gridCol w:w="1041"/>
        <w:gridCol w:w="1022"/>
        <w:gridCol w:w="925"/>
      </w:tblGrid>
      <w:tr w:rsidR="00884637" w:rsidRPr="00E60AE2" w:rsidTr="004E7EE8">
        <w:trPr>
          <w:trHeight w:val="2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Sample ID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Sample type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Field location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Treatment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Filtered quality sequences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Shannon diversity index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36260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6.3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33070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6.3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16690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soil_Mitterdorf4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9193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5.6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21547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lastRenderedPageBreak/>
              <w:t>soil_Melk2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12472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68602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6.8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soil_Melk4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37257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rhizosphere_Mitterdorf_CB1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</w:rPr>
              <w:t>30527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bCs/>
                <w:sz w:val="18"/>
                <w:szCs w:val="18"/>
              </w:rPr>
              <w:t>6.2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rhizosphere_Mitterdorf_CB2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</w:rPr>
              <w:t>53169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bCs/>
                <w:sz w:val="18"/>
                <w:szCs w:val="18"/>
              </w:rPr>
              <w:t>6.3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rhizosphere_Mitterdorf_CB3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</w:rPr>
              <w:t>14234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bCs/>
                <w:sz w:val="18"/>
                <w:szCs w:val="18"/>
              </w:rPr>
              <w:t>5.9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30068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14246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5.1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40783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7766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2790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4.9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5393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40360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5.8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27217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11194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5.1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11280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5.6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32102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19881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106544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3.8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13501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48768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6503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31655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6.3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51874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6.6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48190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20570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5.5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_bacteria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E60AE2">
              <w:rPr>
                <w:rFonts w:ascii="Palatino Linotype" w:hAnsi="Palatino Linotype"/>
                <w:sz w:val="18"/>
                <w:szCs w:val="18"/>
              </w:rPr>
              <w:t>23315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6E75EE" w:rsidRDefault="00884637" w:rsidP="004E7EE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E75EE">
              <w:rPr>
                <w:rFonts w:ascii="Palatino Linotype" w:hAnsi="Palatino Linotype"/>
                <w:sz w:val="18"/>
                <w:szCs w:val="18"/>
              </w:rPr>
              <w:t>6.0</w:t>
            </w:r>
          </w:p>
        </w:tc>
      </w:tr>
    </w:tbl>
    <w:p w:rsidR="00884637" w:rsidRPr="00E60AE2" w:rsidRDefault="00884637" w:rsidP="00884637">
      <w:pPr>
        <w:rPr>
          <w:rFonts w:ascii="Palatino Linotype" w:hAnsi="Palatino Linotype"/>
          <w:sz w:val="18"/>
          <w:szCs w:val="18"/>
          <w:lang w:eastAsia="en-US"/>
        </w:rPr>
      </w:pPr>
    </w:p>
    <w:p w:rsidR="00884637" w:rsidRPr="00E60AE2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E60AE2">
        <w:rPr>
          <w:rFonts w:ascii="Palatino Linotype" w:hAnsi="Palatino Linotype"/>
          <w:b w:val="0"/>
        </w:rPr>
        <w:t>Table S</w:t>
      </w:r>
      <w:r>
        <w:rPr>
          <w:rFonts w:ascii="Palatino Linotype" w:hAnsi="Palatino Linotype"/>
          <w:b w:val="0"/>
        </w:rPr>
        <w:t>3</w:t>
      </w:r>
      <w:r w:rsidRPr="00E60AE2">
        <w:rPr>
          <w:rFonts w:ascii="Palatino Linotype" w:hAnsi="Palatino Linotype"/>
          <w:b w:val="0"/>
        </w:rPr>
        <w:t>: Sequencing overview of ITS amplicons for each sample and observed alpha diversity.</w:t>
      </w:r>
    </w:p>
    <w:tbl>
      <w:tblPr>
        <w:tblW w:w="7878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166"/>
        <w:gridCol w:w="1053"/>
        <w:gridCol w:w="1041"/>
        <w:gridCol w:w="1022"/>
        <w:gridCol w:w="925"/>
      </w:tblGrid>
      <w:tr w:rsidR="00884637" w:rsidRPr="00E60AE2" w:rsidTr="004E7EE8">
        <w:trPr>
          <w:trHeight w:val="2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Sample ID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Sample type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Field location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Treatment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Filtered quality sequences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Shannon diversity index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5541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1293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1.8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4181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soil_Mitterdorf4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1944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1.6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1540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2825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2.8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15208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soil_Melk4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soil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none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5733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rhizosphere_Mitterdorf_CB1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3109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rhizosphere_Mitterdorf_CB2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1072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lastRenderedPageBreak/>
              <w:t>rhizosphere_Mitterdorf_CB3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9758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4016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3.1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1936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7557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6712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3837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2.3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rhizosphere_Mitterdorf_CF3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5318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5581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2948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rhizosphere_Melk_CF3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CF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4714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13190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2.2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5307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3.0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5263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4183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6224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rhizosphere_Melk_P69B3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P69B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10616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2.4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7158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5744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rhizosphere_Mitterdorf_P69F3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proofErr w:type="spellStart"/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Mitterdorf</w:t>
            </w:r>
            <w:proofErr w:type="spell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7342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1.7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rhizosphere_Melk_P69F1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1626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2.9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rhizosphere_Melk_P69F2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4077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2.5</w:t>
            </w:r>
          </w:p>
        </w:tc>
      </w:tr>
      <w:tr w:rsidR="00884637" w:rsidRPr="00E60AE2" w:rsidTr="004E7EE8">
        <w:trPr>
          <w:trHeight w:val="20"/>
        </w:trPr>
        <w:tc>
          <w:tcPr>
            <w:tcW w:w="267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rhizosphere_Melk_P69F3</w:t>
            </w:r>
            <w:r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_fungi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rhizosphere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Melk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884637" w:rsidRPr="00E60AE2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P69F</w:t>
            </w:r>
          </w:p>
        </w:tc>
        <w:tc>
          <w:tcPr>
            <w:tcW w:w="1022" w:type="dxa"/>
            <w:shd w:val="clear" w:color="auto" w:fill="auto"/>
            <w:noWrap/>
            <w:vAlign w:val="bottom"/>
            <w:hideMark/>
          </w:tcPr>
          <w:p w:rsidR="00884637" w:rsidRPr="00E60AE2" w:rsidRDefault="00884637" w:rsidP="004E7EE8">
            <w:pPr>
              <w:spacing w:line="240" w:lineRule="auto"/>
              <w:jc w:val="right"/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E60AE2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780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884637" w:rsidRPr="008D793E" w:rsidRDefault="00884637" w:rsidP="004E7EE8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8D793E">
              <w:rPr>
                <w:rFonts w:ascii="Palatino Linotype" w:hAnsi="Palatino Linotype"/>
                <w:sz w:val="18"/>
                <w:szCs w:val="18"/>
              </w:rPr>
              <w:t>3.0</w:t>
            </w:r>
          </w:p>
        </w:tc>
      </w:tr>
    </w:tbl>
    <w:p w:rsidR="00884637" w:rsidRDefault="00884637" w:rsidP="00884637">
      <w:pPr>
        <w:pStyle w:val="MDPI61Supplementary"/>
        <w:spacing w:before="120"/>
      </w:pPr>
    </w:p>
    <w:p w:rsidR="00884637" w:rsidRPr="00A0319B" w:rsidRDefault="00884637" w:rsidP="00884637">
      <w:pPr>
        <w:pStyle w:val="Beschriftung"/>
        <w:keepNext/>
        <w:jc w:val="center"/>
        <w:rPr>
          <w:rFonts w:ascii="Palatino Linotype" w:hAnsi="Palatino Linotype"/>
          <w:b w:val="0"/>
        </w:rPr>
      </w:pPr>
      <w:r w:rsidRPr="00A0319B">
        <w:rPr>
          <w:rFonts w:ascii="Palatino Linotype" w:hAnsi="Palatino Linotype"/>
          <w:b w:val="0"/>
        </w:rPr>
        <w:t>Table S</w:t>
      </w:r>
      <w:r>
        <w:rPr>
          <w:rFonts w:ascii="Palatino Linotype" w:hAnsi="Palatino Linotype"/>
          <w:b w:val="0"/>
        </w:rPr>
        <w:t>4</w:t>
      </w:r>
      <w:r w:rsidRPr="00A0319B">
        <w:rPr>
          <w:rFonts w:ascii="Palatino Linotype" w:hAnsi="Palatino Linotype"/>
          <w:b w:val="0"/>
        </w:rPr>
        <w:t>: Statistical evaluation of explained impact of different factors on bacterial and fungal diversity</w:t>
      </w:r>
      <w:r>
        <w:rPr>
          <w:rFonts w:ascii="Palatino Linotype" w:hAnsi="Palatino Linotype"/>
          <w:b w:val="0"/>
        </w:rPr>
        <w:t>.</w:t>
      </w:r>
    </w:p>
    <w:tbl>
      <w:tblPr>
        <w:tblW w:w="78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223"/>
        <w:gridCol w:w="1167"/>
        <w:gridCol w:w="587"/>
        <w:gridCol w:w="1134"/>
        <w:gridCol w:w="992"/>
      </w:tblGrid>
      <w:tr w:rsidR="00884637" w:rsidRPr="00A0319B" w:rsidTr="004E7EE8">
        <w:trPr>
          <w:trHeight w:val="20"/>
          <w:jc w:val="center"/>
        </w:trPr>
        <w:tc>
          <w:tcPr>
            <w:tcW w:w="27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Factor</w:t>
            </w:r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Bacterial richness analysis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Fungal richness analysis</w:t>
            </w: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F</w:t>
            </w:r>
            <w:r w:rsidRPr="00A0319B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 xml:space="preserve"> </w:t>
            </w:r>
            <w:r w:rsidRPr="00A0319B">
              <w:rPr>
                <w:rFonts w:ascii="Palatino Linotype" w:hAnsi="Palatino Linotype" w:cs="Calibri"/>
                <w:sz w:val="18"/>
                <w:szCs w:val="18"/>
              </w:rPr>
              <w:t>value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P value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F</w:t>
            </w:r>
            <w:r w:rsidRPr="00A0319B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 xml:space="preserve"> </w:t>
            </w:r>
            <w:r w:rsidRPr="00A0319B">
              <w:rPr>
                <w:rFonts w:ascii="Palatino Linotype" w:hAnsi="Palatino Linotype" w:cs="Calibri"/>
                <w:sz w:val="18"/>
                <w:szCs w:val="18"/>
              </w:rPr>
              <w:t>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P value</w:t>
            </w: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Soil only dataset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Location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2.019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0.205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23.63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0.003</w:t>
            </w: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bookmarkStart w:id="0" w:name="RANGE!A8"/>
            <w:r w:rsidRPr="00A0319B">
              <w:rPr>
                <w:rFonts w:ascii="Palatino Linotype" w:hAnsi="Palatino Linotype" w:cs="Calibri"/>
                <w:sz w:val="18"/>
                <w:szCs w:val="18"/>
              </w:rPr>
              <w:t xml:space="preserve">Rhizosphere </w:t>
            </w:r>
            <w:proofErr w:type="spellStart"/>
            <w:r w:rsidRPr="00A0319B">
              <w:rPr>
                <w:rFonts w:ascii="Palatino Linotype" w:hAnsi="Palatino Linotype" w:cs="Calibri"/>
                <w:sz w:val="18"/>
                <w:szCs w:val="18"/>
              </w:rPr>
              <w:t>Mitterdorf</w:t>
            </w:r>
            <w:proofErr w:type="spellEnd"/>
            <w:r w:rsidRPr="00A0319B">
              <w:rPr>
                <w:rFonts w:ascii="Palatino Linotype" w:hAnsi="Palatino Linotype" w:cs="Calibri"/>
                <w:sz w:val="18"/>
                <w:szCs w:val="18"/>
              </w:rPr>
              <w:t xml:space="preserve"> dataset </w:t>
            </w:r>
            <w:bookmarkEnd w:id="0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Treatment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3.97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0.052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0.483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0.703</w:t>
            </w: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 xml:space="preserve">Rhizosphere </w:t>
            </w:r>
            <w:r>
              <w:rPr>
                <w:rFonts w:ascii="Palatino Linotype" w:hAnsi="Palatino Linotype" w:cs="Calibri"/>
                <w:sz w:val="18"/>
                <w:szCs w:val="18"/>
              </w:rPr>
              <w:t>Melk</w:t>
            </w:r>
            <w:r w:rsidRPr="00A0319B">
              <w:rPr>
                <w:rFonts w:ascii="Palatino Linotype" w:hAnsi="Palatino Linotype" w:cs="Calibri"/>
                <w:sz w:val="18"/>
                <w:szCs w:val="18"/>
              </w:rPr>
              <w:t xml:space="preserve"> dataset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884637" w:rsidRPr="00A0319B" w:rsidTr="004E7EE8">
        <w:trPr>
          <w:trHeight w:val="20"/>
          <w:jc w:val="center"/>
        </w:trPr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Treatment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0.384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0.767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1.812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A0319B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de-DE"/>
              </w:rPr>
            </w:pPr>
            <w:r w:rsidRPr="00A0319B">
              <w:rPr>
                <w:rFonts w:ascii="Palatino Linotype" w:hAnsi="Palatino Linotype" w:cs="Calibri"/>
                <w:sz w:val="18"/>
                <w:szCs w:val="18"/>
              </w:rPr>
              <w:t>0.223</w:t>
            </w:r>
          </w:p>
        </w:tc>
      </w:tr>
    </w:tbl>
    <w:p w:rsidR="00884637" w:rsidRPr="00A0319B" w:rsidRDefault="00884637" w:rsidP="00884637">
      <w:pPr>
        <w:rPr>
          <w:lang w:eastAsia="en-US"/>
        </w:rPr>
      </w:pPr>
    </w:p>
    <w:p w:rsidR="00884637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4F17A9">
        <w:rPr>
          <w:rFonts w:ascii="Palatino Linotype" w:hAnsi="Palatino Linotype"/>
          <w:b w:val="0"/>
        </w:rPr>
        <w:t xml:space="preserve">Table S5: DESeq2 analysis of bacterial ASVs on the site </w:t>
      </w:r>
      <w:proofErr w:type="spellStart"/>
      <w:r w:rsidRPr="004F17A9">
        <w:rPr>
          <w:rFonts w:ascii="Palatino Linotype" w:hAnsi="Palatino Linotype"/>
          <w:b w:val="0"/>
        </w:rPr>
        <w:t>Mitterdorf</w:t>
      </w:r>
      <w:proofErr w:type="spellEnd"/>
      <w:r w:rsidRPr="004F17A9">
        <w:rPr>
          <w:rFonts w:ascii="Palatino Linotype" w:hAnsi="Palatino Linotype"/>
          <w:b w:val="0"/>
        </w:rPr>
        <w:t>. Significantly different ASVs with log-change above 2 are shown.</w:t>
      </w:r>
    </w:p>
    <w:tbl>
      <w:tblPr>
        <w:tblW w:w="8388" w:type="dxa"/>
        <w:tblLook w:val="04A0" w:firstRow="1" w:lastRow="0" w:firstColumn="1" w:lastColumn="0" w:noHBand="0" w:noVBand="1"/>
      </w:tblPr>
      <w:tblGrid>
        <w:gridCol w:w="1202"/>
        <w:gridCol w:w="1531"/>
        <w:gridCol w:w="960"/>
        <w:gridCol w:w="2072"/>
        <w:gridCol w:w="2789"/>
      </w:tblGrid>
      <w:tr w:rsidR="00884637" w:rsidRPr="00335559" w:rsidTr="004E7EE8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Comparison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log2FoldChange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p</w:t>
            </w:r>
            <w:r w:rsidRPr="00335559">
              <w:rPr>
                <w:rFonts w:ascii="Palatino Linotype" w:hAnsi="Palatino Linotype" w:cs="Calibri"/>
                <w:sz w:val="18"/>
                <w:szCs w:val="18"/>
                <w:vertAlign w:val="subscript"/>
                <w:lang w:val="en-GB" w:eastAsia="en-GB"/>
              </w:rPr>
              <w:t>adj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Genus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CB:CF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0.033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Holophagae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7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Stenotrophomonas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0.006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Subgroup_6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Bacteroidia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env.OPS17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Subgroup_6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Massilia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Ellin6067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Subgroup_6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Ellin6067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Verrucomicrobiae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Candidatus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Xiphinematobacter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KD4-96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KD4-96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0.030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Bacilli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Bacillus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0.031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Alphaproteobacteria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Nordella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Verrucomicrobiae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Candidatus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Xiphinematobacter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0.010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Subgroup_6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Bacteroidia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Flavobacterium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Rhizobacter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CB:P69B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0.045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Verrucomicrobiae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Opitutaceae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0.030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Anaerolineae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 xml:space="preserve">uncultured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Anaerolineaceae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KD4-96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KD4-96</w:t>
            </w: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CB:P69F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Verrucomicrobiae</w:t>
            </w:r>
            <w:proofErr w:type="spellEnd"/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Candidatus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Xiphinematobacter</w:t>
            </w:r>
            <w:proofErr w:type="spellEnd"/>
          </w:p>
        </w:tc>
      </w:tr>
    </w:tbl>
    <w:p w:rsidR="00884637" w:rsidRPr="00335559" w:rsidRDefault="00884637" w:rsidP="00884637">
      <w:pPr>
        <w:rPr>
          <w:lang w:eastAsia="en-US"/>
        </w:rPr>
      </w:pPr>
    </w:p>
    <w:p w:rsidR="00884637" w:rsidRPr="00E60AE2" w:rsidRDefault="00884637" w:rsidP="00884637">
      <w:pPr>
        <w:rPr>
          <w:rFonts w:ascii="Palatino Linotype" w:hAnsi="Palatino Linotype"/>
          <w:sz w:val="18"/>
          <w:szCs w:val="18"/>
          <w:lang w:eastAsia="en-US"/>
        </w:rPr>
      </w:pPr>
    </w:p>
    <w:p w:rsidR="00884637" w:rsidRPr="004F17A9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4F17A9">
        <w:rPr>
          <w:rFonts w:ascii="Palatino Linotype" w:hAnsi="Palatino Linotype"/>
          <w:b w:val="0"/>
        </w:rPr>
        <w:t>Table S6: DESeq2 analysis of bacterial ASVs on the site Melk. Significantly different ASVs with log-change above 2 are shown.</w:t>
      </w:r>
    </w:p>
    <w:tbl>
      <w:tblPr>
        <w:tblW w:w="7909" w:type="dxa"/>
        <w:tblLook w:val="04A0" w:firstRow="1" w:lastRow="0" w:firstColumn="1" w:lastColumn="0" w:noHBand="0" w:noVBand="1"/>
      </w:tblPr>
      <w:tblGrid>
        <w:gridCol w:w="1220"/>
        <w:gridCol w:w="1600"/>
        <w:gridCol w:w="960"/>
        <w:gridCol w:w="2072"/>
        <w:gridCol w:w="2057"/>
      </w:tblGrid>
      <w:tr w:rsidR="00884637" w:rsidRPr="00335559" w:rsidTr="004E7EE8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Comparison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log2FoldChange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1A40ED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p</w:t>
            </w:r>
            <w:r w:rsidRPr="001A40ED">
              <w:rPr>
                <w:rFonts w:ascii="Palatino Linotype" w:hAnsi="Palatino Linotype" w:cs="Calibri"/>
                <w:sz w:val="18"/>
                <w:szCs w:val="18"/>
                <w:vertAlign w:val="subscript"/>
                <w:lang w:val="en-GB" w:eastAsia="en-GB"/>
              </w:rPr>
              <w:t>adj</w:t>
            </w:r>
            <w:proofErr w:type="spell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Genus</w:t>
            </w: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CB:CF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Janthinobacterium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Bacteroidia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Pedobacter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Luteibacter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Holophagae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7</w:t>
            </w: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8.0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Subgroup 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uncultured Subgroup 6</w:t>
            </w: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Achromobacter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Bacteroidia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Pedobacter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Janthinobacterium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-11.6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Luteibacter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Massilia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Janthinobacterium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Bacteroidia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Pedobacter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center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0.001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Gammaproteobacteria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  <w:lang w:val="en-GB" w:eastAsia="en-GB"/>
              </w:rPr>
              <w:t>Achromobacter</w:t>
            </w:r>
            <w:proofErr w:type="spellEnd"/>
          </w:p>
        </w:tc>
      </w:tr>
    </w:tbl>
    <w:p w:rsidR="00884637" w:rsidRPr="00335559" w:rsidRDefault="00884637" w:rsidP="00884637">
      <w:pPr>
        <w:rPr>
          <w:lang w:eastAsia="en-US"/>
        </w:rPr>
      </w:pPr>
    </w:p>
    <w:p w:rsidR="00884637" w:rsidRPr="00E60AE2" w:rsidRDefault="00884637" w:rsidP="00884637">
      <w:pPr>
        <w:rPr>
          <w:rFonts w:ascii="Palatino Linotype" w:hAnsi="Palatino Linotype"/>
          <w:sz w:val="18"/>
          <w:szCs w:val="18"/>
          <w:lang w:eastAsia="en-US"/>
        </w:rPr>
      </w:pPr>
    </w:p>
    <w:p w:rsidR="00884637" w:rsidRPr="004F17A9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4F17A9">
        <w:rPr>
          <w:rFonts w:ascii="Palatino Linotype" w:hAnsi="Palatino Linotype"/>
          <w:b w:val="0"/>
        </w:rPr>
        <w:t xml:space="preserve">Table S7: DESeq2 analysis of fungal ASVs on the site </w:t>
      </w:r>
      <w:proofErr w:type="spellStart"/>
      <w:r w:rsidRPr="004F17A9">
        <w:rPr>
          <w:rFonts w:ascii="Palatino Linotype" w:hAnsi="Palatino Linotype"/>
          <w:b w:val="0"/>
        </w:rPr>
        <w:t>Mitterdorf</w:t>
      </w:r>
      <w:proofErr w:type="spellEnd"/>
      <w:r w:rsidRPr="004F17A9">
        <w:rPr>
          <w:rFonts w:ascii="Palatino Linotype" w:hAnsi="Palatino Linotype"/>
          <w:b w:val="0"/>
        </w:rPr>
        <w:t>. Significantly different ASVs with log-change above 2 are shown.</w:t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1202"/>
        <w:gridCol w:w="1531"/>
        <w:gridCol w:w="956"/>
        <w:gridCol w:w="3607"/>
        <w:gridCol w:w="2287"/>
      </w:tblGrid>
      <w:tr w:rsidR="00884637" w:rsidRPr="00335559" w:rsidTr="004E7EE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Comparison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log2FoldChange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padj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Genus</w:t>
            </w:r>
          </w:p>
        </w:tc>
      </w:tr>
      <w:tr w:rsidR="00884637" w:rsidRPr="00335559" w:rsidTr="004E7EE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CB:CF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22.0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Sordariomycetes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Unidentified</w:t>
            </w:r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Nectriaceae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-20.2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Mortierellomycotina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cls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Incertae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sedis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Mortierella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i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i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CB:P69F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-21.2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&lt;0.001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Mortierellomycotina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cls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Incertae</w:t>
            </w:r>
            <w:proofErr w:type="spellEnd"/>
            <w:r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sedis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sz w:val="18"/>
                <w:szCs w:val="18"/>
                <w:lang w:val="en-GB" w:eastAsia="en-GB"/>
              </w:rPr>
              <w:t>Mortierella</w:t>
            </w:r>
            <w:proofErr w:type="spellEnd"/>
          </w:p>
        </w:tc>
      </w:tr>
    </w:tbl>
    <w:p w:rsidR="00884637" w:rsidRPr="00335559" w:rsidRDefault="00884637" w:rsidP="00884637">
      <w:pPr>
        <w:rPr>
          <w:highlight w:val="red"/>
          <w:lang w:eastAsia="en-US"/>
        </w:rPr>
      </w:pPr>
    </w:p>
    <w:p w:rsidR="00884637" w:rsidRPr="006B7BC6" w:rsidRDefault="00884637" w:rsidP="00884637">
      <w:pPr>
        <w:rPr>
          <w:lang w:eastAsia="en-US"/>
        </w:rPr>
      </w:pPr>
    </w:p>
    <w:p w:rsidR="00884637" w:rsidRPr="004F17A9" w:rsidRDefault="00884637" w:rsidP="00884637">
      <w:pPr>
        <w:pStyle w:val="Beschriftung"/>
        <w:keepNext/>
        <w:rPr>
          <w:rFonts w:ascii="Palatino Linotype" w:hAnsi="Palatino Linotype"/>
          <w:b w:val="0"/>
        </w:rPr>
      </w:pPr>
      <w:r w:rsidRPr="004F17A9">
        <w:rPr>
          <w:rFonts w:ascii="Palatino Linotype" w:hAnsi="Palatino Linotype"/>
          <w:b w:val="0"/>
        </w:rPr>
        <w:t>Table S8: DESeq2 analysis of fungal ASVs on the site Melk. Significantly different ASVs with log-change above 2 are shown.</w:t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1202"/>
        <w:gridCol w:w="1531"/>
        <w:gridCol w:w="945"/>
        <w:gridCol w:w="3563"/>
        <w:gridCol w:w="2260"/>
      </w:tblGrid>
      <w:tr w:rsidR="00884637" w:rsidRPr="00335559" w:rsidTr="004E7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Comparison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log2FoldChange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padj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Genus</w:t>
            </w:r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CB:CF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-20.5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Mortierellomycotina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cls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Incertae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sedis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-21.3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Sordariomycetes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unidentified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Nectriaceae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CB:P69B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-22.6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Mortierellomycotina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cls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Incertae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sedis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Mortierella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21.9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Spizellomycetes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Spizellomyces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-22.0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Sordariomycetes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unidentified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Nectriaceae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/>
                <w:color w:val="auto"/>
                <w:sz w:val="18"/>
                <w:szCs w:val="18"/>
                <w:lang w:val="en-GB" w:eastAsia="en-GB"/>
              </w:rPr>
            </w:pPr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  <w:t>CB:P69F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-24.2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Sordariomycetes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unidentified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Nectriaceae</w:t>
            </w:r>
            <w:proofErr w:type="spellEnd"/>
          </w:p>
        </w:tc>
      </w:tr>
      <w:tr w:rsidR="00884637" w:rsidRPr="00335559" w:rsidTr="004E7EE8">
        <w:trPr>
          <w:trHeight w:val="300"/>
        </w:trPr>
        <w:tc>
          <w:tcPr>
            <w:tcW w:w="12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-20.7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righ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r w:rsidRPr="00335559">
              <w:rPr>
                <w:rFonts w:ascii="Palatino Linotype" w:hAnsi="Palatino Linotype" w:cs="Calibri"/>
                <w:sz w:val="18"/>
                <w:szCs w:val="18"/>
              </w:rPr>
              <w:t>&lt;0.001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Mortierellomycotina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cls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Incertae</w:t>
            </w:r>
            <w:proofErr w:type="spellEnd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sedis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637" w:rsidRPr="00335559" w:rsidRDefault="00884637" w:rsidP="004E7EE8">
            <w:pPr>
              <w:spacing w:line="240" w:lineRule="auto"/>
              <w:jc w:val="left"/>
              <w:rPr>
                <w:rFonts w:ascii="Palatino Linotype" w:hAnsi="Palatino Linotype" w:cs="Calibri"/>
                <w:sz w:val="18"/>
                <w:szCs w:val="18"/>
                <w:lang w:val="en-GB" w:eastAsia="en-GB"/>
              </w:rPr>
            </w:pPr>
            <w:proofErr w:type="spellStart"/>
            <w:r w:rsidRPr="00335559">
              <w:rPr>
                <w:rFonts w:ascii="Palatino Linotype" w:hAnsi="Palatino Linotype" w:cs="Calibri"/>
                <w:i/>
                <w:iCs/>
                <w:sz w:val="18"/>
                <w:szCs w:val="18"/>
              </w:rPr>
              <w:t>Mortierella</w:t>
            </w:r>
            <w:proofErr w:type="spellEnd"/>
          </w:p>
        </w:tc>
      </w:tr>
    </w:tbl>
    <w:p w:rsidR="002F4709" w:rsidRDefault="002F4709">
      <w:bookmarkStart w:id="1" w:name="_GoBack"/>
      <w:bookmarkEnd w:id="1"/>
    </w:p>
    <w:sectPr w:rsidR="002F4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7"/>
    <w:rsid w:val="00281B49"/>
    <w:rsid w:val="002F4709"/>
    <w:rsid w:val="00884637"/>
    <w:rsid w:val="009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39F38B-A57B-4700-8DB4-885064C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4637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61Supplementary">
    <w:name w:val="MDPI_6.1_Supplementary"/>
    <w:basedOn w:val="Standard"/>
    <w:qFormat/>
    <w:rsid w:val="00884637"/>
    <w:pPr>
      <w:adjustRightInd w:val="0"/>
      <w:snapToGrid w:val="0"/>
      <w:spacing w:before="240" w:line="200" w:lineRule="atLeast"/>
    </w:pPr>
    <w:rPr>
      <w:rFonts w:ascii="Palatino Linotype" w:hAnsi="Palatino Linotype"/>
      <w:snapToGrid w:val="0"/>
      <w:sz w:val="18"/>
      <w:lang w:eastAsia="en-US" w:bidi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84637"/>
    <w:pPr>
      <w:spacing w:after="200" w:line="240" w:lineRule="auto"/>
    </w:pPr>
    <w:rPr>
      <w:rFonts w:ascii="Calibri" w:eastAsia="Calibri" w:hAnsi="Calibri"/>
      <w:b/>
      <w:iCs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Kusstatscher, Peter</dc:creator>
  <cp:keywords/>
  <dc:description/>
  <cp:lastModifiedBy>Kusstatscher, Peter</cp:lastModifiedBy>
  <cp:revision>1</cp:revision>
  <dcterms:created xsi:type="dcterms:W3CDTF">2020-08-19T12:07:00Z</dcterms:created>
  <dcterms:modified xsi:type="dcterms:W3CDTF">2020-08-19T12:08:00Z</dcterms:modified>
</cp:coreProperties>
</file>