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A9D" w:rsidRDefault="00472A9D" w:rsidP="00124E5A">
      <w:pPr>
        <w:pStyle w:val="berschrift2"/>
      </w:pPr>
      <w:r>
        <w:t>Supplementary Material to</w:t>
      </w:r>
    </w:p>
    <w:p w:rsidR="00472A9D" w:rsidRPr="00472A9D" w:rsidRDefault="00472A9D" w:rsidP="00472A9D">
      <w:pPr>
        <w:jc w:val="center"/>
        <w:rPr>
          <w:b/>
          <w:bCs/>
          <w:sz w:val="36"/>
          <w:szCs w:val="32"/>
        </w:rPr>
      </w:pPr>
      <w:proofErr w:type="gramStart"/>
      <w:r w:rsidRPr="00472A9D">
        <w:rPr>
          <w:b/>
          <w:bCs/>
          <w:sz w:val="36"/>
          <w:szCs w:val="32"/>
        </w:rPr>
        <w:t>High-throughput</w:t>
      </w:r>
      <w:proofErr w:type="gramEnd"/>
      <w:r w:rsidRPr="00472A9D">
        <w:rPr>
          <w:b/>
          <w:bCs/>
          <w:sz w:val="36"/>
          <w:szCs w:val="32"/>
        </w:rPr>
        <w:t xml:space="preserve"> dielectrophoretic filtration of sub-micron and micro particles in macroscopic porous materials</w:t>
      </w:r>
    </w:p>
    <w:p w:rsidR="00472A9D" w:rsidRDefault="00472A9D" w:rsidP="00124E5A">
      <w:pPr>
        <w:pStyle w:val="berschrift2"/>
      </w:pPr>
    </w:p>
    <w:p w:rsidR="00124E5A" w:rsidRPr="00A90454" w:rsidRDefault="00124E5A" w:rsidP="00124E5A">
      <w:pPr>
        <w:pStyle w:val="berschrift2"/>
      </w:pPr>
      <w:r>
        <w:t>A</w:t>
      </w:r>
      <w:r w:rsidR="00472A9D">
        <w:t>.</w:t>
      </w:r>
      <w:r>
        <w:t xml:space="preserve"> FABRICATION OF OPEN POROUS ALUMINA-MULLITE FILTERS</w:t>
      </w:r>
    </w:p>
    <w:p w:rsidR="00124E5A" w:rsidRPr="003763A9" w:rsidRDefault="00124E5A" w:rsidP="00124E5A">
      <w:pPr>
        <w:rPr>
          <w:rFonts w:cs="Times New Roman"/>
        </w:rPr>
      </w:pPr>
      <w:r w:rsidRPr="003763A9">
        <w:rPr>
          <w:rFonts w:cs="Times New Roman"/>
        </w:rPr>
        <w:t>The open porous ceramics were produced via direct foaming of a highly loaded particulate alumina mullite suspension. After frothing the ceramic slurry by incorporation of air the foam can be cast in various forms and self-solidifies while drying. The dried green foam samples are reaction sintered at 1650°C to obtain their ceramic properties. After cooling down the porous ceramics can be easily sawed and shaped to any form with conventional tools.</w:t>
      </w:r>
    </w:p>
    <w:p w:rsidR="00124E5A" w:rsidRPr="003763A9" w:rsidRDefault="00124E5A" w:rsidP="00124E5A">
      <w:pPr>
        <w:rPr>
          <w:rFonts w:cs="Times New Roman"/>
        </w:rPr>
      </w:pPr>
      <w:r w:rsidRPr="003763A9">
        <w:rPr>
          <w:rFonts w:cs="Times New Roman"/>
        </w:rPr>
        <w:t>The low air content</w:t>
      </w:r>
      <w:r>
        <w:rPr>
          <w:rFonts w:cs="Times New Roman"/>
        </w:rPr>
        <w:t xml:space="preserve"> </w:t>
      </w:r>
      <w:r w:rsidRPr="003763A9">
        <w:rPr>
          <w:rFonts w:cs="Times New Roman"/>
        </w:rPr>
        <w:t>in the foam</w:t>
      </w:r>
      <w:r>
        <w:rPr>
          <w:rFonts w:cs="Times New Roman"/>
        </w:rPr>
        <w:t>,</w:t>
      </w:r>
      <w:r w:rsidRPr="003763A9">
        <w:rPr>
          <w:rFonts w:cs="Times New Roman"/>
        </w:rPr>
        <w:t xml:space="preserve"> </w:t>
      </w:r>
      <w:r>
        <w:rPr>
          <w:rFonts w:cs="Times New Roman"/>
        </w:rPr>
        <w:t xml:space="preserve">in contrast to polyhedral foams, </w:t>
      </w:r>
      <w:r w:rsidRPr="003763A9">
        <w:rPr>
          <w:rFonts w:cs="Times New Roman"/>
        </w:rPr>
        <w:t>caused the bubble like structure and the perfectly spherical cell geometry (</w:t>
      </w:r>
      <w:proofErr w:type="spellStart"/>
      <w:r w:rsidRPr="003763A9">
        <w:rPr>
          <w:rFonts w:cs="Times New Roman"/>
        </w:rPr>
        <w:t>Kugelschaum</w:t>
      </w:r>
      <w:proofErr w:type="spellEnd"/>
      <w:r w:rsidRPr="003763A9">
        <w:rPr>
          <w:rFonts w:cs="Times New Roman"/>
        </w:rPr>
        <w:t>). Cell opening</w:t>
      </w:r>
      <w:r>
        <w:rPr>
          <w:rFonts w:cs="Times New Roman"/>
        </w:rPr>
        <w:t xml:space="preserve"> (window formation)</w:t>
      </w:r>
      <w:r w:rsidRPr="003763A9">
        <w:rPr>
          <w:rFonts w:cs="Times New Roman"/>
        </w:rPr>
        <w:t xml:space="preserve"> in the foam took place in the first stadium of drying after a certain amount of water is evaporated and before the structure becomes rigid.</w:t>
      </w:r>
    </w:p>
    <w:p w:rsidR="00124E5A" w:rsidRPr="003763A9" w:rsidRDefault="00854E3F" w:rsidP="00124E5A">
      <w:pPr>
        <w:rPr>
          <w:rFonts w:cs="Times New Roman"/>
        </w:rPr>
      </w:pPr>
      <w:r>
        <w:rPr>
          <w:rFonts w:cs="Times New Roman"/>
        </w:rPr>
        <w:t xml:space="preserve">Pore </w:t>
      </w:r>
      <w:r w:rsidR="00124E5A" w:rsidRPr="003763A9">
        <w:rPr>
          <w:rFonts w:cs="Times New Roman"/>
        </w:rPr>
        <w:t xml:space="preserve">and </w:t>
      </w:r>
      <w:r>
        <w:rPr>
          <w:rFonts w:cs="Times New Roman"/>
        </w:rPr>
        <w:t xml:space="preserve">pore </w:t>
      </w:r>
      <w:r w:rsidR="00124E5A" w:rsidRPr="003763A9">
        <w:rPr>
          <w:rFonts w:cs="Times New Roman"/>
        </w:rPr>
        <w:t>window</w:t>
      </w:r>
      <w:r>
        <w:rPr>
          <w:rFonts w:cs="Times New Roman"/>
        </w:rPr>
        <w:t xml:space="preserve"> </w:t>
      </w:r>
      <w:r w:rsidR="00124E5A" w:rsidRPr="003763A9">
        <w:rPr>
          <w:rFonts w:cs="Times New Roman"/>
        </w:rPr>
        <w:t xml:space="preserve">sizes are influenced by process parameters and the initial recipe of the slurry. The duration of foaming and the rotational speed of the impeller while frothing have a strong impact on the cell size. Other Parameters like the air to suspension ratio of the foam and the solid load in the suspension as well as the grain size and form of the particles that are used influence the stability of </w:t>
      </w:r>
      <w:r w:rsidR="00124E5A">
        <w:rPr>
          <w:rFonts w:cs="Times New Roman"/>
        </w:rPr>
        <w:t>the foam and also affect</w:t>
      </w:r>
      <w:r w:rsidR="00124E5A" w:rsidRPr="003763A9">
        <w:rPr>
          <w:rFonts w:cs="Times New Roman"/>
        </w:rPr>
        <w:t xml:space="preserve"> the size of the pore windows. Porous ceramic foams with no interconnected pores (closed cell foams that are impermeable) as well as highly interconnected pores (open cell foams with a high permeability) and everything in between can be manufactured with our production method. </w:t>
      </w:r>
    </w:p>
    <w:p w:rsidR="00124E5A" w:rsidRPr="003763A9" w:rsidRDefault="00124E5A" w:rsidP="00124E5A">
      <w:pPr>
        <w:rPr>
          <w:rFonts w:cs="Times New Roman"/>
        </w:rPr>
      </w:pPr>
      <w:r w:rsidRPr="003763A9">
        <w:rPr>
          <w:rFonts w:cs="Times New Roman"/>
        </w:rPr>
        <w:t xml:space="preserve">The successful usage of </w:t>
      </w:r>
      <w:r>
        <w:rPr>
          <w:rFonts w:cs="Times New Roman"/>
        </w:rPr>
        <w:t>these</w:t>
      </w:r>
      <w:r w:rsidRPr="003763A9">
        <w:rPr>
          <w:rFonts w:cs="Times New Roman"/>
        </w:rPr>
        <w:t xml:space="preserve"> porous ceramic foams as a filter material shows that there are far more applications than the initial one, sound absorption under high temperature. </w:t>
      </w:r>
    </w:p>
    <w:p w:rsidR="00124E5A" w:rsidRPr="00A77CE4" w:rsidRDefault="00124E5A" w:rsidP="00124E5A">
      <w:pPr>
        <w:rPr>
          <w:rFonts w:cs="Times New Roman"/>
        </w:rPr>
      </w:pPr>
      <w:r w:rsidRPr="003763A9">
        <w:rPr>
          <w:rFonts w:cs="Times New Roman"/>
        </w:rPr>
        <w:t>The production procedure and</w:t>
      </w:r>
      <w:r w:rsidR="00A77CE4">
        <w:rPr>
          <w:rFonts w:cs="Times New Roman"/>
        </w:rPr>
        <w:t xml:space="preserve"> the ceramic foams are patented </w:t>
      </w:r>
      <w:r w:rsidR="00A77CE4" w:rsidRPr="00A77CE4">
        <w:rPr>
          <w:rFonts w:cs="Times New Roman"/>
        </w:rPr>
        <w:t xml:space="preserve">(Deutsche </w:t>
      </w:r>
      <w:proofErr w:type="spellStart"/>
      <w:r w:rsidR="00A77CE4" w:rsidRPr="00A77CE4">
        <w:rPr>
          <w:rFonts w:cs="Times New Roman"/>
        </w:rPr>
        <w:t>Patentanmeldung</w:t>
      </w:r>
      <w:proofErr w:type="spellEnd"/>
      <w:r w:rsidR="00A77CE4" w:rsidRPr="00A77CE4">
        <w:rPr>
          <w:rFonts w:cs="Times New Roman"/>
        </w:rPr>
        <w:t xml:space="preserve"> Nr. 10 2018 106 260.5).</w:t>
      </w:r>
    </w:p>
    <w:p w:rsidR="00792549" w:rsidRPr="00A90454" w:rsidRDefault="00472A9D" w:rsidP="00C712AE">
      <w:pPr>
        <w:pStyle w:val="berschrift2"/>
      </w:pPr>
      <w:r>
        <w:t>B.</w:t>
      </w:r>
      <w:r w:rsidR="00C712AE">
        <w:t xml:space="preserve"> PORE DIAMETER AND PORE WINDOW DIAMETER FROM CT DATA</w:t>
      </w:r>
    </w:p>
    <w:p w:rsidR="00792549" w:rsidRDefault="00792549" w:rsidP="00792549">
      <w:pPr>
        <w:rPr>
          <w:rFonts w:cs="Times New Roman"/>
        </w:rPr>
      </w:pPr>
      <w:r w:rsidRPr="00123799">
        <w:rPr>
          <w:rFonts w:cs="Times New Roman"/>
        </w:rPr>
        <w:t>CT image stacks (920 to 1016 images of 1004x1024 pixel) of the alumina filter structures were obtained with a</w:t>
      </w:r>
      <w:r>
        <w:rPr>
          <w:rFonts w:cs="Times New Roman"/>
        </w:rPr>
        <w:t xml:space="preserve"> CT scanner phoenix </w:t>
      </w:r>
      <w:proofErr w:type="spellStart"/>
      <w:r>
        <w:rPr>
          <w:rFonts w:cs="Times New Roman"/>
        </w:rPr>
        <w:t>v|tome|x</w:t>
      </w:r>
      <w:proofErr w:type="spellEnd"/>
      <w:r>
        <w:rPr>
          <w:rFonts w:cs="Times New Roman"/>
        </w:rPr>
        <w:t xml:space="preserve"> m research edition (General Electric)</w:t>
      </w:r>
      <w:r w:rsidRPr="00123799">
        <w:rPr>
          <w:rFonts w:cs="Times New Roman"/>
        </w:rPr>
        <w:t xml:space="preserve"> funded by MAPEX (</w:t>
      </w:r>
      <w:proofErr w:type="spellStart"/>
      <w:r w:rsidRPr="00123799">
        <w:rPr>
          <w:rFonts w:cs="Times New Roman"/>
        </w:rPr>
        <w:t>Center</w:t>
      </w:r>
      <w:proofErr w:type="spellEnd"/>
      <w:r w:rsidRPr="00123799">
        <w:rPr>
          <w:rFonts w:cs="Times New Roman"/>
        </w:rPr>
        <w:t xml:space="preserve"> for Materials and Processes, University of Bremen, Germany</w:t>
      </w:r>
      <w:r w:rsidRPr="00F82B7A">
        <w:rPr>
          <w:rFonts w:cs="Times New Roman"/>
        </w:rPr>
        <w:t xml:space="preserve">). All structures </w:t>
      </w:r>
      <w:r>
        <w:rPr>
          <w:rFonts w:cs="Times New Roman"/>
        </w:rPr>
        <w:t>were scanned</w:t>
      </w:r>
      <w:r w:rsidRPr="00123799">
        <w:rPr>
          <w:rFonts w:cs="Times New Roman"/>
        </w:rPr>
        <w:t xml:space="preserve"> with 6 µm voxel edge</w:t>
      </w:r>
      <w:r>
        <w:rPr>
          <w:rFonts w:cs="Times New Roman"/>
        </w:rPr>
        <w:t xml:space="preserve"> length so that the observed volume had was a cube with 6 mm edge length and contained at least 4300 pores and 5600 pore windows. </w:t>
      </w:r>
      <w:r w:rsidRPr="00123799">
        <w:rPr>
          <w:rFonts w:cs="Times New Roman"/>
        </w:rPr>
        <w:t>The image stacks</w:t>
      </w:r>
      <w:r>
        <w:rPr>
          <w:rFonts w:cs="Times New Roman"/>
        </w:rPr>
        <w:t xml:space="preserve"> (exemplary image from the stack in Figure S1a)</w:t>
      </w:r>
      <w:r w:rsidRPr="00123799">
        <w:rPr>
          <w:rFonts w:cs="Times New Roman"/>
        </w:rPr>
        <w:t xml:space="preserve"> were subsequently binarized (filter material = 0, porous volume = 1) with ImageJ by using the ImageJ integrated median filter with a radius of 2 pixels and removing noise and very small pores of 3 pixels in diameter (ImageJ, Process, Noise, Remove Outliners…)</w:t>
      </w:r>
      <w:r>
        <w:rPr>
          <w:rFonts w:cs="Times New Roman"/>
        </w:rPr>
        <w:t xml:space="preserve"> (Figure S1b</w:t>
      </w:r>
      <w:r w:rsidRPr="00123799">
        <w:rPr>
          <w:rFonts w:cs="Times New Roman"/>
        </w:rPr>
        <w:t xml:space="preserve">). Subsequently the </w:t>
      </w:r>
      <w:proofErr w:type="spellStart"/>
      <w:r w:rsidRPr="00123799">
        <w:rPr>
          <w:rFonts w:cs="Times New Roman"/>
        </w:rPr>
        <w:t>DIPimage</w:t>
      </w:r>
      <w:proofErr w:type="spellEnd"/>
      <w:r w:rsidRPr="00123799">
        <w:rPr>
          <w:rFonts w:cs="Times New Roman"/>
        </w:rPr>
        <w:t xml:space="preserve"> package version 2.9 was used in MATLAB</w:t>
      </w:r>
      <w:r>
        <w:rPr>
          <w:rFonts w:cs="Times New Roman"/>
        </w:rPr>
        <w:t xml:space="preserve"> to generate a 3d structure from the stack data and segregate the resulting porous volume into pores by using the </w:t>
      </w:r>
      <w:r w:rsidR="008678CC">
        <w:rPr>
          <w:rFonts w:cs="Times New Roman"/>
        </w:rPr>
        <w:t>watershed algorithm on the Euclidian</w:t>
      </w:r>
      <w:r>
        <w:rPr>
          <w:rFonts w:cs="Times New Roman"/>
        </w:rPr>
        <w:t xml:space="preserve"> distance transformed image stack (Figure S1c). We accounted only for pores that were completely present in the observed volume (pores connected to the frame of the image stack were removed). For each pore we calculated the volume equivalent sphere diameter and determined the volume </w:t>
      </w:r>
      <w:r>
        <w:rPr>
          <w:rFonts w:cs="Times New Roman"/>
        </w:rPr>
        <w:lastRenderedPageBreak/>
        <w:t xml:space="preserve">weighed median pore diameter </w:t>
      </w:r>
      <w:r w:rsidRPr="000848B2">
        <w:rPr>
          <w:rFonts w:cs="Times New Roman"/>
          <w:i/>
        </w:rPr>
        <w:t>d</w:t>
      </w:r>
      <w:r w:rsidRPr="000848B2">
        <w:rPr>
          <w:rFonts w:cs="Times New Roman"/>
          <w:vertAlign w:val="subscript"/>
        </w:rPr>
        <w:t>pore,3</w:t>
      </w:r>
      <w:r>
        <w:rPr>
          <w:rFonts w:cs="Times New Roman"/>
        </w:rPr>
        <w:t xml:space="preserve"> </w:t>
      </w:r>
      <w:r w:rsidR="008678CC">
        <w:rPr>
          <w:rFonts w:cs="Times New Roman"/>
        </w:rPr>
        <w:t>representative</w:t>
      </w:r>
      <w:r>
        <w:rPr>
          <w:rFonts w:cs="Times New Roman"/>
        </w:rPr>
        <w:t xml:space="preserve"> for the pore size distribution. The area equivalent pore window diameter of each surface that separated two pores (black lines between pores in Figure S1c) was also determined. Subsequently the area weighed median diameter of the pore window diameter distribution was calculated.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95C94" w:rsidTr="00345AD0">
        <w:tc>
          <w:tcPr>
            <w:tcW w:w="9072" w:type="dxa"/>
          </w:tcPr>
          <w:p w:rsidR="00995C94" w:rsidRPr="002903B4" w:rsidRDefault="006C2822" w:rsidP="00995C94">
            <w:pPr>
              <w:jc w:val="left"/>
              <w:rPr>
                <w:rFonts w:cs="Times New Roman"/>
              </w:rPr>
            </w:pPr>
            <w:r>
              <w:rPr>
                <w:rFonts w:cs="Times New Roman"/>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S1" style="width:453.6pt;height:135.2pt;mso-width-percent:0;mso-height-percent:0;mso-width-percent:0;mso-height-percent:0">
                  <v:imagedata r:id="rId6" o:title="FigS1"/>
                </v:shape>
              </w:pict>
            </w:r>
          </w:p>
        </w:tc>
      </w:tr>
      <w:tr w:rsidR="00792549" w:rsidTr="00995C94">
        <w:tc>
          <w:tcPr>
            <w:tcW w:w="9072" w:type="dxa"/>
          </w:tcPr>
          <w:p w:rsidR="00792549" w:rsidRDefault="00792549" w:rsidP="009808A9">
            <w:pPr>
              <w:rPr>
                <w:rFonts w:cs="Times New Roman"/>
              </w:rPr>
            </w:pPr>
            <w:r>
              <w:rPr>
                <w:rFonts w:cs="Times New Roman"/>
              </w:rPr>
              <w:t xml:space="preserve">Figure S1: The images show exemplary the progression from CT images to distinguished spherical pores for the ceramic </w:t>
            </w:r>
            <w:proofErr w:type="spellStart"/>
            <w:r w:rsidR="009808A9">
              <w:rPr>
                <w:rFonts w:cs="Times New Roman"/>
              </w:rPr>
              <w:t>m</w:t>
            </w:r>
            <w:r>
              <w:rPr>
                <w:rFonts w:cs="Times New Roman"/>
              </w:rPr>
              <w:t>aliM</w:t>
            </w:r>
            <w:proofErr w:type="spellEnd"/>
            <w:r>
              <w:rPr>
                <w:rFonts w:cs="Times New Roman"/>
              </w:rPr>
              <w:t>. We started with the unprocessed CT image (8-bit) (a). The image was then smoothened and binarized into solid and porous regions (b). Segmentation into spherical pores was done by cutting the pores at constrictions (3d watershed algorithm) (c).</w:t>
            </w:r>
          </w:p>
        </w:tc>
      </w:tr>
    </w:tbl>
    <w:p w:rsidR="00792549" w:rsidRDefault="00792549" w:rsidP="00792549"/>
    <w:p w:rsidR="00792549" w:rsidRPr="00A90454" w:rsidRDefault="00124E5A" w:rsidP="00C712AE">
      <w:pPr>
        <w:pStyle w:val="berschrift2"/>
      </w:pPr>
      <w:r>
        <w:t>C</w:t>
      </w:r>
      <w:r w:rsidR="00C712AE">
        <w:t>.</w:t>
      </w:r>
      <w:bookmarkStart w:id="0" w:name="_GoBack"/>
      <w:bookmarkEnd w:id="0"/>
      <w:r w:rsidR="00C712AE">
        <w:t xml:space="preserve"> EXPERIMENTS IN MICROCHANNELS FOR OBSERVATION OF </w:t>
      </w:r>
      <w:proofErr w:type="spellStart"/>
      <w:r w:rsidR="00C712AE">
        <w:t>pDEP</w:t>
      </w:r>
      <w:proofErr w:type="spellEnd"/>
      <w:r w:rsidR="00C712AE">
        <w:t xml:space="preserve"> AND </w:t>
      </w:r>
      <w:proofErr w:type="spellStart"/>
      <w:r w:rsidR="00C712AE">
        <w:t>nDEP</w:t>
      </w:r>
      <w:proofErr w:type="spellEnd"/>
      <w:r w:rsidR="00C712AE">
        <w:t xml:space="preserve"> PARTICLE TRAPPING</w:t>
      </w:r>
    </w:p>
    <w:p w:rsidR="00792549" w:rsidRPr="00F24EA3" w:rsidRDefault="00792549" w:rsidP="00124E5A">
      <w:pPr>
        <w:pStyle w:val="Listenabsatz"/>
        <w:numPr>
          <w:ilvl w:val="0"/>
          <w:numId w:val="3"/>
        </w:numPr>
        <w:jc w:val="center"/>
        <w:rPr>
          <w:i/>
        </w:rPr>
      </w:pPr>
      <w:r w:rsidRPr="00F24EA3">
        <w:rPr>
          <w:i/>
        </w:rPr>
        <w:t>Microfluidic device design and fabrication</w:t>
      </w:r>
    </w:p>
    <w:p w:rsidR="00792549" w:rsidRDefault="00792549" w:rsidP="00792549">
      <w:r>
        <w:t xml:space="preserve">Microchannel experiments were performed with the same kind of PDMS microchannels that we used in a previous study </w:t>
      </w:r>
      <w:r>
        <w:rPr>
          <w:rStyle w:val="Funotenzeichen"/>
        </w:rPr>
        <w:fldChar w:fldCharType="begin" w:fldLock="1"/>
      </w:r>
      <w:r w:rsidR="00A91B63">
        <w:instrText>ADDIN CSL_CITATION {"citationItems":[{"id":"ITEM-1","itemData":{"DOI":"10.1038/s41598-018-28735-w","ISSN":"2045-2322","abstract":"Dielectrophoresis (DEP) is a versatile technique for the solution of difficult (bio-)particle separation tasks based on size and material. Particle motion by DEP requires a highly inhomogeneous electric field. Thus, the throughput of classical DEP devices is limited by restrictions on the channel size to achieve large enough gradients. Here, we investigate dielectrophoretic filtration, in which channel size and separation performance are decoupled because particles are trapped at induced field maxima in a porous separation matrix. By simulating microfluidic model porous media, we derive design rules for DEP filters and verify them using model particles (polystyrene) and biological cells (S. cerevisiae, yeast). Further, we bridge the throughput gap by separating yeast in an alumina sponge and show that the design rules are equally applicable in real porous media at high throughput. While maintaining almost 100% efficiency, we process up to 9 mL min −1 , several orders of magnitude more than most state-of-the-art DEP applications. Our microfluidic approach provides new insight into trapping dynamics in porous media, which even can be applied in real sponges. These results pave the way toward high-throughput retention, which is capable of solving existing problems such as cell separation in liquid biopsy or precious metal recovery. Separation of micron and sub-micron particles from liquid or according to their properties is a highly relevant topic in a variety of fields, for example, in pharmaceutical production 1,2 , in diagnostics and analytics 3 , or in the recovery of materials 4,5. Classical examples for pressing separation problems are the detection of circulating tumor cells (CTC) from whole blood 6 or the recovery of precious metals from electronic scrap in urban mining 5. While there is a potpourri of microfluidic techniques for the detection of circulating tumor cells 6 , most of them (that are based on either inertia or size exclusion) require size differences between the blood cells and the circulating tumor cells. Depending on the type of cancer, the assumption that CTCs are sufficiently larger than blood cells is questionable 3,6. Our second example is the recovery of precious metals from a mixture of metal, metal oxides, and polymers. Here, the first step is usually shredding of the mixture which generates a lot of dust. The large solid particles are subsequently separated using standard methods whereas the dust fraction is lost, albeit it c…","author":[{"dropping-particle":"","family":"Pesch","given":"Georg R.","non-dropping-particle":"","parse-names":false,"suffix":""},{"dropping-particle":"","family":"Lorenz","given":"Malte","non-dropping-particle":"","parse-names":false,"suffix":""},{"dropping-particle":"","family":"Sachdev","given":"Shaurya","non-dropping-particle":"","parse-names":false,"suffix":""},{"dropping-particle":"","family":"Salameh","given":"Samir","non-dropping-particle":"","parse-names":false,"suffix":""},{"dropping-particle":"","family":"Du","given":"Fei","non-dropping-particle":"","parse-names":false,"suffix":""},{"dropping-particle":"","family":"Baune","given":"Michael","non-dropping-particle":"","parse-names":false,"suffix":""},{"dropping-particle":"","family":"Boukany","given":"Pouyan E.","non-dropping-particle":"","parse-names":false,"suffix":""},{"dropping-particle":"","family":"Thöming","given":"Jorg","non-dropping-particle":"","parse-names":false,"suffix":""}],"container-title":"Scientific Reports","id":"ITEM-1","issue":"1","issued":{"date-parts":[["2018","12","11"]]},"page":"10480","title":"Bridging the scales in high-throughput dielectrophoretic (bio-)particle separation in porous media","type":"article-journal","volume":"8"},"uris":["http://www.mendeley.com/documents/?uuid=e5d779ed-abb3-490b-b063-216a28238573"]}],"mendeley":{"formattedCitation":"[1]","plainTextFormattedCitation":"[1]","previouslyFormattedCitation":"[1]"},"properties":{"noteIndex":0},"schema":"https://github.com/citation-style-language/schema/raw/master/csl-citation.json"}</w:instrText>
      </w:r>
      <w:r>
        <w:rPr>
          <w:rStyle w:val="Funotenzeichen"/>
        </w:rPr>
        <w:fldChar w:fldCharType="separate"/>
      </w:r>
      <w:r w:rsidR="00A91B63" w:rsidRPr="00A91B63">
        <w:rPr>
          <w:noProof/>
        </w:rPr>
        <w:t>[1]</w:t>
      </w:r>
      <w:r>
        <w:rPr>
          <w:rStyle w:val="Funotenzeichen"/>
        </w:rPr>
        <w:fldChar w:fldCharType="end"/>
      </w:r>
      <w:r>
        <w:t>. The procedure for producing microfluidic devices with polydimethylsiloxane (</w:t>
      </w:r>
      <w:proofErr w:type="spellStart"/>
      <w:r>
        <w:t>Sylgard</w:t>
      </w:r>
      <w:proofErr w:type="spellEnd"/>
      <w:r>
        <w:t xml:space="preserve"> 184, Dow Corning Corporation) is well established </w:t>
      </w:r>
      <w:r>
        <w:fldChar w:fldCharType="begin" w:fldLock="1"/>
      </w:r>
      <w:r w:rsidR="00A91B63">
        <w:instrText>ADDIN CSL_CITATION {"citationItems":[{"id":"ITEM-1","itemData":{"DOI":"10.1021/ac980656z","ISSN":"0003-2700","author":[{"dropping-particle":"","family":"Duffy","given":"David C","non-dropping-particle":"","parse-names":false,"suffix":""},{"dropping-particle":"","family":"McDonald","given":"J. Cooper","non-dropping-particle":"","parse-names":false,"suffix":""},{"dropping-particle":"","family":"Schueller","given":"Olivier J A","non-dropping-particle":"","parse-names":false,"suffix":""},{"dropping-particle":"","family":"Whitesides","given":"George M","non-dropping-particle":"","parse-names":false,"suffix":""}],"container-title":"Analytical Chemistry","id":"ITEM-1","issue":"23","issued":{"date-parts":[["1998","12"]]},"page":"4974-4984","title":"Rapid Prototyping of Microfluidic Systems in Poly(dimethylsiloxane)","type":"article-journal","volume":"70"},"uris":["http://www.mendeley.com/documents/?uuid=5fad8e3d-1db5-4283-a760-956c18048f0e"]}],"mendeley":{"formattedCitation":"[2]","plainTextFormattedCitation":"[2]","previouslyFormattedCitation":"[2]"},"properties":{"noteIndex":0},"schema":"https://github.com/citation-style-language/schema/raw/master/csl-citation.json"}</w:instrText>
      </w:r>
      <w:r>
        <w:fldChar w:fldCharType="separate"/>
      </w:r>
      <w:r w:rsidR="00A91B63" w:rsidRPr="00A91B63">
        <w:rPr>
          <w:noProof/>
        </w:rPr>
        <w:t>[2]</w:t>
      </w:r>
      <w:r>
        <w:fldChar w:fldCharType="end"/>
      </w:r>
      <w:r>
        <w:t xml:space="preserve">. First, a master </w:t>
      </w:r>
      <w:proofErr w:type="spellStart"/>
      <w:r>
        <w:t>mold</w:t>
      </w:r>
      <w:proofErr w:type="spellEnd"/>
      <w:r>
        <w:t xml:space="preserve"> was created using photo lithography w</w:t>
      </w:r>
      <w:r w:rsidR="008678CC">
        <w:t>ith silica wafers and SU8. The ph</w:t>
      </w:r>
      <w:r>
        <w:t xml:space="preserve">oto mask that was used was created from a two-dimensional vector graphic (generated with AutoCAD, Autodesk). They were produced (CAD/Art Services Inc.) with a resolution of 20000 dpi. The smallest feature size is limited to 10 µm according to CAD/Art Services. A schematic of the microfluidic array is given in Figure S2. We used channels with post diameters of </w:t>
      </w:r>
      <w:proofErr w:type="spellStart"/>
      <w:r w:rsidRPr="00DC176D">
        <w:rPr>
          <w:i/>
        </w:rPr>
        <w:t>h</w:t>
      </w:r>
      <w:r>
        <w:rPr>
          <w:vertAlign w:val="subscript"/>
        </w:rPr>
        <w:t>s</w:t>
      </w:r>
      <w:proofErr w:type="spellEnd"/>
      <w:r>
        <w:rPr>
          <w:vertAlign w:val="subscript"/>
        </w:rPr>
        <w:t xml:space="preserve"> </w:t>
      </w:r>
      <w:r>
        <w:t xml:space="preserve">= 262 µm and spacing of </w:t>
      </w:r>
      <w:r w:rsidRPr="00DC176D">
        <w:rPr>
          <w:i/>
        </w:rPr>
        <w:t>d</w:t>
      </w:r>
      <w:r>
        <w:rPr>
          <w:i/>
        </w:rPr>
        <w:t xml:space="preserve"> </w:t>
      </w:r>
      <w:r>
        <w:t xml:space="preserve">= 100 µm. The array of posts had a length of 8.5 mm. In front and at the end of the channel half-elliptic posts are employed to avoid clogging of the channel due to any dust that might have been entrapped in the channel during production. The open channel between inlet and outlet and the array contains triangular support structures to prevent the channel from collapsing. To make the peel-off after curing easier, the SU8 negative was preconditioned with </w:t>
      </w:r>
      <w:proofErr w:type="gramStart"/>
      <w:r>
        <w:t>Trichloro(</w:t>
      </w:r>
      <w:proofErr w:type="gramEnd"/>
      <w:r>
        <w:t>1H, 1H, 2H, 2</w:t>
      </w:r>
      <w:r w:rsidR="008139E3">
        <w:t>H-perfluorooctyl)silane in an ev</w:t>
      </w:r>
      <w:r>
        <w:t>a</w:t>
      </w:r>
      <w:r w:rsidR="008139E3">
        <w:t>c</w:t>
      </w:r>
      <w:r>
        <w:t xml:space="preserve">uated desiccator for a minimum duration of 60 min prior to soft lithography. </w:t>
      </w:r>
      <w:proofErr w:type="spellStart"/>
      <w:r>
        <w:t>Sylgard</w:t>
      </w:r>
      <w:proofErr w:type="spellEnd"/>
      <w:r>
        <w:t xml:space="preserve"> was mixed in a ratio of 10:1 (polymer to curing agent), degassed, and poured on the preconditioned SU8/Silica negative. Channels were cured at 140 °C for 15 min. Subsequently, the PDMS designs were sliced to the size of microscope slides (three channels per slide), and holes for the connection of PTFE tubing (ID/OD 300 µm/1.6 mm, Kinesis) were punched with 1.5 mm biopsy punches (World Precision Instruments Germany GmbH). For the electrodes (500 </w:t>
      </w:r>
      <w:proofErr w:type="spellStart"/>
      <w:r>
        <w:t>μm</w:t>
      </w:r>
      <w:proofErr w:type="spellEnd"/>
      <w:r>
        <w:t xml:space="preserve"> platinum wire) 0.5 mm diameter holes were punched with also with biopsy punches (also World Precision Instruments). PDMS-covered glass slides were prepared by spin coating isopropanol cleaned microscope slides with uncured PDMS at 3000 RPM for a duration of 1:30 minutes. The glass slides were subsequently cured at 70 °C for 60 min. Both sides of the channel were activated by exposing them to a low-</w:t>
      </w:r>
      <w:r>
        <w:lastRenderedPageBreak/>
        <w:t xml:space="preserve">pressure air plasma for 1:30 minutes. They were subsequently bonded by gently pressing them together. The channels in which all internal sides were PDMS had a final height of 120–130 </w:t>
      </w:r>
      <w:proofErr w:type="spellStart"/>
      <w:r>
        <w:t>μm</w:t>
      </w:r>
      <w:proofErr w:type="spellEnd"/>
      <w:r>
        <w:t xml:space="preserve"> (depending on the wafer used) and a width of 2.8 mm.</w:t>
      </w:r>
    </w:p>
    <w:p w:rsidR="00792549" w:rsidRPr="00F24EA3" w:rsidRDefault="00792549" w:rsidP="00792549">
      <w:pPr>
        <w:pStyle w:val="Listenabsatz"/>
        <w:numPr>
          <w:ilvl w:val="0"/>
          <w:numId w:val="3"/>
        </w:numPr>
        <w:jc w:val="center"/>
        <w:rPr>
          <w:i/>
        </w:rPr>
      </w:pPr>
      <w:r w:rsidRPr="00F24EA3">
        <w:rPr>
          <w:i/>
        </w:rPr>
        <w:t>Experimental procedure</w:t>
      </w:r>
    </w:p>
    <w:p w:rsidR="00792549" w:rsidRDefault="00792549" w:rsidP="00792549">
      <w:r>
        <w:t>For experiments we used the 4.5 µm particles (</w:t>
      </w:r>
      <w:proofErr w:type="spellStart"/>
      <w:r>
        <w:t>Polyscience</w:t>
      </w:r>
      <w:proofErr w:type="spellEnd"/>
      <w:r>
        <w:t xml:space="preserve"> </w:t>
      </w:r>
      <w:proofErr w:type="spellStart"/>
      <w:r w:rsidRPr="00A43BE3">
        <w:t>Fluoresbrit</w:t>
      </w:r>
      <w:r>
        <w:t>e</w:t>
      </w:r>
      <w:proofErr w:type="spellEnd"/>
      <w:r>
        <w:t>, YG Carboxylate Microspheres 4</w:t>
      </w:r>
      <w:r w:rsidRPr="00A43BE3">
        <w:t>.5 µm</w:t>
      </w:r>
      <w:r>
        <w:t>) that we used in the porous ceramic filters suspended in Milli-Q water but at a concentration of 4.2</w:t>
      </w:r>
      <w:r w:rsidRPr="005F51AF">
        <w:t>×</w:t>
      </w:r>
      <w:r>
        <w:t>10</w:t>
      </w:r>
      <w:r>
        <w:rPr>
          <w:vertAlign w:val="superscript"/>
        </w:rPr>
        <w:t>5</w:t>
      </w:r>
      <w:r>
        <w:t xml:space="preserve"> particle cm</w:t>
      </w:r>
      <w:r>
        <w:rPr>
          <w:vertAlign w:val="superscript"/>
        </w:rPr>
        <w:t>-3</w:t>
      </w:r>
      <w:r>
        <w:t xml:space="preserve">. The conductivity of the suspension was adjusted by adding </w:t>
      </w:r>
      <w:proofErr w:type="spellStart"/>
      <w:r>
        <w:t>KCl</w:t>
      </w:r>
      <w:proofErr w:type="spellEnd"/>
      <w:r>
        <w:t xml:space="preserve">. </w:t>
      </w:r>
      <w:r w:rsidRPr="005F51AF">
        <w:t>A sinusoidal ac electric field</w:t>
      </w:r>
      <w:r>
        <w:t xml:space="preserve"> (2000 </w:t>
      </w:r>
      <w:proofErr w:type="spellStart"/>
      <w:r>
        <w:t>V</w:t>
      </w:r>
      <w:r w:rsidRPr="00DC176D">
        <w:rPr>
          <w:vertAlign w:val="subscript"/>
        </w:rPr>
        <w:t>pp</w:t>
      </w:r>
      <w:proofErr w:type="spellEnd"/>
      <w:r>
        <w:t>, 15 kHz)</w:t>
      </w:r>
      <w:r w:rsidRPr="005F51AF">
        <w:t xml:space="preserve"> was applied across the array using two platinum wires connected to an ac high-voltage source (Trek PZD2000A in combination with a </w:t>
      </w:r>
      <w:proofErr w:type="spellStart"/>
      <w:r w:rsidRPr="005F51AF">
        <w:t>Rigol</w:t>
      </w:r>
      <w:proofErr w:type="spellEnd"/>
      <w:r w:rsidRPr="005F51AF">
        <w:t xml:space="preserve"> DG4000 </w:t>
      </w:r>
      <w:r w:rsidR="008139E3" w:rsidRPr="005F51AF">
        <w:t>arbitrary</w:t>
      </w:r>
      <w:r w:rsidRPr="005F51AF">
        <w:t xml:space="preserve"> waveform generator).</w:t>
      </w:r>
      <w:r>
        <w:t xml:space="preserve"> The spacing between the electrodes was 1 cm leading to an electric field strength of 20 </w:t>
      </w:r>
      <w:proofErr w:type="spellStart"/>
      <w:r>
        <w:t>kV</w:t>
      </w:r>
      <w:r w:rsidRPr="004B49A4">
        <w:rPr>
          <w:vertAlign w:val="subscript"/>
        </w:rPr>
        <w:t>pp</w:t>
      </w:r>
      <w:proofErr w:type="spellEnd"/>
      <w:r>
        <w:t> m</w:t>
      </w:r>
      <w:r>
        <w:rPr>
          <w:vertAlign w:val="superscript"/>
        </w:rPr>
        <w:t>-1</w:t>
      </w:r>
      <w:r>
        <w:t>.</w:t>
      </w:r>
      <w:r w:rsidRPr="005F51AF">
        <w:t xml:space="preserve"> Fluid was pu</w:t>
      </w:r>
      <w:r>
        <w:t>mped</w:t>
      </w:r>
      <w:r w:rsidRPr="005F51AF">
        <w:t xml:space="preserve"> into the channel using a syringe pump (</w:t>
      </w:r>
      <w:proofErr w:type="spellStart"/>
      <w:r w:rsidRPr="005F51AF">
        <w:t>kdScien</w:t>
      </w:r>
      <w:proofErr w:type="spellEnd"/>
      <w:r w:rsidRPr="005F51AF">
        <w:t xml:space="preserve">- </w:t>
      </w:r>
      <w:proofErr w:type="spellStart"/>
      <w:r w:rsidRPr="005F51AF">
        <w:t>tific</w:t>
      </w:r>
      <w:proofErr w:type="spellEnd"/>
      <w:r w:rsidRPr="005F51AF">
        <w:t xml:space="preserve"> Legato 270 loaded with 3 mL </w:t>
      </w:r>
      <w:proofErr w:type="spellStart"/>
      <w:r w:rsidRPr="005F51AF">
        <w:t>PlastiPak</w:t>
      </w:r>
      <w:proofErr w:type="spellEnd"/>
      <w:r w:rsidRPr="005F51AF">
        <w:t xml:space="preserve"> disposable syringes).</w:t>
      </w:r>
      <w:r>
        <w:t xml:space="preserve"> Prior to each experiment the device was flushed with the particle suspension for 30 s at 25 mL min</w:t>
      </w:r>
      <w:r>
        <w:rPr>
          <w:vertAlign w:val="superscript"/>
        </w:rPr>
        <w:t>-1</w:t>
      </w:r>
      <w:r>
        <w:t>.</w:t>
      </w:r>
      <w:r w:rsidRPr="005F51AF">
        <w:t xml:space="preserve"> </w:t>
      </w:r>
      <w:r>
        <w:t xml:space="preserve">For experiments we applied a flow rate of </w:t>
      </w:r>
      <w:r w:rsidRPr="00B03F9D">
        <w:rPr>
          <w:i/>
        </w:rPr>
        <w:t>Q</w:t>
      </w:r>
      <w:r>
        <w:t xml:space="preserve"> = 0.7 mL min</w:t>
      </w:r>
      <w:r>
        <w:rPr>
          <w:vertAlign w:val="superscript"/>
        </w:rPr>
        <w:t>-1</w:t>
      </w:r>
      <w:r>
        <w:t xml:space="preserve">. To observe the particle behaviour, we used an inversed microscope Eclipse Ts2R-FL (Nikon) equipped with a 10 </w:t>
      </w:r>
      <w:r w:rsidRPr="005F51AF">
        <w:t>×</w:t>
      </w:r>
      <w:r>
        <w:t xml:space="preserve"> Ph1 ADL (Nikon) objective glass and recorded with a DS-Fi3 (Nikon) camera </w:t>
      </w:r>
      <w:r w:rsidRPr="00482442">
        <w:rPr>
          <w:rFonts w:cs="Times New Roman"/>
        </w:rPr>
        <w:t xml:space="preserve">and </w:t>
      </w:r>
      <w:r w:rsidRPr="00482442">
        <w:rPr>
          <w:rFonts w:cs="Times New Roman"/>
          <w:szCs w:val="24"/>
        </w:rPr>
        <w:t>a C-LED470</w:t>
      </w:r>
      <w:r w:rsidRPr="00482442">
        <w:rPr>
          <w:rFonts w:cs="Times New Roman"/>
          <w:sz w:val="23"/>
          <w:szCs w:val="23"/>
        </w:rPr>
        <w:t xml:space="preserve"> </w:t>
      </w:r>
      <w:r w:rsidRPr="00482442">
        <w:rPr>
          <w:rFonts w:cs="Times New Roman"/>
        </w:rPr>
        <w:t>filter</w:t>
      </w:r>
      <w:r>
        <w:t xml:space="preserve"> set (Nikon, EX 470/40, DM 500, BA 534/55).</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92549" w:rsidTr="00AF0DA4">
        <w:tc>
          <w:tcPr>
            <w:tcW w:w="9962" w:type="dxa"/>
          </w:tcPr>
          <w:p w:rsidR="00792549" w:rsidRPr="002903B4" w:rsidRDefault="00792549" w:rsidP="00AF0DA4">
            <w:pPr>
              <w:jc w:val="center"/>
              <w:rPr>
                <w:rFonts w:cs="Times New Roman"/>
              </w:rPr>
            </w:pPr>
            <w:r>
              <w:rPr>
                <w:rFonts w:cs="Times New Roman"/>
                <w:noProof/>
                <w:lang w:eastAsia="en-GB"/>
              </w:rPr>
              <w:drawing>
                <wp:inline distT="0" distB="0" distL="0" distR="0" wp14:anchorId="75DEF24C" wp14:editId="050242F3">
                  <wp:extent cx="2695575" cy="1952625"/>
                  <wp:effectExtent l="0" t="0" r="9525" b="9525"/>
                  <wp:docPr id="2" name="Bild 5" descr="channel_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nnel_sche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1952625"/>
                          </a:xfrm>
                          <a:prstGeom prst="rect">
                            <a:avLst/>
                          </a:prstGeom>
                          <a:noFill/>
                          <a:ln>
                            <a:noFill/>
                          </a:ln>
                        </pic:spPr>
                      </pic:pic>
                    </a:graphicData>
                  </a:graphic>
                </wp:inline>
              </w:drawing>
            </w:r>
          </w:p>
        </w:tc>
      </w:tr>
      <w:tr w:rsidR="00792549" w:rsidTr="00AF0DA4">
        <w:tc>
          <w:tcPr>
            <w:tcW w:w="9962" w:type="dxa"/>
          </w:tcPr>
          <w:p w:rsidR="00792549" w:rsidRPr="0041684B" w:rsidRDefault="00792549" w:rsidP="00AF0DA4">
            <w:pPr>
              <w:rPr>
                <w:rFonts w:cs="Times New Roman"/>
              </w:rPr>
            </w:pPr>
            <w:r>
              <w:rPr>
                <w:rFonts w:cs="Times New Roman"/>
              </w:rPr>
              <w:t xml:space="preserve">Figure S2: Scheme of the microchannel that was used for observation of positive and negative DEP particle trapping. The microchannels have a </w:t>
            </w:r>
            <w:r w:rsidR="008139E3">
              <w:rPr>
                <w:rFonts w:cs="Times New Roman"/>
              </w:rPr>
              <w:t>height</w:t>
            </w:r>
            <w:r>
              <w:rPr>
                <w:rFonts w:cs="Times New Roman"/>
              </w:rPr>
              <w:t xml:space="preserve"> of 120 µm and a width of 2.8 mm. An array of insulating posts with cross-sectional diameter </w:t>
            </w:r>
            <w:proofErr w:type="spellStart"/>
            <w:r w:rsidRPr="002C5C96">
              <w:rPr>
                <w:rFonts w:cs="Times New Roman"/>
                <w:i/>
              </w:rPr>
              <w:t>h</w:t>
            </w:r>
            <w:r w:rsidRPr="002C5C96">
              <w:rPr>
                <w:rFonts w:cs="Times New Roman"/>
                <w:vertAlign w:val="subscript"/>
              </w:rPr>
              <w:t>s</w:t>
            </w:r>
            <w:proofErr w:type="spellEnd"/>
            <w:r>
              <w:rPr>
                <w:rFonts w:cs="Times New Roman"/>
              </w:rPr>
              <w:t>.</w:t>
            </w:r>
          </w:p>
        </w:tc>
      </w:tr>
    </w:tbl>
    <w:p w:rsidR="00792549" w:rsidRDefault="00792549" w:rsidP="00792549">
      <w:pPr>
        <w:widowControl w:val="0"/>
        <w:autoSpaceDE w:val="0"/>
        <w:autoSpaceDN w:val="0"/>
        <w:adjustRightInd w:val="0"/>
        <w:spacing w:line="240" w:lineRule="auto"/>
        <w:ind w:left="480" w:hanging="480"/>
      </w:pPr>
    </w:p>
    <w:p w:rsidR="00792549" w:rsidRPr="00792549" w:rsidRDefault="00792549" w:rsidP="00792549">
      <w:pPr>
        <w:widowControl w:val="0"/>
        <w:autoSpaceDE w:val="0"/>
        <w:autoSpaceDN w:val="0"/>
        <w:adjustRightInd w:val="0"/>
        <w:spacing w:line="240" w:lineRule="auto"/>
        <w:ind w:left="480" w:hanging="480"/>
        <w:rPr>
          <w:b/>
        </w:rPr>
      </w:pPr>
      <w:r w:rsidRPr="00792549">
        <w:rPr>
          <w:b/>
        </w:rPr>
        <w:t>References</w:t>
      </w:r>
    </w:p>
    <w:p w:rsidR="00A91B63" w:rsidRPr="00A91B63" w:rsidRDefault="00792549" w:rsidP="00A91B63">
      <w:pPr>
        <w:widowControl w:val="0"/>
        <w:autoSpaceDE w:val="0"/>
        <w:autoSpaceDN w:val="0"/>
        <w:adjustRightInd w:val="0"/>
        <w:spacing w:line="240" w:lineRule="auto"/>
        <w:ind w:left="640" w:hanging="640"/>
        <w:rPr>
          <w:rFonts w:cs="Times New Roman"/>
          <w:noProof/>
          <w:szCs w:val="24"/>
        </w:rPr>
      </w:pPr>
      <w:r>
        <w:fldChar w:fldCharType="begin" w:fldLock="1"/>
      </w:r>
      <w:r>
        <w:instrText xml:space="preserve">ADDIN Mendeley Bibliography CSL_BIBLIOGRAPHY </w:instrText>
      </w:r>
      <w:r>
        <w:fldChar w:fldCharType="separate"/>
      </w:r>
      <w:r w:rsidR="00A91B63" w:rsidRPr="00A91B63">
        <w:rPr>
          <w:rFonts w:cs="Times New Roman"/>
          <w:noProof/>
          <w:szCs w:val="24"/>
        </w:rPr>
        <w:t>[1]</w:t>
      </w:r>
      <w:r w:rsidR="00A91B63" w:rsidRPr="00A91B63">
        <w:rPr>
          <w:rFonts w:cs="Times New Roman"/>
          <w:noProof/>
          <w:szCs w:val="24"/>
        </w:rPr>
        <w:tab/>
        <w:t xml:space="preserve">G. R. Pesch </w:t>
      </w:r>
      <w:r w:rsidR="00A91B63" w:rsidRPr="00A91B63">
        <w:rPr>
          <w:rFonts w:cs="Times New Roman"/>
          <w:i/>
          <w:iCs/>
          <w:noProof/>
          <w:szCs w:val="24"/>
        </w:rPr>
        <w:t>et al.</w:t>
      </w:r>
      <w:r w:rsidR="00A91B63" w:rsidRPr="00A91B63">
        <w:rPr>
          <w:rFonts w:cs="Times New Roman"/>
          <w:noProof/>
          <w:szCs w:val="24"/>
        </w:rPr>
        <w:t>, “Bridging the scales in high-throughput dielectrophoretic (bio-)</w:t>
      </w:r>
      <w:r w:rsidR="002A79A4">
        <w:rPr>
          <w:rFonts w:cs="Times New Roman"/>
          <w:noProof/>
          <w:szCs w:val="24"/>
        </w:rPr>
        <w:t xml:space="preserve"> </w:t>
      </w:r>
      <w:r w:rsidR="00A91B63" w:rsidRPr="00A91B63">
        <w:rPr>
          <w:rFonts w:cs="Times New Roman"/>
          <w:noProof/>
          <w:szCs w:val="24"/>
        </w:rPr>
        <w:t xml:space="preserve">particle separation in porous media,” </w:t>
      </w:r>
      <w:r w:rsidR="00A91B63" w:rsidRPr="00A91B63">
        <w:rPr>
          <w:rFonts w:cs="Times New Roman"/>
          <w:i/>
          <w:iCs/>
          <w:noProof/>
          <w:szCs w:val="24"/>
        </w:rPr>
        <w:t>Sci. Rep.</w:t>
      </w:r>
      <w:r w:rsidR="00A91B63" w:rsidRPr="00A91B63">
        <w:rPr>
          <w:rFonts w:cs="Times New Roman"/>
          <w:noProof/>
          <w:szCs w:val="24"/>
        </w:rPr>
        <w:t>, vol. 8, no. 1, p. 10480, Dec. 2018.</w:t>
      </w:r>
    </w:p>
    <w:p w:rsidR="00A91B63" w:rsidRPr="00A91B63" w:rsidRDefault="00A91B63" w:rsidP="00A91B63">
      <w:pPr>
        <w:widowControl w:val="0"/>
        <w:autoSpaceDE w:val="0"/>
        <w:autoSpaceDN w:val="0"/>
        <w:adjustRightInd w:val="0"/>
        <w:spacing w:line="240" w:lineRule="auto"/>
        <w:ind w:left="640" w:hanging="640"/>
        <w:rPr>
          <w:rFonts w:cs="Times New Roman"/>
          <w:noProof/>
        </w:rPr>
      </w:pPr>
      <w:r w:rsidRPr="00A91B63">
        <w:rPr>
          <w:rFonts w:cs="Times New Roman"/>
          <w:noProof/>
          <w:szCs w:val="24"/>
        </w:rPr>
        <w:t>[2]</w:t>
      </w:r>
      <w:r w:rsidRPr="00A91B63">
        <w:rPr>
          <w:rFonts w:cs="Times New Roman"/>
          <w:noProof/>
          <w:szCs w:val="24"/>
        </w:rPr>
        <w:tab/>
        <w:t xml:space="preserve">D. C. Duffy, J. C. McDonald, O. J. A. Schueller, and G. M. Whitesides, “Rapid Prototyping of Microfluidic Systems in Poly(dimethylsiloxane),” </w:t>
      </w:r>
      <w:r w:rsidRPr="00A91B63">
        <w:rPr>
          <w:rFonts w:cs="Times New Roman"/>
          <w:i/>
          <w:iCs/>
          <w:noProof/>
          <w:szCs w:val="24"/>
        </w:rPr>
        <w:t>Anal. Chem.</w:t>
      </w:r>
      <w:r w:rsidRPr="00A91B63">
        <w:rPr>
          <w:rFonts w:cs="Times New Roman"/>
          <w:noProof/>
          <w:szCs w:val="24"/>
        </w:rPr>
        <w:t>, vol. 70, no. 23, pp. 4974–4984, Dec. 1998.</w:t>
      </w:r>
    </w:p>
    <w:p w:rsidR="00D25173" w:rsidRPr="00792549" w:rsidRDefault="00792549" w:rsidP="00792549">
      <w:r>
        <w:fldChar w:fldCharType="end"/>
      </w:r>
    </w:p>
    <w:sectPr w:rsidR="00D25173" w:rsidRPr="007925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F098F"/>
    <w:multiLevelType w:val="hybridMultilevel"/>
    <w:tmpl w:val="E102850A"/>
    <w:lvl w:ilvl="0" w:tplc="38FECF78">
      <w:start w:val="1"/>
      <w:numFmt w:val="upperLetter"/>
      <w:lvlText w:val="%1."/>
      <w:lvlJc w:val="righ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EB7320"/>
    <w:multiLevelType w:val="hybridMultilevel"/>
    <w:tmpl w:val="D72E89C0"/>
    <w:lvl w:ilvl="0" w:tplc="AC8A9E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549"/>
    <w:rsid w:val="00124E5A"/>
    <w:rsid w:val="002A79A4"/>
    <w:rsid w:val="00472A9D"/>
    <w:rsid w:val="005B0F57"/>
    <w:rsid w:val="006C2822"/>
    <w:rsid w:val="00792549"/>
    <w:rsid w:val="007F5156"/>
    <w:rsid w:val="008139E3"/>
    <w:rsid w:val="00854E3F"/>
    <w:rsid w:val="008678CC"/>
    <w:rsid w:val="0089550C"/>
    <w:rsid w:val="009808A9"/>
    <w:rsid w:val="00995C94"/>
    <w:rsid w:val="00A77CE4"/>
    <w:rsid w:val="00A91B63"/>
    <w:rsid w:val="00C712AE"/>
    <w:rsid w:val="00F5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4CEB"/>
  <w15:chartTrackingRefBased/>
  <w15:docId w15:val="{06117600-F540-40D1-A73C-2ABD9F2F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792549"/>
    <w:pPr>
      <w:jc w:val="both"/>
    </w:pPr>
    <w:rPr>
      <w:rFonts w:ascii="Times New Roman" w:hAnsi="Times New Roman"/>
      <w:sz w:val="24"/>
    </w:rPr>
  </w:style>
  <w:style w:type="paragraph" w:styleId="berschrift2">
    <w:name w:val="heading 2"/>
    <w:basedOn w:val="Standard"/>
    <w:next w:val="Standard"/>
    <w:link w:val="berschrift2Zchn"/>
    <w:autoRedefine/>
    <w:uiPriority w:val="9"/>
    <w:unhideWhenUsed/>
    <w:qFormat/>
    <w:rsid w:val="00C712AE"/>
    <w:pPr>
      <w:keepNext/>
      <w:keepLines/>
      <w:spacing w:before="200" w:after="0"/>
      <w:jc w:val="center"/>
      <w:outlineLvl w:val="1"/>
    </w:pPr>
    <w:rPr>
      <w:rFonts w:eastAsiaTheme="majorEastAsia" w:cstheme="majorBidi"/>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712AE"/>
    <w:rPr>
      <w:rFonts w:ascii="Times New Roman" w:eastAsiaTheme="majorEastAsia" w:hAnsi="Times New Roman" w:cstheme="majorBidi"/>
      <w:bCs/>
      <w:sz w:val="28"/>
      <w:szCs w:val="26"/>
    </w:rPr>
  </w:style>
  <w:style w:type="table" w:styleId="Tabellenraster">
    <w:name w:val="Table Grid"/>
    <w:basedOn w:val="NormaleTabelle"/>
    <w:uiPriority w:val="39"/>
    <w:rsid w:val="0079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92549"/>
    <w:pPr>
      <w:ind w:left="720"/>
      <w:contextualSpacing/>
    </w:pPr>
  </w:style>
  <w:style w:type="paragraph" w:styleId="Untertitel">
    <w:name w:val="Subtitle"/>
    <w:basedOn w:val="Standard"/>
    <w:next w:val="Standard"/>
    <w:link w:val="UntertitelZchn"/>
    <w:uiPriority w:val="11"/>
    <w:qFormat/>
    <w:rsid w:val="00792549"/>
    <w:pPr>
      <w:numPr>
        <w:ilvl w:val="1"/>
      </w:numPr>
    </w:pPr>
    <w:rPr>
      <w:rFonts w:ascii="Arial" w:eastAsiaTheme="minorEastAsia" w:hAnsi="Arial"/>
      <w:b/>
      <w:spacing w:val="15"/>
    </w:rPr>
  </w:style>
  <w:style w:type="character" w:customStyle="1" w:styleId="UntertitelZchn">
    <w:name w:val="Untertitel Zchn"/>
    <w:basedOn w:val="Absatz-Standardschriftart"/>
    <w:link w:val="Untertitel"/>
    <w:uiPriority w:val="11"/>
    <w:rsid w:val="00792549"/>
    <w:rPr>
      <w:rFonts w:ascii="Arial" w:eastAsiaTheme="minorEastAsia" w:hAnsi="Arial"/>
      <w:b/>
      <w:spacing w:val="15"/>
      <w:sz w:val="24"/>
    </w:rPr>
  </w:style>
  <w:style w:type="character" w:styleId="Funotenzeichen">
    <w:name w:val="footnote reference"/>
    <w:basedOn w:val="Absatz-Standardschriftart"/>
    <w:uiPriority w:val="99"/>
    <w:semiHidden/>
    <w:unhideWhenUsed/>
    <w:rsid w:val="00792549"/>
    <w:rPr>
      <w:vertAlign w:val="superscript"/>
    </w:rPr>
  </w:style>
  <w:style w:type="paragraph" w:styleId="Sprechblasentext">
    <w:name w:val="Balloon Text"/>
    <w:basedOn w:val="Standard"/>
    <w:link w:val="SprechblasentextZchn"/>
    <w:uiPriority w:val="99"/>
    <w:semiHidden/>
    <w:unhideWhenUsed/>
    <w:rsid w:val="00A91B6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1B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1461">
      <w:bodyDiv w:val="1"/>
      <w:marLeft w:val="0"/>
      <w:marRight w:val="0"/>
      <w:marTop w:val="0"/>
      <w:marBottom w:val="0"/>
      <w:divBdr>
        <w:top w:val="none" w:sz="0" w:space="0" w:color="auto"/>
        <w:left w:val="none" w:sz="0" w:space="0" w:color="auto"/>
        <w:bottom w:val="none" w:sz="0" w:space="0" w:color="auto"/>
        <w:right w:val="none" w:sz="0" w:space="0" w:color="auto"/>
      </w:divBdr>
      <w:divsChild>
        <w:div w:id="411506957">
          <w:marLeft w:val="0"/>
          <w:marRight w:val="0"/>
          <w:marTop w:val="0"/>
          <w:marBottom w:val="0"/>
          <w:divBdr>
            <w:top w:val="none" w:sz="0" w:space="0" w:color="auto"/>
            <w:left w:val="none" w:sz="0" w:space="0" w:color="auto"/>
            <w:bottom w:val="none" w:sz="0" w:space="0" w:color="auto"/>
            <w:right w:val="none" w:sz="0" w:space="0" w:color="auto"/>
          </w:divBdr>
          <w:divsChild>
            <w:div w:id="1739208922">
              <w:marLeft w:val="0"/>
              <w:marRight w:val="0"/>
              <w:marTop w:val="0"/>
              <w:marBottom w:val="0"/>
              <w:divBdr>
                <w:top w:val="none" w:sz="0" w:space="0" w:color="auto"/>
                <w:left w:val="none" w:sz="0" w:space="0" w:color="auto"/>
                <w:bottom w:val="none" w:sz="0" w:space="0" w:color="auto"/>
                <w:right w:val="none" w:sz="0" w:space="0" w:color="auto"/>
              </w:divBdr>
              <w:divsChild>
                <w:div w:id="709497920">
                  <w:marLeft w:val="0"/>
                  <w:marRight w:val="0"/>
                  <w:marTop w:val="0"/>
                  <w:marBottom w:val="0"/>
                  <w:divBdr>
                    <w:top w:val="none" w:sz="0" w:space="0" w:color="auto"/>
                    <w:left w:val="none" w:sz="0" w:space="0" w:color="auto"/>
                    <w:bottom w:val="none" w:sz="0" w:space="0" w:color="auto"/>
                    <w:right w:val="none" w:sz="0" w:space="0" w:color="auto"/>
                  </w:divBdr>
                  <w:divsChild>
                    <w:div w:id="4522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012BD-9572-5941-A0A7-B5686AFB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1890</Words>
  <Characters>11909</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Loki</dc:creator>
  <cp:keywords/>
  <dc:description/>
  <cp:lastModifiedBy>Georg Pesch</cp:lastModifiedBy>
  <cp:revision>10</cp:revision>
  <dcterms:created xsi:type="dcterms:W3CDTF">2019-10-17T11:04:00Z</dcterms:created>
  <dcterms:modified xsi:type="dcterms:W3CDTF">2019-10-30T18:03:00Z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89b6029c-918c-3f3a-9e4a-902931dbc02d</vt:lpwstr>
  </property>
  <property fmtid="{D5CDD505-2E9C-101B-9397-08002B2CF9AE}" pid="24" name="Mendeley Citation Style_1">
    <vt:lpwstr>http://www.zotero.org/styles/ieee</vt:lpwstr>
  </property>
</Properties>
</file>