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57" w:rsidRDefault="008B3B57" w:rsidP="008B3B57">
      <w:pPr>
        <w:pStyle w:val="MDPI13authornames"/>
        <w:rPr>
          <w:snapToGrid w:val="0"/>
          <w:sz w:val="36"/>
          <w:szCs w:val="20"/>
        </w:rPr>
      </w:pPr>
      <w:r w:rsidRPr="008B3B57">
        <w:rPr>
          <w:b w:val="0"/>
          <w:sz w:val="22"/>
        </w:rPr>
        <w:t>Supplementary Materials</w:t>
      </w:r>
    </w:p>
    <w:p w:rsidR="008B3B57" w:rsidRDefault="008B3B57" w:rsidP="008B3B57">
      <w:pPr>
        <w:pStyle w:val="MDPI13authornames"/>
        <w:rPr>
          <w:snapToGrid w:val="0"/>
          <w:sz w:val="36"/>
          <w:szCs w:val="20"/>
        </w:rPr>
      </w:pPr>
      <w:r>
        <w:rPr>
          <w:snapToGrid w:val="0"/>
          <w:sz w:val="36"/>
          <w:szCs w:val="20"/>
        </w:rPr>
        <w:t xml:space="preserve">Spatially resolved soil solution chemistry </w:t>
      </w:r>
      <w:r w:rsidRPr="008A7D4F">
        <w:rPr>
          <w:snapToGrid w:val="0"/>
          <w:sz w:val="36"/>
          <w:szCs w:val="20"/>
        </w:rPr>
        <w:t>in a</w:t>
      </w:r>
      <w:r>
        <w:rPr>
          <w:snapToGrid w:val="0"/>
          <w:sz w:val="36"/>
          <w:szCs w:val="20"/>
        </w:rPr>
        <w:t xml:space="preserve"> </w:t>
      </w:r>
      <w:r w:rsidRPr="008A7D4F">
        <w:rPr>
          <w:snapToGrid w:val="0"/>
          <w:sz w:val="36"/>
          <w:szCs w:val="20"/>
        </w:rPr>
        <w:t>central Eu</w:t>
      </w:r>
      <w:r>
        <w:rPr>
          <w:snapToGrid w:val="0"/>
          <w:sz w:val="36"/>
          <w:szCs w:val="20"/>
        </w:rPr>
        <w:t>ropean atmospherically polluted high-elevation catchment</w:t>
      </w:r>
    </w:p>
    <w:p w:rsidR="008B3B57" w:rsidRPr="008A7D4F" w:rsidRDefault="008B3B57" w:rsidP="008B3B57">
      <w:pPr>
        <w:pStyle w:val="MDPI16affiliation"/>
        <w:ind w:left="0" w:hanging="18"/>
        <w:rPr>
          <w:b/>
          <w:bCs/>
          <w:sz w:val="20"/>
          <w:szCs w:val="22"/>
          <w:vertAlign w:val="superscript"/>
        </w:rPr>
      </w:pPr>
      <w:r w:rsidRPr="008A7D4F">
        <w:rPr>
          <w:b/>
          <w:bCs/>
          <w:sz w:val="20"/>
          <w:szCs w:val="22"/>
        </w:rPr>
        <w:t xml:space="preserve">Daniel </w:t>
      </w:r>
      <w:r>
        <w:rPr>
          <w:b/>
          <w:bCs/>
          <w:sz w:val="20"/>
          <w:szCs w:val="22"/>
        </w:rPr>
        <w:t xml:space="preserve">A. </w:t>
      </w:r>
      <w:r w:rsidRPr="008A7D4F">
        <w:rPr>
          <w:b/>
          <w:bCs/>
          <w:sz w:val="20"/>
          <w:szCs w:val="22"/>
        </w:rPr>
        <w:t>Petrash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Frantisek Buzek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Martin Novak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 xml:space="preserve">, </w:t>
      </w:r>
      <w:proofErr w:type="spellStart"/>
      <w:r w:rsidRPr="008A7D4F">
        <w:rPr>
          <w:b/>
          <w:bCs/>
          <w:sz w:val="20"/>
          <w:szCs w:val="22"/>
        </w:rPr>
        <w:t>Bohuslava</w:t>
      </w:r>
      <w:proofErr w:type="spellEnd"/>
      <w:r w:rsidRPr="008A7D4F">
        <w:rPr>
          <w:b/>
          <w:bCs/>
          <w:sz w:val="20"/>
          <w:szCs w:val="22"/>
        </w:rPr>
        <w:t xml:space="preserve"> Cejkova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Pavel Kram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Tomas Chuman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Jan Curik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Frantisek Veselovsky</w:t>
      </w:r>
      <w:r w:rsidRPr="008A7D4F">
        <w:rPr>
          <w:b/>
          <w:bCs/>
          <w:sz w:val="20"/>
          <w:szCs w:val="22"/>
          <w:vertAlign w:val="superscript"/>
        </w:rPr>
        <w:t>2</w:t>
      </w:r>
      <w:r w:rsidRPr="008A7D4F">
        <w:rPr>
          <w:b/>
          <w:bCs/>
          <w:sz w:val="20"/>
          <w:szCs w:val="22"/>
        </w:rPr>
        <w:t>, Marketa Stepanova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 xml:space="preserve">, </w:t>
      </w:r>
      <w:proofErr w:type="spellStart"/>
      <w:r w:rsidRPr="008A7D4F">
        <w:rPr>
          <w:b/>
          <w:bCs/>
          <w:sz w:val="20"/>
          <w:szCs w:val="22"/>
        </w:rPr>
        <w:t>Oldrich</w:t>
      </w:r>
      <w:proofErr w:type="spellEnd"/>
      <w:r w:rsidRPr="008A7D4F">
        <w:rPr>
          <w:b/>
          <w:bCs/>
          <w:sz w:val="20"/>
          <w:szCs w:val="22"/>
        </w:rPr>
        <w:t xml:space="preserve"> Myska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 xml:space="preserve">, </w:t>
      </w:r>
      <w:proofErr w:type="spellStart"/>
      <w:r w:rsidRPr="008A7D4F">
        <w:rPr>
          <w:b/>
          <w:bCs/>
          <w:sz w:val="20"/>
          <w:szCs w:val="22"/>
        </w:rPr>
        <w:t>Pavla</w:t>
      </w:r>
      <w:proofErr w:type="spellEnd"/>
      <w:r w:rsidRPr="008A7D4F">
        <w:rPr>
          <w:b/>
          <w:bCs/>
          <w:sz w:val="20"/>
          <w:szCs w:val="22"/>
        </w:rPr>
        <w:t xml:space="preserve"> Holeckova</w:t>
      </w:r>
      <w:r w:rsidRPr="008A7D4F">
        <w:rPr>
          <w:b/>
          <w:bCs/>
          <w:sz w:val="20"/>
          <w:szCs w:val="22"/>
          <w:vertAlign w:val="superscript"/>
        </w:rPr>
        <w:t>1</w:t>
      </w:r>
      <w:r w:rsidRPr="008A7D4F">
        <w:rPr>
          <w:b/>
          <w:bCs/>
          <w:sz w:val="20"/>
          <w:szCs w:val="22"/>
        </w:rPr>
        <w:t>, Leona Bohdalkova</w:t>
      </w:r>
      <w:r w:rsidRPr="008A7D4F">
        <w:rPr>
          <w:b/>
          <w:bCs/>
          <w:sz w:val="20"/>
          <w:szCs w:val="22"/>
          <w:vertAlign w:val="superscript"/>
        </w:rPr>
        <w:t>1</w:t>
      </w:r>
    </w:p>
    <w:p w:rsidR="00E705FF" w:rsidRDefault="00E705FF">
      <w:pPr>
        <w:rPr>
          <w:noProof/>
        </w:rPr>
      </w:pPr>
    </w:p>
    <w:p w:rsidR="008B3B57" w:rsidRDefault="008B3B57" w:rsidP="008B3B57">
      <w:pPr>
        <w:pStyle w:val="MDPI61Supplementary"/>
        <w:rPr>
          <w:sz w:val="22"/>
        </w:rPr>
      </w:pPr>
      <w:r w:rsidRPr="008B3B57">
        <w:rPr>
          <w:b/>
          <w:sz w:val="22"/>
        </w:rPr>
        <w:t>Supplementary Materials:</w:t>
      </w:r>
    </w:p>
    <w:p w:rsidR="008B3B57" w:rsidRDefault="008B3B57" w:rsidP="008B3B57">
      <w:pPr>
        <w:pStyle w:val="MDPI61Supplementary"/>
        <w:rPr>
          <w:sz w:val="22"/>
          <w:lang w:val="en-CA"/>
        </w:rPr>
      </w:pPr>
      <w:r w:rsidRPr="008B3B57">
        <w:rPr>
          <w:sz w:val="22"/>
        </w:rPr>
        <w:t xml:space="preserve">Figure S1 </w:t>
      </w:r>
      <w:r w:rsidRPr="008B3B57">
        <w:rPr>
          <w:sz w:val="22"/>
          <w:lang w:val="en-CA"/>
        </w:rPr>
        <w:t>Descriptive statistics (2012- 2013) for soil water concentration values of dissolved organic carbon, sulfate, nitrate, base cations, Al and chloride (in mg L</w:t>
      </w:r>
      <w:r w:rsidRPr="008B3B57">
        <w:rPr>
          <w:sz w:val="22"/>
          <w:vertAlign w:val="superscript"/>
          <w:lang w:val="en-CA"/>
        </w:rPr>
        <w:t>-1</w:t>
      </w:r>
      <w:r w:rsidRPr="008B3B57">
        <w:rPr>
          <w:sz w:val="22"/>
          <w:lang w:val="en-CA"/>
        </w:rPr>
        <w:t>) and pH va</w:t>
      </w:r>
      <w:r>
        <w:rPr>
          <w:sz w:val="22"/>
          <w:lang w:val="en-CA"/>
        </w:rPr>
        <w:t>lues at the 50-cm depth at UDL.</w:t>
      </w:r>
    </w:p>
    <w:p w:rsidR="008B3B57" w:rsidRDefault="008B3B57" w:rsidP="008B3B57">
      <w:pPr>
        <w:pStyle w:val="MDPI61Supplementary"/>
        <w:rPr>
          <w:sz w:val="22"/>
        </w:rPr>
      </w:pPr>
      <w:r w:rsidRPr="008B3B57">
        <w:rPr>
          <w:sz w:val="22"/>
        </w:rPr>
        <w:t>Figure S2: Non-parametric multidimensional scaling ordination of time-series hydrochemical data for runoff, atmospheric in lysimeters.</w:t>
      </w:r>
    </w:p>
    <w:p w:rsidR="008B3B57" w:rsidRDefault="008B3B57" w:rsidP="008B3B57">
      <w:pPr>
        <w:pStyle w:val="MDPI61Supplementary"/>
        <w:rPr>
          <w:sz w:val="22"/>
        </w:rPr>
      </w:pPr>
      <w:r w:rsidRPr="008B3B57">
        <w:rPr>
          <w:sz w:val="22"/>
        </w:rPr>
        <w:t xml:space="preserve">Figure S3: Comparison of monthly precipitation volumes at UDL during the monitoring period (2012-2013) </w:t>
      </w:r>
      <w:r w:rsidRPr="008B3B57">
        <w:rPr>
          <w:i/>
          <w:sz w:val="22"/>
        </w:rPr>
        <w:t>vs</w:t>
      </w:r>
      <w:r w:rsidRPr="008B3B57">
        <w:rPr>
          <w:sz w:val="22"/>
        </w:rPr>
        <w:t>. the hydrologic years 2016-2017</w:t>
      </w:r>
      <w:r>
        <w:rPr>
          <w:sz w:val="22"/>
        </w:rPr>
        <w:t>.</w:t>
      </w:r>
    </w:p>
    <w:p w:rsidR="008B3B57" w:rsidRPr="008B3B57" w:rsidRDefault="008B3B57" w:rsidP="008B3B57">
      <w:pPr>
        <w:pStyle w:val="MDPI61Supplementary"/>
        <w:rPr>
          <w:sz w:val="22"/>
        </w:rPr>
      </w:pPr>
      <w:r w:rsidRPr="008B3B57">
        <w:rPr>
          <w:sz w:val="22"/>
        </w:rPr>
        <w:t>Table S1: Coefficient of variation (</w:t>
      </w:r>
      <w:proofErr w:type="spellStart"/>
      <w:proofErr w:type="gramStart"/>
      <w:r w:rsidRPr="008B3B57">
        <w:rPr>
          <w:sz w:val="22"/>
        </w:rPr>
        <w:t>Cv</w:t>
      </w:r>
      <w:proofErr w:type="spellEnd"/>
      <w:proofErr w:type="gramEnd"/>
      <w:r w:rsidRPr="008B3B57">
        <w:rPr>
          <w:sz w:val="22"/>
        </w:rPr>
        <w:t xml:space="preserve"> = 100</w:t>
      </w:r>
      <w:r w:rsidRPr="008B3B57">
        <w:rPr>
          <w:sz w:val="22"/>
        </w:rPr>
        <w:sym w:font="Symbol" w:char="F073"/>
      </w:r>
      <w:r w:rsidRPr="008B3B57">
        <w:rPr>
          <w:sz w:val="22"/>
        </w:rPr>
        <w:t>/</w:t>
      </w:r>
      <w:r w:rsidRPr="008B3B57">
        <w:rPr>
          <w:sz w:val="22"/>
        </w:rPr>
        <w:sym w:font="Symbol" w:char="F06D"/>
      </w:r>
      <w:r w:rsidRPr="008B3B57">
        <w:rPr>
          <w:sz w:val="22"/>
        </w:rPr>
        <w:t xml:space="preserve"> ) of inorganic species across our </w:t>
      </w:r>
      <w:proofErr w:type="spellStart"/>
      <w:r w:rsidRPr="008B3B57">
        <w:rPr>
          <w:sz w:val="22"/>
        </w:rPr>
        <w:t>lysimeter</w:t>
      </w:r>
      <w:proofErr w:type="spellEnd"/>
      <w:r w:rsidRPr="008B3B57">
        <w:rPr>
          <w:sz w:val="22"/>
        </w:rPr>
        <w:t xml:space="preserve"> network.</w:t>
      </w:r>
    </w:p>
    <w:p w:rsidR="008B3B57" w:rsidRDefault="008B3B57">
      <w:pPr>
        <w:rPr>
          <w:noProof/>
        </w:rPr>
      </w:pPr>
    </w:p>
    <w:p w:rsidR="008B3B57" w:rsidRDefault="008B3B57">
      <w:pPr>
        <w:rPr>
          <w:noProof/>
        </w:rPr>
      </w:pPr>
    </w:p>
    <w:p w:rsidR="008B3B57" w:rsidRDefault="008B3B57">
      <w:r>
        <w:rPr>
          <w:noProof/>
        </w:rPr>
        <w:lastRenderedPageBreak/>
        <w:drawing>
          <wp:inline distT="0" distB="0" distL="0" distR="0" wp14:anchorId="0398A77D" wp14:editId="125E1B03">
            <wp:extent cx="5943600" cy="6737985"/>
            <wp:effectExtent l="0" t="0" r="0" b="571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57" w:rsidRDefault="008B3B57" w:rsidP="008B3B57">
      <w:pPr>
        <w:spacing w:after="0" w:line="216" w:lineRule="auto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Supplementary Material. Figure S1.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>Descriptive statistics (2012- 2013) for soil water concentration values of dissolved organic carbon, sulfate, nitrate, base cations, Al and chloride (in mg L-1) and pH values at the 50-cm depth at UDL.  The statistical distribution shows minimum, first quartile, median, third quartile and maximum for individual samples</w:t>
      </w:r>
    </w:p>
    <w:p w:rsidR="008B3B57" w:rsidRDefault="008B3B57"/>
    <w:p w:rsidR="008B3B57" w:rsidRDefault="008B3B57"/>
    <w:p w:rsidR="008B3B57" w:rsidRDefault="008B3B57" w:rsidP="008B3B57">
      <w:pPr>
        <w:jc w:val="center"/>
      </w:pPr>
      <w:r>
        <w:rPr>
          <w:noProof/>
        </w:rPr>
        <w:lastRenderedPageBreak/>
        <w:drawing>
          <wp:inline distT="0" distB="0" distL="0" distR="0" wp14:anchorId="3F6A0CA3" wp14:editId="6273B230">
            <wp:extent cx="5715000" cy="474345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994" cy="474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57" w:rsidRPr="008B3B57" w:rsidRDefault="008B3B57" w:rsidP="008B3B57">
      <w:pPr>
        <w:spacing w:after="83" w:line="216" w:lineRule="auto"/>
        <w:ind w:firstLine="90"/>
      </w:pPr>
      <w:r w:rsidRPr="008B3B57">
        <w:rPr>
          <w:rFonts w:ascii="Palatino Linotype" w:eastAsia="Palatino Linotype" w:hAnsi="Palatino Linotype" w:cs="Palatino Linotype"/>
          <w:b/>
          <w:sz w:val="20"/>
        </w:rPr>
        <w:t>Supplementary Material.</w:t>
      </w:r>
      <w:r>
        <w:rPr>
          <w:rFonts w:ascii="Palatino Linotype" w:eastAsia="Palatino Linotype" w:hAnsi="Palatino Linotype" w:cs="Palatino Linotype"/>
          <w:b/>
          <w:sz w:val="20"/>
        </w:rPr>
        <w:t xml:space="preserve"> </w:t>
      </w:r>
      <w:r w:rsidRPr="008B3B57">
        <w:rPr>
          <w:rFonts w:ascii="Palatino Linotype" w:eastAsia="Palatino Linotype" w:hAnsi="Palatino Linotype" w:cs="Palatino Linotype"/>
          <w:b/>
          <w:sz w:val="20"/>
        </w:rPr>
        <w:t>Figure S1</w:t>
      </w:r>
      <w:r>
        <w:rPr>
          <w:rFonts w:ascii="Palatino Linotype" w:eastAsia="Palatino Linotype" w:hAnsi="Palatino Linotype" w:cs="Palatino Linotype"/>
          <w:b/>
          <w:sz w:val="20"/>
        </w:rPr>
        <w:t>.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  <w:r w:rsidRPr="008B3B57">
        <w:rPr>
          <w:rFonts w:ascii="Palatino Linotype" w:eastAsia="Palatino Linotype" w:hAnsi="Palatino Linotype" w:cs="Palatino Linotype"/>
          <w:sz w:val="20"/>
        </w:rPr>
        <w:t>cont.</w:t>
      </w:r>
    </w:p>
    <w:p w:rsidR="008B3B57" w:rsidRDefault="008B3B57" w:rsidP="008B3B57">
      <w:pPr>
        <w:jc w:val="center"/>
      </w:pPr>
    </w:p>
    <w:p w:rsidR="008B3B57" w:rsidRDefault="008B3B57">
      <w:r>
        <w:br w:type="page"/>
      </w:r>
    </w:p>
    <w:p w:rsidR="008B3B57" w:rsidRDefault="008B3B57" w:rsidP="008B3B57">
      <w:pPr>
        <w:spacing w:after="0" w:line="216" w:lineRule="auto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1E0F45C7" wp14:editId="4AF49ABD">
            <wp:extent cx="5772393" cy="5188688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107" cy="519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57" w:rsidRPr="008B3B57" w:rsidRDefault="008B3B57" w:rsidP="008B3B57">
      <w:pPr>
        <w:spacing w:after="0" w:line="216" w:lineRule="auto"/>
        <w:rPr>
          <w:rFonts w:ascii="Calibri" w:eastAsia="Calibri" w:hAnsi="Calibri" w:cs="Calibri"/>
          <w:color w:val="000000"/>
        </w:rPr>
      </w:pPr>
      <w:r w:rsidRPr="008B3B57">
        <w:rPr>
          <w:rFonts w:ascii="Palatino Linotype" w:eastAsia="Palatino Linotype" w:hAnsi="Palatino Linotype" w:cs="Palatino Linotype"/>
          <w:b/>
          <w:color w:val="000000"/>
        </w:rPr>
        <w:t xml:space="preserve">Supplementary Material. Figure S2. </w:t>
      </w:r>
      <w:r w:rsidRPr="008B3B57">
        <w:rPr>
          <w:rFonts w:ascii="Palatino Linotype" w:eastAsia="Palatino Linotype" w:hAnsi="Palatino Linotype" w:cs="Palatino Linotype"/>
          <w:color w:val="000000"/>
        </w:rPr>
        <w:t xml:space="preserve">Non-parametric multidimensional scaling ordination of time-series hydrochemical data for runoff, atmospheric in lysimeters. Note that only </w:t>
      </w:r>
      <w:proofErr w:type="spellStart"/>
      <w:r w:rsidRPr="008B3B57">
        <w:rPr>
          <w:rFonts w:ascii="Palatino Linotype" w:eastAsia="Palatino Linotype" w:hAnsi="Palatino Linotype" w:cs="Palatino Linotype"/>
          <w:color w:val="000000"/>
        </w:rPr>
        <w:t>varimax</w:t>
      </w:r>
      <w:proofErr w:type="spellEnd"/>
      <w:r w:rsidRPr="008B3B57">
        <w:rPr>
          <w:rFonts w:ascii="Palatino Linotype" w:eastAsia="Palatino Linotype" w:hAnsi="Palatino Linotype" w:cs="Palatino Linotype"/>
          <w:color w:val="000000"/>
        </w:rPr>
        <w:t xml:space="preserve"> rotated parameters exhibiting statistical significance &gt; 0.25 are shown. The variables describe 41.3 % of the co-variation</w:t>
      </w:r>
    </w:p>
    <w:p w:rsidR="008B3B57" w:rsidRDefault="008B3B57" w:rsidP="008B3B57">
      <w:pPr>
        <w:jc w:val="center"/>
      </w:pPr>
    </w:p>
    <w:p w:rsidR="008B3B57" w:rsidRDefault="008B3B57">
      <w:r>
        <w:br w:type="page"/>
      </w:r>
    </w:p>
    <w:p w:rsidR="008B3B57" w:rsidRDefault="008B3B57" w:rsidP="008B3B57">
      <w:pPr>
        <w:spacing w:after="0" w:line="314" w:lineRule="auto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6D7DE771" wp14:editId="1224CA5F">
            <wp:extent cx="5711034" cy="3467048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034" cy="346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B57" w:rsidRDefault="008B3B57" w:rsidP="008B3B57">
      <w:pPr>
        <w:spacing w:after="0" w:line="314" w:lineRule="auto"/>
        <w:rPr>
          <w:rFonts w:ascii="Palatino Linotype" w:eastAsia="Palatino Linotype" w:hAnsi="Palatino Linotype" w:cs="Palatino Linotype"/>
          <w:sz w:val="20"/>
        </w:rPr>
      </w:pPr>
      <w:r w:rsidRPr="008B3B57">
        <w:rPr>
          <w:rFonts w:ascii="Palatino Linotype" w:eastAsia="Palatino Linotype" w:hAnsi="Palatino Linotype" w:cs="Palatino Linotype"/>
          <w:b/>
          <w:color w:val="000000"/>
        </w:rPr>
        <w:t>Supplementary Material. Figure S</w:t>
      </w:r>
      <w:r>
        <w:rPr>
          <w:rFonts w:ascii="Palatino Linotype" w:eastAsia="Palatino Linotype" w:hAnsi="Palatino Linotype" w:cs="Palatino Linotype"/>
          <w:b/>
          <w:color w:val="000000"/>
        </w:rPr>
        <w:t>3</w:t>
      </w:r>
      <w:r w:rsidRPr="008B3B57">
        <w:rPr>
          <w:rFonts w:ascii="Palatino Linotype" w:eastAsia="Palatino Linotype" w:hAnsi="Palatino Linotype" w:cs="Palatino Linotype"/>
          <w:b/>
          <w:color w:val="000000"/>
        </w:rPr>
        <w:t>.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>Comparison of monthly precipitation volumes at UDL during the monitoring period (2012-2013) vs.</w:t>
      </w:r>
      <w:r>
        <w:rPr>
          <w:rFonts w:ascii="Palatino Linotype" w:eastAsia="Palatino Linotype" w:hAnsi="Palatino Linotype" w:cs="Palatino Linotype"/>
          <w:sz w:val="20"/>
        </w:rPr>
        <w:t xml:space="preserve"> the hydrologic years 2016-2017.</w:t>
      </w:r>
    </w:p>
    <w:p w:rsidR="008B3B57" w:rsidRDefault="008B3B57" w:rsidP="008B3B57">
      <w:r>
        <w:br w:type="page"/>
      </w:r>
    </w:p>
    <w:p w:rsidR="008B3B57" w:rsidRDefault="008B3B57" w:rsidP="008B3B57">
      <w:pPr>
        <w:spacing w:after="39"/>
      </w:pPr>
      <w:r>
        <w:rPr>
          <w:rFonts w:ascii="Palatino Linotype" w:eastAsia="Palatino Linotype" w:hAnsi="Palatino Linotype" w:cs="Palatino Linotype"/>
          <w:b/>
          <w:sz w:val="23"/>
        </w:rPr>
        <w:lastRenderedPageBreak/>
        <w:t>Supplementary Material. Table S1.</w:t>
      </w:r>
      <w:r>
        <w:rPr>
          <w:rFonts w:ascii="Palatino Linotype" w:eastAsia="Palatino Linotype" w:hAnsi="Palatino Linotype" w:cs="Palatino Linotype"/>
          <w:sz w:val="23"/>
        </w:rPr>
        <w:t xml:space="preserve"> Coefficient of variation (%) of inorganic species across our lyzimeter network. </w:t>
      </w:r>
      <w:bookmarkStart w:id="0" w:name="_GoBack"/>
      <w:bookmarkEnd w:id="0"/>
    </w:p>
    <w:tbl>
      <w:tblPr>
        <w:tblStyle w:val="TableGrid"/>
        <w:tblW w:w="6080" w:type="dxa"/>
        <w:tblInd w:w="1504" w:type="dxa"/>
        <w:tblCellMar>
          <w:top w:w="6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1602"/>
        <w:gridCol w:w="1520"/>
        <w:gridCol w:w="1087"/>
      </w:tblGrid>
      <w:tr w:rsidR="008B3B57" w:rsidTr="008B3B57">
        <w:trPr>
          <w:trHeight w:val="568"/>
        </w:trPr>
        <w:tc>
          <w:tcPr>
            <w:tcW w:w="18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B3B57" w:rsidRDefault="008B3B57" w:rsidP="00630370">
            <w:pPr>
              <w:ind w:left="120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3"/>
              </w:rPr>
              <w:t>Analyte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B3B57" w:rsidRDefault="008B3B57" w:rsidP="00630370"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Hilltops </w:t>
            </w:r>
          </w:p>
        </w:tc>
        <w:tc>
          <w:tcPr>
            <w:tcW w:w="15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B3B57" w:rsidRDefault="008B3B57" w:rsidP="00630370"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Slopes </w:t>
            </w:r>
          </w:p>
        </w:tc>
        <w:tc>
          <w:tcPr>
            <w:tcW w:w="108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B3B57" w:rsidRDefault="008B3B57" w:rsidP="00630370"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Valley </w:t>
            </w:r>
          </w:p>
        </w:tc>
      </w:tr>
      <w:tr w:rsidR="008B3B57" w:rsidTr="008B3B57">
        <w:trPr>
          <w:trHeight w:val="476"/>
        </w:trPr>
        <w:tc>
          <w:tcPr>
            <w:tcW w:w="18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52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SO</w:t>
            </w:r>
            <w:r>
              <w:rPr>
                <w:rFonts w:ascii="Palatino Linotype" w:eastAsia="Palatino Linotype" w:hAnsi="Palatino Linotype" w:cs="Palatino Linotype"/>
                <w:sz w:val="14"/>
              </w:rPr>
              <w:t>4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2‐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301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17 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17 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15 </w:t>
            </w:r>
          </w:p>
        </w:tc>
      </w:tr>
      <w:tr w:rsidR="008B3B57" w:rsidTr="008B3B57">
        <w:trPr>
          <w:trHeight w:val="379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526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NO</w:t>
            </w:r>
            <w:r>
              <w:rPr>
                <w:rFonts w:ascii="Palatino Linotype" w:eastAsia="Palatino Linotype" w:hAnsi="Palatino Linotype" w:cs="Palatino Linotype"/>
                <w:sz w:val="14"/>
              </w:rPr>
              <w:t>3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‐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360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2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15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17 </w:t>
            </w:r>
          </w:p>
        </w:tc>
      </w:tr>
      <w:tr w:rsidR="008B3B57" w:rsidTr="008B3B57">
        <w:trPr>
          <w:trHeight w:val="365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579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Al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3+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360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10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12 </w:t>
            </w:r>
          </w:p>
        </w:tc>
      </w:tr>
      <w:tr w:rsidR="008B3B57" w:rsidTr="008B3B57">
        <w:tblPrEx>
          <w:tblCellMar>
            <w:top w:w="0" w:type="dxa"/>
            <w:right w:w="0" w:type="dxa"/>
          </w:tblCellMar>
        </w:tblPrEx>
        <w:trPr>
          <w:trHeight w:val="364"/>
        </w:trPr>
        <w:tc>
          <w:tcPr>
            <w:tcW w:w="1871" w:type="dxa"/>
          </w:tcPr>
          <w:p w:rsidR="008B3B57" w:rsidRDefault="008B3B57" w:rsidP="00630370">
            <w:pPr>
              <w:ind w:left="582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Na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+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</w:tcPr>
          <w:p w:rsidR="008B3B57" w:rsidRDefault="008B3B57" w:rsidP="00630370">
            <w:pPr>
              <w:ind w:left="360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9 </w:t>
            </w:r>
          </w:p>
        </w:tc>
        <w:tc>
          <w:tcPr>
            <w:tcW w:w="1520" w:type="dxa"/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10 </w:t>
            </w:r>
          </w:p>
        </w:tc>
        <w:tc>
          <w:tcPr>
            <w:tcW w:w="1087" w:type="dxa"/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11 </w:t>
            </w:r>
          </w:p>
        </w:tc>
      </w:tr>
      <w:tr w:rsidR="008B3B57" w:rsidTr="008B3B57">
        <w:tblPrEx>
          <w:tblCellMar>
            <w:top w:w="0" w:type="dxa"/>
            <w:right w:w="0" w:type="dxa"/>
          </w:tblCellMar>
        </w:tblPrEx>
        <w:trPr>
          <w:trHeight w:val="365"/>
        </w:trPr>
        <w:tc>
          <w:tcPr>
            <w:tcW w:w="1871" w:type="dxa"/>
          </w:tcPr>
          <w:p w:rsidR="008B3B57" w:rsidRDefault="008B3B57" w:rsidP="00630370">
            <w:pPr>
              <w:ind w:left="652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K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+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</w:tcPr>
          <w:p w:rsidR="008B3B57" w:rsidRDefault="008B3B57" w:rsidP="00630370">
            <w:pPr>
              <w:ind w:left="301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55 </w:t>
            </w:r>
          </w:p>
        </w:tc>
        <w:tc>
          <w:tcPr>
            <w:tcW w:w="1520" w:type="dxa"/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40 </w:t>
            </w:r>
          </w:p>
        </w:tc>
        <w:tc>
          <w:tcPr>
            <w:tcW w:w="1087" w:type="dxa"/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33 </w:t>
            </w:r>
          </w:p>
        </w:tc>
      </w:tr>
      <w:tr w:rsidR="008B3B57" w:rsidTr="008B3B57">
        <w:tblPrEx>
          <w:tblCellMar>
            <w:top w:w="0" w:type="dxa"/>
            <w:right w:w="0" w:type="dxa"/>
          </w:tblCellMar>
        </w:tblPrEx>
        <w:trPr>
          <w:trHeight w:val="365"/>
        </w:trPr>
        <w:tc>
          <w:tcPr>
            <w:tcW w:w="1871" w:type="dxa"/>
          </w:tcPr>
          <w:p w:rsidR="008B3B57" w:rsidRDefault="008B3B57" w:rsidP="00630370">
            <w:pPr>
              <w:ind w:left="528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Mg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2+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</w:tcPr>
          <w:p w:rsidR="008B3B57" w:rsidRDefault="008B3B57" w:rsidP="00630370">
            <w:pPr>
              <w:ind w:left="301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12 </w:t>
            </w:r>
          </w:p>
        </w:tc>
        <w:tc>
          <w:tcPr>
            <w:tcW w:w="1520" w:type="dxa"/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21 </w:t>
            </w:r>
          </w:p>
        </w:tc>
        <w:tc>
          <w:tcPr>
            <w:tcW w:w="1087" w:type="dxa"/>
          </w:tcPr>
          <w:p w:rsidR="008B3B57" w:rsidRDefault="008B3B57" w:rsidP="00630370">
            <w:pPr>
              <w:ind w:left="213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15 </w:t>
            </w:r>
          </w:p>
        </w:tc>
      </w:tr>
      <w:tr w:rsidR="008B3B57" w:rsidTr="008B3B57">
        <w:tblPrEx>
          <w:tblCellMar>
            <w:top w:w="0" w:type="dxa"/>
            <w:right w:w="0" w:type="dxa"/>
          </w:tblCellMar>
        </w:tblPrEx>
        <w:trPr>
          <w:trHeight w:val="318"/>
        </w:trPr>
        <w:tc>
          <w:tcPr>
            <w:tcW w:w="1871" w:type="dxa"/>
            <w:tcBorders>
              <w:bottom w:val="single" w:sz="12" w:space="0" w:color="auto"/>
            </w:tcBorders>
          </w:tcPr>
          <w:p w:rsidR="008B3B57" w:rsidRDefault="008B3B57" w:rsidP="00630370">
            <w:pPr>
              <w:ind w:left="562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>Ca</w:t>
            </w:r>
            <w:r>
              <w:rPr>
                <w:rFonts w:ascii="Palatino Linotype" w:eastAsia="Palatino Linotype" w:hAnsi="Palatino Linotype" w:cs="Palatino Linotype"/>
                <w:sz w:val="21"/>
                <w:vertAlign w:val="superscript"/>
              </w:rPr>
              <w:t>2+</w:t>
            </w: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 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B3B57" w:rsidRDefault="008B3B57" w:rsidP="00630370">
            <w:pPr>
              <w:ind w:left="360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7 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8B3B57" w:rsidRDefault="008B3B57" w:rsidP="00630370">
            <w:pPr>
              <w:ind w:left="217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17 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8B3B57" w:rsidRDefault="008B3B57" w:rsidP="00630370">
            <w:pPr>
              <w:ind w:left="272"/>
            </w:pPr>
            <w:r>
              <w:rPr>
                <w:rFonts w:ascii="Palatino Linotype" w:eastAsia="Palatino Linotype" w:hAnsi="Palatino Linotype" w:cs="Palatino Linotype"/>
                <w:sz w:val="23"/>
              </w:rPr>
              <w:t xml:space="preserve">6 </w:t>
            </w:r>
          </w:p>
        </w:tc>
      </w:tr>
    </w:tbl>
    <w:p w:rsidR="008B3B57" w:rsidRPr="008B3B57" w:rsidRDefault="008B3B57" w:rsidP="008B3B57">
      <w:pPr>
        <w:ind w:left="1170" w:right="1620"/>
        <w:jc w:val="center"/>
        <w:rPr>
          <w:rFonts w:ascii="Palatino Linotype" w:eastAsia="Palatino Linotype" w:hAnsi="Palatino Linotype" w:cs="Palatino Linotype"/>
          <w:sz w:val="18"/>
        </w:rPr>
      </w:pPr>
      <w:r w:rsidRPr="008B3B57">
        <w:rPr>
          <w:rFonts w:ascii="Palatino Linotype" w:eastAsia="Palatino Linotype" w:hAnsi="Palatino Linotype" w:cs="Palatino Linotype"/>
          <w:sz w:val="18"/>
        </w:rPr>
        <w:t>Calculation is based on six triplicates for hilltop and slopes and three triplicates for the valley location.  The triplicates were obtained each fourth month.</w:t>
      </w:r>
    </w:p>
    <w:sectPr w:rsidR="008B3B57" w:rsidRPr="008B3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57"/>
    <w:rsid w:val="008B3B57"/>
    <w:rsid w:val="00E7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F8470-23DA-4CB2-918B-B549D93A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basedOn w:val="Normal"/>
    <w:next w:val="Normal"/>
    <w:qFormat/>
    <w:rsid w:val="008B3B57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3B57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customStyle="1" w:styleId="MDPI61Supplementary">
    <w:name w:val="MDPI_6.1_Supplementary"/>
    <w:basedOn w:val="Normal"/>
    <w:qFormat/>
    <w:rsid w:val="008B3B57"/>
    <w:pPr>
      <w:adjustRightInd w:val="0"/>
      <w:snapToGrid w:val="0"/>
      <w:spacing w:before="24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character" w:styleId="Hyperlink">
    <w:name w:val="Hyperlink"/>
    <w:uiPriority w:val="99"/>
    <w:unhideWhenUsed/>
    <w:rsid w:val="008B3B57"/>
    <w:rPr>
      <w:color w:val="0563C1"/>
      <w:u w:val="single"/>
    </w:rPr>
  </w:style>
  <w:style w:type="table" w:customStyle="1" w:styleId="TableGrid">
    <w:name w:val="TableGrid"/>
    <w:rsid w:val="008B3B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Petráš</dc:creator>
  <cp:keywords/>
  <dc:description/>
  <cp:lastModifiedBy>Daniel Petráš</cp:lastModifiedBy>
  <cp:revision>1</cp:revision>
  <dcterms:created xsi:type="dcterms:W3CDTF">2019-02-14T11:49:00Z</dcterms:created>
  <dcterms:modified xsi:type="dcterms:W3CDTF">2019-02-14T11:56:00Z</dcterms:modified>
</cp:coreProperties>
</file>