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A65" w:rsidRPr="00C21665" w:rsidRDefault="00554A65" w:rsidP="00F04B50">
      <w:pPr>
        <w:pStyle w:val="Podnadpis"/>
      </w:pPr>
      <w:bookmarkStart w:id="0" w:name="_GoBack"/>
      <w:bookmarkEnd w:id="0"/>
      <w:r w:rsidRPr="00C21665">
        <w:t>Supplementary Material for</w:t>
      </w:r>
    </w:p>
    <w:p w:rsidR="00554A65" w:rsidRPr="00C21665" w:rsidRDefault="00554A65" w:rsidP="00554A65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AE661E" w:rsidRPr="00C21665" w:rsidRDefault="00AE661E" w:rsidP="00AE661E">
      <w:pPr>
        <w:pStyle w:val="Nadpis1"/>
        <w:jc w:val="center"/>
      </w:pPr>
      <w:bookmarkStart w:id="1" w:name="OLE_LINK7"/>
      <w:r w:rsidRPr="00C21665">
        <w:t>Adipophilin and perilipin-3 levels in human breast milk correlate with the total lipid content</w:t>
      </w:r>
    </w:p>
    <w:p w:rsidR="00155E90" w:rsidRPr="00C21665" w:rsidRDefault="00155E90" w:rsidP="00554A65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bookmarkEnd w:id="1"/>
    <w:p w:rsidR="00554A65" w:rsidRPr="00C21665" w:rsidRDefault="00155E90" w:rsidP="00554A65">
      <w:pPr>
        <w:spacing w:after="120"/>
        <w:rPr>
          <w:rFonts w:ascii="Arial" w:hAnsi="Arial" w:cs="Arial"/>
          <w:vertAlign w:val="superscript"/>
        </w:rPr>
      </w:pPr>
      <w:r w:rsidRPr="00C21665">
        <w:rPr>
          <w:rFonts w:ascii="Arial" w:hAnsi="Arial" w:cs="Arial"/>
        </w:rPr>
        <w:t>Tereza Pavlova</w:t>
      </w:r>
      <w:r w:rsidRPr="00C21665">
        <w:rPr>
          <w:rFonts w:ascii="Arial" w:hAnsi="Arial" w:cs="Arial"/>
          <w:vertAlign w:val="superscript"/>
        </w:rPr>
        <w:t>1,</w:t>
      </w:r>
      <w:proofErr w:type="gramStart"/>
      <w:r w:rsidRPr="00C21665">
        <w:rPr>
          <w:rFonts w:ascii="Arial" w:hAnsi="Arial" w:cs="Arial"/>
          <w:vertAlign w:val="superscript"/>
        </w:rPr>
        <w:t>2,*</w:t>
      </w:r>
      <w:proofErr w:type="gramEnd"/>
      <w:r w:rsidRPr="00C21665">
        <w:rPr>
          <w:rFonts w:ascii="Arial" w:hAnsi="Arial" w:cs="Arial"/>
        </w:rPr>
        <w:t xml:space="preserve">, </w:t>
      </w:r>
      <w:proofErr w:type="spellStart"/>
      <w:r w:rsidRPr="00C21665">
        <w:rPr>
          <w:rFonts w:ascii="Arial" w:hAnsi="Arial" w:cs="Arial"/>
        </w:rPr>
        <w:t>Zdenek</w:t>
      </w:r>
      <w:proofErr w:type="spellEnd"/>
      <w:r w:rsidRPr="00C21665">
        <w:rPr>
          <w:rFonts w:ascii="Arial" w:hAnsi="Arial" w:cs="Arial"/>
        </w:rPr>
        <w:t xml:space="preserve"> Spacil</w:t>
      </w:r>
      <w:r w:rsidRPr="00C21665">
        <w:rPr>
          <w:rFonts w:ascii="Arial" w:hAnsi="Arial" w:cs="Arial"/>
          <w:vertAlign w:val="superscript"/>
        </w:rPr>
        <w:t>1</w:t>
      </w:r>
      <w:r w:rsidRPr="00C21665">
        <w:rPr>
          <w:rFonts w:ascii="Arial" w:hAnsi="Arial" w:cs="Arial"/>
        </w:rPr>
        <w:t>, Veronika Vidova</w:t>
      </w:r>
      <w:r w:rsidRPr="00C21665">
        <w:rPr>
          <w:rFonts w:ascii="Arial" w:hAnsi="Arial" w:cs="Arial"/>
          <w:vertAlign w:val="superscript"/>
        </w:rPr>
        <w:t>1</w:t>
      </w:r>
      <w:r w:rsidRPr="00C21665">
        <w:rPr>
          <w:rFonts w:ascii="Arial" w:hAnsi="Arial" w:cs="Arial"/>
        </w:rPr>
        <w:t>,</w:t>
      </w:r>
      <w:r w:rsidR="00A7702B" w:rsidRPr="00C21665">
        <w:rPr>
          <w:rFonts w:ascii="Arial" w:hAnsi="Arial" w:cs="Arial"/>
        </w:rPr>
        <w:t xml:space="preserve"> </w:t>
      </w:r>
      <w:r w:rsidR="00020540" w:rsidRPr="00C21665">
        <w:rPr>
          <w:rFonts w:ascii="Arial" w:hAnsi="Arial" w:cs="Arial"/>
        </w:rPr>
        <w:t>Filip Zlamal</w:t>
      </w:r>
      <w:r w:rsidR="00020540" w:rsidRPr="00C21665">
        <w:rPr>
          <w:rFonts w:ascii="Arial" w:hAnsi="Arial" w:cs="Arial"/>
          <w:vertAlign w:val="superscript"/>
        </w:rPr>
        <w:t>1,2</w:t>
      </w:r>
      <w:r w:rsidR="00020540" w:rsidRPr="00C21665">
        <w:rPr>
          <w:rFonts w:ascii="Arial" w:hAnsi="Arial" w:cs="Arial"/>
        </w:rPr>
        <w:t>,</w:t>
      </w:r>
      <w:r w:rsidR="00A7702B" w:rsidRPr="00C21665">
        <w:rPr>
          <w:rFonts w:ascii="Arial" w:hAnsi="Arial" w:cs="Arial"/>
        </w:rPr>
        <w:t xml:space="preserve"> </w:t>
      </w:r>
      <w:proofErr w:type="spellStart"/>
      <w:r w:rsidRPr="00C21665">
        <w:rPr>
          <w:rFonts w:ascii="Arial" w:hAnsi="Arial" w:cs="Arial"/>
        </w:rPr>
        <w:t>Eliska</w:t>
      </w:r>
      <w:proofErr w:type="spellEnd"/>
      <w:r w:rsidRPr="00C21665">
        <w:rPr>
          <w:rFonts w:ascii="Arial" w:hAnsi="Arial" w:cs="Arial"/>
        </w:rPr>
        <w:t xml:space="preserve"> Cechova</w:t>
      </w:r>
      <w:r w:rsidRPr="00C21665">
        <w:rPr>
          <w:rFonts w:ascii="Arial" w:hAnsi="Arial" w:cs="Arial"/>
          <w:vertAlign w:val="superscript"/>
        </w:rPr>
        <w:t>1</w:t>
      </w:r>
      <w:r w:rsidRPr="00C21665">
        <w:rPr>
          <w:rFonts w:ascii="Arial" w:hAnsi="Arial" w:cs="Arial"/>
        </w:rPr>
        <w:t>, Zuzana Hodicka</w:t>
      </w:r>
      <w:r w:rsidRPr="00C21665">
        <w:rPr>
          <w:rFonts w:ascii="Arial" w:hAnsi="Arial" w:cs="Arial"/>
          <w:vertAlign w:val="superscript"/>
        </w:rPr>
        <w:t>3</w:t>
      </w:r>
      <w:r w:rsidRPr="00C21665">
        <w:rPr>
          <w:rFonts w:ascii="Arial" w:hAnsi="Arial" w:cs="Arial"/>
        </w:rPr>
        <w:t>, Julie Bienertova-Vasku</w:t>
      </w:r>
      <w:r w:rsidRPr="00C21665">
        <w:rPr>
          <w:rFonts w:ascii="Arial" w:hAnsi="Arial" w:cs="Arial"/>
          <w:vertAlign w:val="superscript"/>
        </w:rPr>
        <w:t>1,2</w:t>
      </w:r>
    </w:p>
    <w:p w:rsidR="00554A65" w:rsidRPr="00C21665" w:rsidRDefault="00554A65" w:rsidP="00554A65">
      <w:pPr>
        <w:spacing w:after="120"/>
        <w:rPr>
          <w:rFonts w:ascii="Arial" w:hAnsi="Arial" w:cs="Arial"/>
          <w:i/>
          <w:lang w:val="cs-CZ"/>
        </w:rPr>
      </w:pPr>
      <w:r w:rsidRPr="00C21665">
        <w:rPr>
          <w:rFonts w:ascii="Arial" w:hAnsi="Arial" w:cs="Arial"/>
          <w:i/>
          <w:iCs/>
          <w:vertAlign w:val="superscript"/>
          <w:lang w:val="cs-CZ"/>
        </w:rPr>
        <w:t>1</w:t>
      </w:r>
      <w:r w:rsidRPr="00C21665">
        <w:rPr>
          <w:rFonts w:ascii="Arial" w:hAnsi="Arial" w:cs="Arial"/>
          <w:i/>
          <w:iCs/>
          <w:lang w:val="cs-CZ"/>
        </w:rPr>
        <w:t xml:space="preserve">Research Centre </w:t>
      </w:r>
      <w:proofErr w:type="spellStart"/>
      <w:r w:rsidRPr="00C21665">
        <w:rPr>
          <w:rFonts w:ascii="Arial" w:hAnsi="Arial" w:cs="Arial"/>
          <w:i/>
          <w:iCs/>
          <w:lang w:val="cs-CZ"/>
        </w:rPr>
        <w:t>for</w:t>
      </w:r>
      <w:proofErr w:type="spellEnd"/>
      <w:r w:rsidR="00CE3E93" w:rsidRPr="00C21665">
        <w:rPr>
          <w:rFonts w:ascii="Arial" w:hAnsi="Arial" w:cs="Arial"/>
          <w:i/>
          <w:iCs/>
          <w:lang w:val="cs-CZ"/>
        </w:rPr>
        <w:t xml:space="preserve"> </w:t>
      </w:r>
      <w:proofErr w:type="spellStart"/>
      <w:r w:rsidRPr="00C21665">
        <w:rPr>
          <w:rFonts w:ascii="Arial" w:hAnsi="Arial" w:cs="Arial"/>
          <w:i/>
          <w:iCs/>
          <w:lang w:val="cs-CZ"/>
        </w:rPr>
        <w:t>Toxic</w:t>
      </w:r>
      <w:proofErr w:type="spellEnd"/>
      <w:r w:rsidR="00CE3E93" w:rsidRPr="00C21665">
        <w:rPr>
          <w:rFonts w:ascii="Arial" w:hAnsi="Arial" w:cs="Arial"/>
          <w:i/>
          <w:iCs/>
          <w:lang w:val="cs-CZ"/>
        </w:rPr>
        <w:t xml:space="preserve"> </w:t>
      </w:r>
      <w:proofErr w:type="spellStart"/>
      <w:r w:rsidRPr="00C21665">
        <w:rPr>
          <w:rFonts w:ascii="Arial" w:hAnsi="Arial" w:cs="Arial"/>
          <w:i/>
          <w:iCs/>
          <w:lang w:val="cs-CZ"/>
        </w:rPr>
        <w:t>Compounds</w:t>
      </w:r>
      <w:proofErr w:type="spellEnd"/>
      <w:r w:rsidRPr="00C21665">
        <w:rPr>
          <w:rFonts w:ascii="Arial" w:hAnsi="Arial" w:cs="Arial"/>
          <w:i/>
          <w:iCs/>
          <w:lang w:val="cs-CZ"/>
        </w:rPr>
        <w:t xml:space="preserve"> in </w:t>
      </w:r>
      <w:proofErr w:type="spellStart"/>
      <w:r w:rsidRPr="00C21665">
        <w:rPr>
          <w:rFonts w:ascii="Arial" w:hAnsi="Arial" w:cs="Arial"/>
          <w:i/>
          <w:iCs/>
          <w:lang w:val="cs-CZ"/>
        </w:rPr>
        <w:t>the</w:t>
      </w:r>
      <w:proofErr w:type="spellEnd"/>
      <w:r w:rsidR="00CE3E93" w:rsidRPr="00C21665">
        <w:rPr>
          <w:rFonts w:ascii="Arial" w:hAnsi="Arial" w:cs="Arial"/>
          <w:i/>
          <w:iCs/>
          <w:lang w:val="cs-CZ"/>
        </w:rPr>
        <w:t xml:space="preserve"> </w:t>
      </w:r>
      <w:proofErr w:type="spellStart"/>
      <w:r w:rsidRPr="00C21665">
        <w:rPr>
          <w:rFonts w:ascii="Arial" w:hAnsi="Arial" w:cs="Arial"/>
          <w:i/>
          <w:iCs/>
          <w:lang w:val="cs-CZ"/>
        </w:rPr>
        <w:t>Environment</w:t>
      </w:r>
      <w:proofErr w:type="spellEnd"/>
      <w:r w:rsidRPr="00C21665">
        <w:rPr>
          <w:rFonts w:ascii="Arial" w:hAnsi="Arial" w:cs="Arial"/>
          <w:i/>
          <w:iCs/>
          <w:lang w:val="cs-CZ"/>
        </w:rPr>
        <w:t xml:space="preserve"> (RECETOX), Masaryk University, Czech Republic</w:t>
      </w:r>
    </w:p>
    <w:p w:rsidR="00554A65" w:rsidRPr="00C21665" w:rsidRDefault="00554A65" w:rsidP="00554A65">
      <w:pPr>
        <w:spacing w:after="120"/>
        <w:rPr>
          <w:rFonts w:ascii="Arial" w:hAnsi="Arial" w:cs="Arial"/>
          <w:i/>
          <w:lang w:val="cs-CZ"/>
        </w:rPr>
      </w:pPr>
      <w:r w:rsidRPr="00C21665">
        <w:rPr>
          <w:rFonts w:ascii="Arial" w:hAnsi="Arial" w:cs="Arial"/>
          <w:i/>
          <w:iCs/>
          <w:vertAlign w:val="superscript"/>
          <w:lang w:val="cs-CZ"/>
        </w:rPr>
        <w:t>2</w:t>
      </w:r>
      <w:r w:rsidRPr="00C21665">
        <w:rPr>
          <w:rFonts w:ascii="Arial" w:hAnsi="Arial" w:cs="Arial"/>
          <w:i/>
          <w:iCs/>
          <w:lang w:val="cs-CZ"/>
        </w:rPr>
        <w:t xml:space="preserve"> Department </w:t>
      </w:r>
      <w:proofErr w:type="spellStart"/>
      <w:r w:rsidRPr="00C21665">
        <w:rPr>
          <w:rFonts w:ascii="Arial" w:hAnsi="Arial" w:cs="Arial"/>
          <w:i/>
          <w:iCs/>
          <w:lang w:val="cs-CZ"/>
        </w:rPr>
        <w:t>of</w:t>
      </w:r>
      <w:proofErr w:type="spellEnd"/>
      <w:r w:rsidR="00CE3E93" w:rsidRPr="00C21665">
        <w:rPr>
          <w:rFonts w:ascii="Arial" w:hAnsi="Arial" w:cs="Arial"/>
          <w:i/>
          <w:iCs/>
          <w:lang w:val="cs-CZ"/>
        </w:rPr>
        <w:t xml:space="preserve"> </w:t>
      </w:r>
      <w:proofErr w:type="spellStart"/>
      <w:r w:rsidRPr="00C21665">
        <w:rPr>
          <w:rFonts w:ascii="Arial" w:hAnsi="Arial" w:cs="Arial"/>
          <w:i/>
          <w:iCs/>
          <w:lang w:val="cs-CZ"/>
        </w:rPr>
        <w:t>Pathological</w:t>
      </w:r>
      <w:proofErr w:type="spellEnd"/>
      <w:r w:rsidR="00CE3E93" w:rsidRPr="00C21665">
        <w:rPr>
          <w:rFonts w:ascii="Arial" w:hAnsi="Arial" w:cs="Arial"/>
          <w:i/>
          <w:iCs/>
          <w:lang w:val="cs-CZ"/>
        </w:rPr>
        <w:t xml:space="preserve"> </w:t>
      </w:r>
      <w:proofErr w:type="spellStart"/>
      <w:r w:rsidRPr="00C21665">
        <w:rPr>
          <w:rFonts w:ascii="Arial" w:hAnsi="Arial" w:cs="Arial"/>
          <w:i/>
          <w:iCs/>
          <w:lang w:val="cs-CZ"/>
        </w:rPr>
        <w:t>Physiology</w:t>
      </w:r>
      <w:proofErr w:type="spellEnd"/>
      <w:r w:rsidRPr="00C21665">
        <w:rPr>
          <w:rFonts w:ascii="Arial" w:hAnsi="Arial" w:cs="Arial"/>
          <w:i/>
          <w:iCs/>
          <w:lang w:val="cs-CZ"/>
        </w:rPr>
        <w:t xml:space="preserve">, Masaryk University, </w:t>
      </w:r>
      <w:proofErr w:type="spellStart"/>
      <w:r w:rsidRPr="00C21665">
        <w:rPr>
          <w:rFonts w:ascii="Arial" w:hAnsi="Arial" w:cs="Arial"/>
          <w:i/>
          <w:iCs/>
          <w:lang w:val="cs-CZ"/>
        </w:rPr>
        <w:t>Faculty</w:t>
      </w:r>
      <w:proofErr w:type="spellEnd"/>
      <w:r w:rsidR="00611449" w:rsidRPr="00C21665">
        <w:rPr>
          <w:rFonts w:ascii="Arial" w:hAnsi="Arial" w:cs="Arial"/>
          <w:i/>
          <w:iCs/>
          <w:lang w:val="cs-CZ"/>
        </w:rPr>
        <w:t xml:space="preserve"> </w:t>
      </w:r>
      <w:proofErr w:type="spellStart"/>
      <w:r w:rsidRPr="00C21665">
        <w:rPr>
          <w:rFonts w:ascii="Arial" w:hAnsi="Arial" w:cs="Arial"/>
          <w:i/>
          <w:iCs/>
          <w:lang w:val="cs-CZ"/>
        </w:rPr>
        <w:t>of</w:t>
      </w:r>
      <w:proofErr w:type="spellEnd"/>
      <w:r w:rsidR="00611449" w:rsidRPr="00C21665">
        <w:rPr>
          <w:rFonts w:ascii="Arial" w:hAnsi="Arial" w:cs="Arial"/>
          <w:i/>
          <w:iCs/>
          <w:lang w:val="cs-CZ"/>
        </w:rPr>
        <w:t xml:space="preserve"> </w:t>
      </w:r>
      <w:proofErr w:type="spellStart"/>
      <w:r w:rsidRPr="00C21665">
        <w:rPr>
          <w:rFonts w:ascii="Arial" w:hAnsi="Arial" w:cs="Arial"/>
          <w:i/>
          <w:iCs/>
          <w:lang w:val="cs-CZ"/>
        </w:rPr>
        <w:t>Medicine</w:t>
      </w:r>
      <w:proofErr w:type="spellEnd"/>
      <w:r w:rsidRPr="00C21665">
        <w:rPr>
          <w:rFonts w:ascii="Arial" w:hAnsi="Arial" w:cs="Arial"/>
          <w:i/>
          <w:iCs/>
          <w:lang w:val="cs-CZ"/>
        </w:rPr>
        <w:t>, Brno, Czech Republic</w:t>
      </w:r>
    </w:p>
    <w:p w:rsidR="00554A65" w:rsidRPr="00C21665" w:rsidRDefault="00554A65" w:rsidP="00554A65">
      <w:pPr>
        <w:spacing w:after="120"/>
        <w:rPr>
          <w:rFonts w:ascii="Arial" w:hAnsi="Arial" w:cs="Arial"/>
          <w:i/>
          <w:lang w:val="cs-CZ"/>
        </w:rPr>
      </w:pPr>
      <w:r w:rsidRPr="00C21665">
        <w:rPr>
          <w:rFonts w:ascii="Arial" w:hAnsi="Arial" w:cs="Arial"/>
          <w:i/>
          <w:iCs/>
          <w:vertAlign w:val="superscript"/>
          <w:lang w:val="cs-CZ"/>
        </w:rPr>
        <w:t>3</w:t>
      </w:r>
      <w:r w:rsidRPr="00C21665">
        <w:rPr>
          <w:rFonts w:ascii="Arial" w:hAnsi="Arial" w:cs="Arial"/>
          <w:i/>
          <w:iCs/>
          <w:lang w:val="cs-CZ"/>
        </w:rPr>
        <w:t xml:space="preserve">Department </w:t>
      </w:r>
      <w:proofErr w:type="spellStart"/>
      <w:r w:rsidRPr="00C21665">
        <w:rPr>
          <w:rFonts w:ascii="Arial" w:hAnsi="Arial" w:cs="Arial"/>
          <w:i/>
          <w:iCs/>
          <w:lang w:val="cs-CZ"/>
        </w:rPr>
        <w:t>of</w:t>
      </w:r>
      <w:proofErr w:type="spellEnd"/>
      <w:r w:rsidR="00611449" w:rsidRPr="00C21665">
        <w:rPr>
          <w:rFonts w:ascii="Arial" w:hAnsi="Arial" w:cs="Arial"/>
          <w:i/>
          <w:iCs/>
          <w:lang w:val="cs-CZ"/>
        </w:rPr>
        <w:t xml:space="preserve"> </w:t>
      </w:r>
      <w:proofErr w:type="spellStart"/>
      <w:r w:rsidRPr="00C21665">
        <w:rPr>
          <w:rFonts w:ascii="Arial" w:hAnsi="Arial" w:cs="Arial"/>
          <w:i/>
          <w:iCs/>
          <w:lang w:val="cs-CZ"/>
        </w:rPr>
        <w:t>Obstetrics</w:t>
      </w:r>
      <w:proofErr w:type="spellEnd"/>
      <w:r w:rsidRPr="00C21665">
        <w:rPr>
          <w:rFonts w:ascii="Arial" w:hAnsi="Arial" w:cs="Arial"/>
          <w:i/>
          <w:iCs/>
          <w:lang w:val="cs-CZ"/>
        </w:rPr>
        <w:t xml:space="preserve"> and </w:t>
      </w:r>
      <w:proofErr w:type="spellStart"/>
      <w:r w:rsidRPr="00C21665">
        <w:rPr>
          <w:rFonts w:ascii="Arial" w:hAnsi="Arial" w:cs="Arial"/>
          <w:i/>
          <w:iCs/>
          <w:lang w:val="cs-CZ"/>
        </w:rPr>
        <w:t>Gynaecology</w:t>
      </w:r>
      <w:proofErr w:type="spellEnd"/>
      <w:r w:rsidRPr="00C21665">
        <w:rPr>
          <w:rFonts w:ascii="Arial" w:hAnsi="Arial" w:cs="Arial"/>
          <w:i/>
          <w:iCs/>
          <w:lang w:val="cs-CZ"/>
        </w:rPr>
        <w:t xml:space="preserve">, University </w:t>
      </w:r>
      <w:proofErr w:type="spellStart"/>
      <w:r w:rsidRPr="00C21665">
        <w:rPr>
          <w:rFonts w:ascii="Arial" w:hAnsi="Arial" w:cs="Arial"/>
          <w:i/>
          <w:iCs/>
          <w:lang w:val="cs-CZ"/>
        </w:rPr>
        <w:t>Hos</w:t>
      </w:r>
      <w:r w:rsidR="00C21665">
        <w:rPr>
          <w:rFonts w:ascii="Arial" w:hAnsi="Arial" w:cs="Arial"/>
          <w:i/>
          <w:iCs/>
          <w:lang w:val="cs-CZ"/>
        </w:rPr>
        <w:t>pital</w:t>
      </w:r>
      <w:proofErr w:type="spellEnd"/>
      <w:r w:rsidR="00C21665">
        <w:rPr>
          <w:rFonts w:ascii="Arial" w:hAnsi="Arial" w:cs="Arial"/>
          <w:i/>
          <w:iCs/>
          <w:lang w:val="cs-CZ"/>
        </w:rPr>
        <w:t xml:space="preserve"> Brno, Brno, Czech Republic</w:t>
      </w:r>
    </w:p>
    <w:p w:rsidR="00554A65" w:rsidRPr="00C21665" w:rsidRDefault="00554A65" w:rsidP="00554A65">
      <w:pPr>
        <w:spacing w:after="120"/>
        <w:rPr>
          <w:rFonts w:ascii="Arial" w:hAnsi="Arial" w:cs="Arial"/>
        </w:rPr>
      </w:pPr>
    </w:p>
    <w:p w:rsidR="00554A65" w:rsidRPr="00C21665" w:rsidRDefault="00554A65" w:rsidP="00554A65">
      <w:pPr>
        <w:spacing w:after="120"/>
        <w:rPr>
          <w:rFonts w:ascii="Arial" w:hAnsi="Arial" w:cs="Arial"/>
          <w:b/>
        </w:rPr>
      </w:pPr>
    </w:p>
    <w:p w:rsidR="00554A65" w:rsidRPr="00C21665" w:rsidRDefault="00554A65" w:rsidP="00AB4198">
      <w:pPr>
        <w:spacing w:after="120"/>
        <w:rPr>
          <w:rFonts w:ascii="Arial" w:hAnsi="Arial" w:cs="Arial"/>
        </w:rPr>
      </w:pPr>
    </w:p>
    <w:p w:rsidR="000805AA" w:rsidRPr="00C21665" w:rsidRDefault="000805AA">
      <w:pPr>
        <w:widowControl/>
        <w:spacing w:after="160" w:line="259" w:lineRule="auto"/>
        <w:jc w:val="left"/>
        <w:rPr>
          <w:rFonts w:ascii="Arial" w:hAnsi="Arial" w:cs="Arial"/>
          <w:b/>
          <w:sz w:val="22"/>
        </w:rPr>
      </w:pPr>
      <w:r w:rsidRPr="00C21665">
        <w:rPr>
          <w:rFonts w:ascii="Arial" w:hAnsi="Arial" w:cs="Arial"/>
          <w:b/>
          <w:sz w:val="22"/>
        </w:rPr>
        <w:br w:type="page"/>
      </w:r>
    </w:p>
    <w:p w:rsidR="00C21665" w:rsidRPr="00C21665" w:rsidRDefault="00C21665" w:rsidP="00C21665">
      <w:pPr>
        <w:rPr>
          <w:rFonts w:ascii="Arial" w:hAnsi="Arial" w:cs="Arial"/>
          <w:b/>
          <w:color w:val="000000"/>
          <w:kern w:val="0"/>
          <w:sz w:val="22"/>
        </w:rPr>
      </w:pPr>
      <w:r>
        <w:rPr>
          <w:rFonts w:ascii="Arial" w:hAnsi="Arial" w:cs="Arial"/>
          <w:b/>
          <w:color w:val="000000"/>
          <w:kern w:val="0"/>
          <w:sz w:val="22"/>
        </w:rPr>
        <w:lastRenderedPageBreak/>
        <w:t>Supplemental Table 1</w:t>
      </w:r>
      <w:r w:rsidRPr="00C21665">
        <w:rPr>
          <w:rFonts w:ascii="Arial" w:hAnsi="Arial" w:cs="Arial"/>
          <w:b/>
          <w:color w:val="000000"/>
          <w:kern w:val="0"/>
          <w:sz w:val="22"/>
        </w:rPr>
        <w:t xml:space="preserve">: Calibration parameters in matrix-matched solution 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1220"/>
        <w:gridCol w:w="1220"/>
        <w:gridCol w:w="2020"/>
        <w:gridCol w:w="936"/>
        <w:gridCol w:w="1060"/>
        <w:gridCol w:w="691"/>
        <w:gridCol w:w="1020"/>
      </w:tblGrid>
      <w:tr w:rsidR="00C21665" w:rsidRPr="00C21665" w:rsidTr="00754BF5">
        <w:trPr>
          <w:trHeight w:val="375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Peptide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LOD (</w:t>
            </w: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nM</w:t>
            </w:r>
            <w:proofErr w:type="spellEnd"/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LOQ (</w:t>
            </w: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nM</w:t>
            </w:r>
            <w:proofErr w:type="spellEnd"/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Linear range (</w:t>
            </w: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nM</w:t>
            </w:r>
            <w:proofErr w:type="spellEnd"/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Slope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Intercept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4"/>
                <w:lang w:eastAsia="cs-CZ"/>
              </w:rPr>
              <w:t>R</w:t>
            </w:r>
            <w:r w:rsidRPr="00C2166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4"/>
                <w:lang w:eastAsia="cs-CZ"/>
              </w:rPr>
              <w:t>R</w:t>
            </w:r>
            <w:r w:rsidRPr="00C2166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4"/>
                <w:vertAlign w:val="superscript"/>
                <w:lang w:eastAsia="cs-CZ"/>
              </w:rPr>
              <w:t xml:space="preserve">2 </w:t>
            </w: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szCs w:val="24"/>
                <w:lang w:eastAsia="cs-CZ"/>
              </w:rPr>
              <w:t>norm</w:t>
            </w:r>
          </w:p>
        </w:tc>
      </w:tr>
      <w:tr w:rsidR="00C21665" w:rsidRPr="00C21665" w:rsidTr="00754BF5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DSVASTITGVMDK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1.583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4.796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5-400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122.766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633.893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0.977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0.994</w:t>
            </w:r>
          </w:p>
        </w:tc>
      </w:tr>
      <w:tr w:rsidR="00C21665" w:rsidRPr="00C21665" w:rsidTr="00754BF5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EVSDSLLTSSK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1.049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3.178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5-400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261.882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1731.352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0.992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1.000</w:t>
            </w:r>
          </w:p>
        </w:tc>
      </w:tr>
      <w:tr w:rsidR="00C21665" w:rsidRPr="00C21665" w:rsidTr="00754BF5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DTVATQLSEAVDATR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1.597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4.840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5-400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83.927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818.088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0.980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65" w:rsidRPr="00C21665" w:rsidRDefault="00C21665" w:rsidP="00754BF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22"/>
                <w:lang w:val="cs-CZ" w:eastAsia="cs-CZ"/>
              </w:rPr>
              <w:t>0.997</w:t>
            </w:r>
          </w:p>
        </w:tc>
      </w:tr>
    </w:tbl>
    <w:p w:rsidR="00C21665" w:rsidRDefault="00C21665" w:rsidP="00C21665">
      <w:pPr>
        <w:rPr>
          <w:rFonts w:ascii="Arial" w:hAnsi="Arial" w:cs="Arial"/>
        </w:rPr>
      </w:pPr>
    </w:p>
    <w:p w:rsidR="00C21665" w:rsidRDefault="00C21665" w:rsidP="00C2166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LOD,</w:t>
      </w:r>
      <w:r w:rsidR="00752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limit of detection; LOQ, limit of quantification; R</w:t>
      </w:r>
      <w:r w:rsidRPr="00752963">
        <w:rPr>
          <w:rFonts w:ascii="Arial" w:hAnsi="Arial" w:cs="Arial"/>
          <w:vertAlign w:val="superscript"/>
        </w:rPr>
        <w:t>2</w:t>
      </w:r>
      <w:r w:rsidR="00752963">
        <w:rPr>
          <w:rFonts w:ascii="Arial" w:hAnsi="Arial" w:cs="Arial"/>
        </w:rPr>
        <w:t xml:space="preserve">, </w:t>
      </w:r>
      <w:r w:rsidR="00752963" w:rsidRPr="00752963">
        <w:rPr>
          <w:rFonts w:ascii="Arial" w:hAnsi="Arial" w:cs="Arial"/>
        </w:rPr>
        <w:t>Pearson Coefficient of Determination</w:t>
      </w:r>
      <w:r w:rsidR="00752963">
        <w:rPr>
          <w:rFonts w:ascii="Arial" w:hAnsi="Arial" w:cs="Arial"/>
        </w:rPr>
        <w:t>; R</w:t>
      </w:r>
      <w:r w:rsidR="00752963" w:rsidRPr="00752963">
        <w:rPr>
          <w:rFonts w:ascii="Arial" w:hAnsi="Arial" w:cs="Arial"/>
          <w:vertAlign w:val="superscript"/>
        </w:rPr>
        <w:t xml:space="preserve">2 </w:t>
      </w:r>
      <w:r w:rsidR="00752963">
        <w:rPr>
          <w:rFonts w:ascii="Arial" w:hAnsi="Arial" w:cs="Arial"/>
        </w:rPr>
        <w:t xml:space="preserve">norm, </w:t>
      </w:r>
      <w:r w:rsidR="00752963" w:rsidRPr="00752963">
        <w:rPr>
          <w:rFonts w:ascii="Arial" w:hAnsi="Arial" w:cs="Arial"/>
        </w:rPr>
        <w:t>Coefficient of Determination</w:t>
      </w:r>
      <w:r w:rsidR="00752963">
        <w:rPr>
          <w:rFonts w:ascii="Arial" w:hAnsi="Arial" w:cs="Arial"/>
        </w:rPr>
        <w:t xml:space="preserve"> after adjusting for</w:t>
      </w:r>
      <w:r w:rsidR="008F6B65">
        <w:rPr>
          <w:rFonts w:ascii="Arial" w:hAnsi="Arial" w:cs="Arial"/>
        </w:rPr>
        <w:t xml:space="preserve"> native peptide. </w:t>
      </w:r>
    </w:p>
    <w:p w:rsidR="008F6B65" w:rsidRDefault="008F6B65" w:rsidP="00C21665">
      <w:pPr>
        <w:jc w:val="left"/>
        <w:rPr>
          <w:rFonts w:ascii="Arial" w:hAnsi="Arial" w:cs="Arial"/>
        </w:rPr>
      </w:pPr>
    </w:p>
    <w:p w:rsidR="008F6B65" w:rsidRDefault="008F6B65" w:rsidP="00C21665">
      <w:pPr>
        <w:jc w:val="left"/>
        <w:rPr>
          <w:rFonts w:ascii="Arial" w:hAnsi="Arial" w:cs="Arial"/>
        </w:rPr>
      </w:pPr>
    </w:p>
    <w:p w:rsidR="00CE6AB8" w:rsidRPr="00C21665" w:rsidRDefault="008F6B65" w:rsidP="00AB4198">
      <w:pPr>
        <w:widowControl/>
        <w:spacing w:after="160" w:line="259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</w:t>
      </w:r>
      <w:r w:rsidR="00C21665">
        <w:rPr>
          <w:rFonts w:ascii="Arial" w:hAnsi="Arial" w:cs="Arial"/>
          <w:b/>
          <w:sz w:val="22"/>
        </w:rPr>
        <w:t>upplemental Table 2:</w:t>
      </w:r>
      <w:r w:rsidR="00AC1F0F" w:rsidRPr="00C21665">
        <w:rPr>
          <w:rFonts w:ascii="Arial" w:hAnsi="Arial" w:cs="Arial"/>
          <w:b/>
          <w:sz w:val="22"/>
        </w:rPr>
        <w:t xml:space="preserve"> SRM assay library for positive ion detection mode</w:t>
      </w:r>
    </w:p>
    <w:p w:rsidR="00B7115A" w:rsidRPr="00C21665" w:rsidRDefault="00B7115A" w:rsidP="00AB4198">
      <w:pPr>
        <w:widowControl/>
        <w:spacing w:after="160" w:line="259" w:lineRule="auto"/>
        <w:jc w:val="left"/>
        <w:rPr>
          <w:rFonts w:ascii="Arial" w:hAnsi="Arial" w:cs="Arial"/>
          <w:sz w:val="22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561"/>
        <w:gridCol w:w="1221"/>
        <w:gridCol w:w="1113"/>
        <w:gridCol w:w="1692"/>
        <w:gridCol w:w="1812"/>
      </w:tblGrid>
      <w:tr w:rsidR="004E694C" w:rsidRPr="00C21665" w:rsidTr="00B7115A">
        <w:trPr>
          <w:trHeight w:val="332"/>
        </w:trPr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5D9B" w:rsidRPr="00C21665" w:rsidRDefault="004E694C" w:rsidP="00F579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 xml:space="preserve">Peptide </w:t>
            </w:r>
            <w:proofErr w:type="spellStart"/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Name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5D9B" w:rsidRPr="00C21665" w:rsidRDefault="00F57933" w:rsidP="00F579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ISTD</w:t>
            </w:r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vertAlign w:val="superscript"/>
                <w:lang w:val="cs-CZ" w:eastAsia="cs-CZ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Prec</w:t>
            </w:r>
            <w:r w:rsidR="00F57933"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ursor</w:t>
            </w:r>
            <w:proofErr w:type="spellEnd"/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 xml:space="preserve"> 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Prod</w:t>
            </w:r>
            <w:r w:rsidR="00F57933"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uct</w:t>
            </w:r>
            <w:proofErr w:type="spellEnd"/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 xml:space="preserve"> 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5D9B" w:rsidRPr="00C21665" w:rsidRDefault="00F57933" w:rsidP="00F579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ColisionEnergy</w:t>
            </w:r>
            <w:proofErr w:type="spellEnd"/>
            <w:r w:rsidR="006B5D9B"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(V)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Ret</w:t>
            </w:r>
            <w:r w:rsidR="00F57933"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ention</w:t>
            </w:r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>Time</w:t>
            </w:r>
            <w:proofErr w:type="spellEnd"/>
            <w:r w:rsidRPr="00C216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  <w:t xml:space="preserve"> (min)</w:t>
            </w:r>
          </w:p>
          <w:p w:rsidR="00F57933" w:rsidRPr="00C21665" w:rsidRDefault="00F57933" w:rsidP="00F579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4"/>
                <w:lang w:val="cs-CZ" w:eastAsia="cs-CZ"/>
              </w:rPr>
            </w:pP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DSVASTITGVMDK.heavy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666.3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1030.5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26.2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13.8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DSVASTITGVMDK.heavy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666.3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959.5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26.2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13.8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DSVASTITGVMDK.heavy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666.3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658.3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26.2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13.8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DSVASTITGVMDK.heavy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666.3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302.1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26.2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13.8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DSVASTITGVMDK.heavy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666.3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203.1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26.2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13.8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DSVASTITGVMDK.light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662.3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1022.5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26.2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13.8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DSVASTITGVMDK.light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662.3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951.5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26.2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13.8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DSVASTITGVMDK.light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662.3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650.3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26.2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13.8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DSVASTITGVMDK.light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662.3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302.1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26.2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13.8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DSVASTITGVMDK.light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662.3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203.1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26.2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13.8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DTVATQLSEAVDATR.heavy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793.9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971.5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14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DTVATQLSEAVDATR.heavy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793.9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858.4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DTVATQLSEAVDATR.heavy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793.9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642.4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DTVATQLSEAVDATR.heavy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793.9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472.2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DTVATQLSEAVDATR.heavy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793.9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DTVATQLSEAVDATR.light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788.9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961.5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14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DTVATQLSEAVDATR.light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788.9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848.4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DTVATQLSEAVDATR.light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788.9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632.3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DTVATQLSEAVDATR.light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788.9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462.2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DTVATQLSEAVDATR.light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788.9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29.8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EVSDSLLTSSK.heavy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587.3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945.5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23.9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7.3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EVSDSLLTSSK.heavy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587.3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543.3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23.9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7.3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EVSDSLLTSSK.heavy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587.3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430.2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23.9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7.3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EVSDSLLTSSK.heavy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587.3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329.2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23.9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7.3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EVSDSLLTSSK.heavy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587.3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242.2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23.9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7.3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EVSDSLLTSSK.light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583.3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937.5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23.9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7.3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EVSDSLLTSSK.light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583.3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535.3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23.9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7.3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EVSDSLLTSSK.light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583.3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422.2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23.9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7.3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EVSDSLLTSSK.light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583.3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321.2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23.9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7.3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EVSDSLLTSSK.light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583.3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234.1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23.9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7.3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IATSLDGFDVASVQQQR.heavy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1359.7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33.8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14.1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IATSLDGFDVASVQQQR.heavy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1040.5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33.8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14.1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IATSLDGFDVASVQQQR.heavy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826.4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33.8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14.1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lastRenderedPageBreak/>
              <w:t>IATSLDGFDVASVQQQR.heavy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755.4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33.8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14.1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IATSLDGFDVASVQQQR.heavy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569.3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33.8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14.1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IATSLDGFDVASVQQQR.light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1349.6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33.8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14.1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IATSLDGFDVASVQQQR.light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1030.5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33.8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14.1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IATSLDGFDVASVQQQR.light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816.4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33.8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14.1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IATSLDGFDVASVQQQR.light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745.4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33.8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14.1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IATSLDGFDVASVQQQR.light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559.3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33.8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14.1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SELLVEQYLPLTEEELEK.heavy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1095.6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21.3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21.7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SELLVEQYLPLTEEELEK.heavy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962.5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21.7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SELLVEQYLPLTEEELEK.heavy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885.4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21.7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SELLVEQYLPLTEEELEK.heavy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548.3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21.7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SELLVEQYLPLTEEELEK.heavy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Yes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443.3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21.7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SELLVEQYLPLTEEELEK.light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721.4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1087.6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21.3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4"/>
                <w:lang w:val="cs-CZ" w:eastAsia="cs-CZ"/>
              </w:rPr>
              <w:t>21.7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SELLVEQYLPLTEEELEK.light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721.4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962.5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21.7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SELLVEQYLPLTEEELEK.light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721.4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877.4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21.7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SELLVEQYLPLTEEELEK.light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721.4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544.3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21.7</w:t>
            </w:r>
          </w:p>
        </w:tc>
      </w:tr>
      <w:tr w:rsidR="004E694C" w:rsidRPr="00C21665" w:rsidTr="00B7115A">
        <w:trPr>
          <w:trHeight w:val="3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proofErr w:type="spellStart"/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SELLVEQYLPLTEEELEK.light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721.4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443.3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9B" w:rsidRPr="00C21665" w:rsidRDefault="006B5D9B" w:rsidP="00F579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</w:pPr>
            <w:r w:rsidRPr="00C21665">
              <w:rPr>
                <w:rFonts w:ascii="Arial" w:eastAsia="Times New Roman" w:hAnsi="Arial" w:cs="Arial"/>
                <w:color w:val="000000"/>
                <w:kern w:val="0"/>
                <w:sz w:val="16"/>
                <w:szCs w:val="14"/>
                <w:lang w:val="cs-CZ" w:eastAsia="cs-CZ"/>
              </w:rPr>
              <w:t>21.7</w:t>
            </w:r>
          </w:p>
        </w:tc>
      </w:tr>
    </w:tbl>
    <w:p w:rsidR="00F57933" w:rsidRPr="00C21665" w:rsidRDefault="00F57933" w:rsidP="00AB4198">
      <w:pPr>
        <w:widowControl/>
        <w:spacing w:after="160" w:line="259" w:lineRule="auto"/>
        <w:jc w:val="left"/>
        <w:rPr>
          <w:rFonts w:ascii="Arial" w:hAnsi="Arial" w:cs="Arial"/>
        </w:rPr>
      </w:pPr>
    </w:p>
    <w:p w:rsidR="00B7115A" w:rsidRPr="00C21665" w:rsidRDefault="00F57933" w:rsidP="00C21665">
      <w:pPr>
        <w:jc w:val="left"/>
        <w:rPr>
          <w:rFonts w:ascii="Arial" w:hAnsi="Arial" w:cs="Arial"/>
          <w:i/>
          <w:color w:val="000000"/>
          <w:kern w:val="0"/>
          <w:sz w:val="22"/>
          <w:szCs w:val="24"/>
        </w:rPr>
      </w:pPr>
      <w:r w:rsidRPr="00C21665">
        <w:rPr>
          <w:rFonts w:ascii="Arial" w:hAnsi="Arial" w:cs="Arial"/>
          <w:i/>
          <w:color w:val="000000"/>
          <w:kern w:val="0"/>
          <w:sz w:val="22"/>
          <w:szCs w:val="24"/>
        </w:rPr>
        <w:t xml:space="preserve">Additional instrument settings for Agilent 6495 </w:t>
      </w:r>
      <w:proofErr w:type="spellStart"/>
      <w:r w:rsidRPr="00C21665">
        <w:rPr>
          <w:rFonts w:ascii="Arial" w:hAnsi="Arial" w:cs="Arial"/>
          <w:i/>
          <w:color w:val="000000"/>
          <w:kern w:val="0"/>
          <w:sz w:val="22"/>
          <w:szCs w:val="24"/>
        </w:rPr>
        <w:t>QqQ</w:t>
      </w:r>
      <w:proofErr w:type="spellEnd"/>
      <w:r w:rsidRPr="00C21665">
        <w:rPr>
          <w:rFonts w:ascii="Arial" w:hAnsi="Arial" w:cs="Arial"/>
          <w:i/>
          <w:color w:val="000000"/>
          <w:kern w:val="0"/>
          <w:sz w:val="22"/>
          <w:szCs w:val="24"/>
        </w:rPr>
        <w:t xml:space="preserve"> were positive pola</w:t>
      </w:r>
      <w:r w:rsidR="004E694C" w:rsidRPr="00C21665">
        <w:rPr>
          <w:rFonts w:ascii="Arial" w:hAnsi="Arial" w:cs="Arial"/>
          <w:i/>
          <w:color w:val="000000"/>
          <w:kern w:val="0"/>
          <w:sz w:val="22"/>
          <w:szCs w:val="24"/>
        </w:rPr>
        <w:t>r</w:t>
      </w:r>
      <w:r w:rsidRPr="00C21665">
        <w:rPr>
          <w:rFonts w:ascii="Arial" w:hAnsi="Arial" w:cs="Arial"/>
          <w:i/>
          <w:color w:val="000000"/>
          <w:kern w:val="0"/>
          <w:sz w:val="22"/>
          <w:szCs w:val="24"/>
        </w:rPr>
        <w:t>ity,</w:t>
      </w:r>
      <w:r w:rsidRPr="00C21665">
        <w:rPr>
          <w:rFonts w:ascii="Arial" w:hAnsi="Arial" w:cs="Arial"/>
          <w:sz w:val="20"/>
        </w:rPr>
        <w:t xml:space="preserve"> </w:t>
      </w:r>
      <w:proofErr w:type="spellStart"/>
      <w:r w:rsidRPr="00C21665">
        <w:rPr>
          <w:rFonts w:ascii="Arial" w:hAnsi="Arial" w:cs="Arial"/>
          <w:i/>
          <w:color w:val="000000"/>
          <w:kern w:val="0"/>
          <w:sz w:val="22"/>
          <w:szCs w:val="24"/>
        </w:rPr>
        <w:t>fragmentor</w:t>
      </w:r>
      <w:proofErr w:type="spellEnd"/>
      <w:r w:rsidRPr="00C21665">
        <w:rPr>
          <w:rFonts w:ascii="Arial" w:hAnsi="Arial" w:cs="Arial"/>
          <w:i/>
          <w:color w:val="000000"/>
          <w:kern w:val="0"/>
          <w:sz w:val="22"/>
          <w:szCs w:val="24"/>
        </w:rPr>
        <w:t xml:space="preserve"> = 380 V, cell accelerator voltage = 5 V and retention</w:t>
      </w:r>
      <w:r w:rsidR="004E694C" w:rsidRPr="00C21665">
        <w:rPr>
          <w:rFonts w:ascii="Arial" w:hAnsi="Arial" w:cs="Arial"/>
          <w:i/>
          <w:color w:val="000000"/>
          <w:kern w:val="0"/>
          <w:sz w:val="22"/>
          <w:szCs w:val="24"/>
        </w:rPr>
        <w:t xml:space="preserve"> time</w:t>
      </w:r>
      <w:r w:rsidRPr="00C21665">
        <w:rPr>
          <w:rFonts w:ascii="Arial" w:hAnsi="Arial" w:cs="Arial"/>
          <w:i/>
          <w:color w:val="000000"/>
          <w:kern w:val="0"/>
          <w:sz w:val="22"/>
          <w:szCs w:val="24"/>
        </w:rPr>
        <w:t xml:space="preserve"> window = 3.5 min. </w:t>
      </w:r>
      <w:r w:rsidR="007A3E5E" w:rsidRPr="00C21665">
        <w:rPr>
          <w:rFonts w:ascii="Arial" w:hAnsi="Arial" w:cs="Arial"/>
          <w:i/>
          <w:color w:val="000000"/>
          <w:kern w:val="0"/>
          <w:sz w:val="22"/>
          <w:szCs w:val="24"/>
        </w:rPr>
        <w:t xml:space="preserve">The quantification SRM transitions are in bold. </w:t>
      </w:r>
    </w:p>
    <w:p w:rsidR="00C21665" w:rsidRDefault="00F57933" w:rsidP="00C21665">
      <w:pPr>
        <w:jc w:val="left"/>
        <w:rPr>
          <w:rFonts w:ascii="Arial" w:hAnsi="Arial" w:cs="Arial"/>
          <w:i/>
          <w:color w:val="000000"/>
          <w:kern w:val="0"/>
          <w:sz w:val="22"/>
          <w:szCs w:val="24"/>
        </w:rPr>
        <w:sectPr w:rsidR="00C21665" w:rsidSect="00C216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21665">
        <w:rPr>
          <w:rFonts w:ascii="Arial" w:hAnsi="Arial" w:cs="Arial"/>
          <w:i/>
          <w:color w:val="000000"/>
          <w:kern w:val="0"/>
          <w:sz w:val="22"/>
          <w:szCs w:val="24"/>
          <w:vertAlign w:val="superscript"/>
        </w:rPr>
        <w:t>1</w:t>
      </w:r>
      <w:r w:rsidR="00B7115A" w:rsidRPr="00C21665">
        <w:rPr>
          <w:rFonts w:ascii="Arial" w:hAnsi="Arial" w:cs="Arial"/>
          <w:i/>
          <w:color w:val="000000"/>
          <w:kern w:val="0"/>
          <w:sz w:val="22"/>
          <w:szCs w:val="24"/>
        </w:rPr>
        <w:t xml:space="preserve">Internal </w:t>
      </w:r>
      <w:r w:rsidR="002664F4" w:rsidRPr="00C21665">
        <w:rPr>
          <w:rFonts w:ascii="Arial" w:hAnsi="Arial" w:cs="Arial"/>
          <w:i/>
          <w:color w:val="000000"/>
          <w:kern w:val="0"/>
          <w:sz w:val="22"/>
          <w:szCs w:val="24"/>
        </w:rPr>
        <w:t>standard</w:t>
      </w:r>
    </w:p>
    <w:p w:rsidR="00495CA6" w:rsidRPr="00C21665" w:rsidRDefault="00C21665" w:rsidP="00554A6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Supplemental Figure 1</w:t>
      </w:r>
      <w:r w:rsidR="00495CA6" w:rsidRPr="00C21665">
        <w:rPr>
          <w:rFonts w:ascii="Arial" w:hAnsi="Arial" w:cs="Arial"/>
          <w:b/>
          <w:sz w:val="22"/>
        </w:rPr>
        <w:t xml:space="preserve">: </w:t>
      </w:r>
      <w:r w:rsidR="00B7115A" w:rsidRPr="00C21665">
        <w:rPr>
          <w:rFonts w:ascii="Arial" w:hAnsi="Arial" w:cs="Arial"/>
          <w:b/>
          <w:sz w:val="22"/>
        </w:rPr>
        <w:t>Matrix matched c</w:t>
      </w:r>
      <w:r w:rsidR="00495CA6" w:rsidRPr="00C21665">
        <w:rPr>
          <w:rFonts w:ascii="Arial" w:hAnsi="Arial" w:cs="Arial"/>
          <w:b/>
          <w:sz w:val="22"/>
        </w:rPr>
        <w:t xml:space="preserve">alibration curves </w:t>
      </w:r>
    </w:p>
    <w:p w:rsidR="00495CA6" w:rsidRPr="00C21665" w:rsidRDefault="009F615A" w:rsidP="00554A65">
      <w:pPr>
        <w:rPr>
          <w:rFonts w:ascii="Arial" w:hAnsi="Arial" w:cs="Arial"/>
        </w:rPr>
      </w:pPr>
      <w:r w:rsidRPr="00C21665">
        <w:rPr>
          <w:rFonts w:ascii="Arial" w:hAnsi="Arial" w:cs="Arial"/>
          <w:noProof/>
          <w:lang w:val="cs-CZ"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4586349</wp:posOffset>
            </wp:positionH>
            <wp:positionV relativeFrom="paragraph">
              <wp:posOffset>181742</wp:posOffset>
            </wp:positionV>
            <wp:extent cx="4607560" cy="4393565"/>
            <wp:effectExtent l="19050" t="0" r="21590" b="6985"/>
            <wp:wrapTight wrapText="bothSides">
              <wp:wrapPolygon edited="0">
                <wp:start x="0" y="0"/>
                <wp:lineTo x="0" y="21541"/>
                <wp:lineTo x="21523" y="21541"/>
                <wp:lineTo x="21523" y="0"/>
                <wp:lineTo x="0" y="0"/>
              </wp:wrapPolygon>
            </wp:wrapTight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B7115A" w:rsidRPr="00C21665">
        <w:rPr>
          <w:rFonts w:ascii="Arial" w:hAnsi="Arial" w:cs="Arial"/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-266750</wp:posOffset>
            </wp:positionH>
            <wp:positionV relativeFrom="paragraph">
              <wp:posOffset>179400</wp:posOffset>
            </wp:positionV>
            <wp:extent cx="4787265" cy="4338955"/>
            <wp:effectExtent l="19050" t="0" r="13335" b="4445"/>
            <wp:wrapTight wrapText="bothSides">
              <wp:wrapPolygon edited="0">
                <wp:start x="-86" y="0"/>
                <wp:lineTo x="-86" y="21622"/>
                <wp:lineTo x="21660" y="21622"/>
                <wp:lineTo x="21660" y="0"/>
                <wp:lineTo x="-86" y="0"/>
              </wp:wrapPolygon>
            </wp:wrapTight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495CA6" w:rsidRPr="00C21665" w:rsidRDefault="00495CA6" w:rsidP="00554A65">
      <w:pPr>
        <w:rPr>
          <w:rFonts w:ascii="Arial" w:hAnsi="Arial" w:cs="Arial"/>
        </w:rPr>
      </w:pPr>
    </w:p>
    <w:p w:rsidR="00495CA6" w:rsidRPr="00C21665" w:rsidRDefault="00495CA6" w:rsidP="00554A65">
      <w:pPr>
        <w:rPr>
          <w:rFonts w:ascii="Arial" w:hAnsi="Arial" w:cs="Arial"/>
        </w:rPr>
      </w:pPr>
    </w:p>
    <w:p w:rsidR="009F615A" w:rsidRPr="00C21665" w:rsidRDefault="00AB4198" w:rsidP="00C21665">
      <w:pPr>
        <w:jc w:val="left"/>
        <w:rPr>
          <w:rFonts w:ascii="Arial" w:hAnsi="Arial" w:cs="Arial"/>
          <w:i/>
          <w:sz w:val="22"/>
        </w:rPr>
        <w:sectPr w:rsidR="009F615A" w:rsidRPr="00C21665" w:rsidSect="00B7115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C21665">
        <w:rPr>
          <w:rFonts w:ascii="Arial" w:hAnsi="Arial" w:cs="Arial"/>
          <w:i/>
          <w:sz w:val="22"/>
        </w:rPr>
        <w:t>T</w:t>
      </w:r>
      <w:r w:rsidR="00070423" w:rsidRPr="00C21665">
        <w:rPr>
          <w:rFonts w:ascii="Arial" w:hAnsi="Arial" w:cs="Arial"/>
          <w:i/>
          <w:sz w:val="22"/>
        </w:rPr>
        <w:t>he correlation between standard peptides concentrations in the breast milk and their responses. Calibration curves of TQL peptides after trypsin digestion (heavy standard) (1) and after normalization on native peptide (light)</w:t>
      </w:r>
      <w:r w:rsidR="00A875B3" w:rsidRPr="00C21665">
        <w:rPr>
          <w:rFonts w:ascii="Arial" w:hAnsi="Arial" w:cs="Arial"/>
          <w:i/>
          <w:sz w:val="22"/>
        </w:rPr>
        <w:t xml:space="preserve"> (2).</w:t>
      </w:r>
    </w:p>
    <w:p w:rsidR="002268B8" w:rsidRPr="00C21665" w:rsidRDefault="00C21665" w:rsidP="00554A6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Supplemental Figure 2</w:t>
      </w:r>
      <w:r w:rsidR="009F615A" w:rsidRPr="00C21665">
        <w:rPr>
          <w:rFonts w:ascii="Arial" w:hAnsi="Arial" w:cs="Arial"/>
          <w:b/>
          <w:sz w:val="22"/>
        </w:rPr>
        <w:t>: Trypsin digestion optimization</w:t>
      </w:r>
    </w:p>
    <w:p w:rsidR="006D06EB" w:rsidRPr="00C21665" w:rsidRDefault="006D06EB" w:rsidP="00554A65">
      <w:pPr>
        <w:rPr>
          <w:rFonts w:ascii="Arial" w:hAnsi="Arial" w:cs="Arial"/>
        </w:rPr>
      </w:pPr>
    </w:p>
    <w:p w:rsidR="009F615A" w:rsidRPr="00C21665" w:rsidRDefault="006D06EB" w:rsidP="00554A65">
      <w:pPr>
        <w:rPr>
          <w:rFonts w:ascii="Arial" w:hAnsi="Arial" w:cs="Arial"/>
        </w:rPr>
      </w:pPr>
      <w:r w:rsidRPr="00C21665">
        <w:rPr>
          <w:rFonts w:ascii="Arial" w:hAnsi="Arial" w:cs="Arial"/>
          <w:noProof/>
          <w:lang w:val="cs-CZ"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5438444</wp:posOffset>
            </wp:positionH>
            <wp:positionV relativeFrom="paragraph">
              <wp:posOffset>208500</wp:posOffset>
            </wp:positionV>
            <wp:extent cx="4491990" cy="3362960"/>
            <wp:effectExtent l="19050" t="0" r="22860" b="8890"/>
            <wp:wrapTight wrapText="bothSides">
              <wp:wrapPolygon edited="0">
                <wp:start x="-92" y="0"/>
                <wp:lineTo x="-92" y="21657"/>
                <wp:lineTo x="21710" y="21657"/>
                <wp:lineTo x="21710" y="0"/>
                <wp:lineTo x="-92" y="0"/>
              </wp:wrapPolygon>
            </wp:wrapTight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C21665">
        <w:rPr>
          <w:rFonts w:ascii="Arial" w:hAnsi="Arial" w:cs="Arial"/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443865</wp:posOffset>
            </wp:positionV>
            <wp:extent cx="4263390" cy="3434715"/>
            <wp:effectExtent l="19050" t="0" r="22860" b="0"/>
            <wp:wrapSquare wrapText="bothSides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sectPr w:rsidR="009F615A" w:rsidRPr="00C21665" w:rsidSect="00B711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65"/>
    <w:rsid w:val="00020540"/>
    <w:rsid w:val="00070423"/>
    <w:rsid w:val="000805AA"/>
    <w:rsid w:val="000A6CEC"/>
    <w:rsid w:val="000D5A10"/>
    <w:rsid w:val="00155E90"/>
    <w:rsid w:val="002268B8"/>
    <w:rsid w:val="00260C87"/>
    <w:rsid w:val="002664F4"/>
    <w:rsid w:val="00275068"/>
    <w:rsid w:val="002937C8"/>
    <w:rsid w:val="002E5138"/>
    <w:rsid w:val="0034595D"/>
    <w:rsid w:val="00360E8E"/>
    <w:rsid w:val="00381A1C"/>
    <w:rsid w:val="003A40D4"/>
    <w:rsid w:val="00402C2B"/>
    <w:rsid w:val="004452A0"/>
    <w:rsid w:val="00480A13"/>
    <w:rsid w:val="00495CA6"/>
    <w:rsid w:val="004E694C"/>
    <w:rsid w:val="00554A65"/>
    <w:rsid w:val="00611449"/>
    <w:rsid w:val="00620E01"/>
    <w:rsid w:val="006B5D9B"/>
    <w:rsid w:val="006D06EB"/>
    <w:rsid w:val="006E5E25"/>
    <w:rsid w:val="00752963"/>
    <w:rsid w:val="007A3E5E"/>
    <w:rsid w:val="008222C9"/>
    <w:rsid w:val="00857B81"/>
    <w:rsid w:val="008C70CA"/>
    <w:rsid w:val="008F6B65"/>
    <w:rsid w:val="009F615A"/>
    <w:rsid w:val="00A06A35"/>
    <w:rsid w:val="00A7702B"/>
    <w:rsid w:val="00A875B3"/>
    <w:rsid w:val="00AB4198"/>
    <w:rsid w:val="00AC1F0F"/>
    <w:rsid w:val="00AE661E"/>
    <w:rsid w:val="00B7115A"/>
    <w:rsid w:val="00BD2111"/>
    <w:rsid w:val="00BE0656"/>
    <w:rsid w:val="00C21665"/>
    <w:rsid w:val="00C94CB1"/>
    <w:rsid w:val="00CA5C34"/>
    <w:rsid w:val="00CC4E03"/>
    <w:rsid w:val="00CE3E93"/>
    <w:rsid w:val="00CE6AB8"/>
    <w:rsid w:val="00D84931"/>
    <w:rsid w:val="00E648E5"/>
    <w:rsid w:val="00F04B50"/>
    <w:rsid w:val="00F13D20"/>
    <w:rsid w:val="00F5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DBBF5-8B95-49CF-8CAC-B7C939E1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4A6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paragraph" w:styleId="Nadpis1">
    <w:name w:val="heading 1"/>
    <w:basedOn w:val="Normln"/>
    <w:next w:val="Normln"/>
    <w:link w:val="Nadpis1Char"/>
    <w:qFormat/>
    <w:rsid w:val="00AE661E"/>
    <w:pPr>
      <w:keepNext/>
      <w:widowControl/>
      <w:spacing w:before="240" w:after="60" w:line="48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54A65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rsid w:val="00F57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579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7933"/>
    <w:rPr>
      <w:rFonts w:ascii="Calibri" w:eastAsia="SimSun" w:hAnsi="Calibri" w:cs="Times New Roman"/>
      <w:kern w:val="2"/>
      <w:sz w:val="20"/>
      <w:szCs w:val="20"/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9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933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Nadpis1Char">
    <w:name w:val="Nadpis 1 Char"/>
    <w:basedOn w:val="Standardnpsmoodstavce"/>
    <w:link w:val="Nadpis1"/>
    <w:rsid w:val="00AE661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C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CEC"/>
    <w:rPr>
      <w:rFonts w:ascii="Calibri" w:eastAsia="SimSun" w:hAnsi="Calibri" w:cs="Times New Roman"/>
      <w:b/>
      <w:bCs/>
      <w:kern w:val="2"/>
      <w:sz w:val="20"/>
      <w:szCs w:val="20"/>
      <w:lang w:val="en-US" w:eastAsia="zh-C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04B50"/>
    <w:rPr>
      <w:rFonts w:eastAsiaTheme="minorEastAsia"/>
      <w:color w:val="5A5A5A" w:themeColor="text1" w:themeTint="A5"/>
      <w:spacing w:val="15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vlova\Documents\ADIPOFILIN\Results\170626_ca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vlova\Documents\ADIPOFILIN\Results\170626_ca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vlova\Documents\ADIPOFILIN\PROTEIN\170329_L+H+TQL_result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vlova\Documents\ADIPOFILIN\PROTEIN\170329_L+H+TQL_resul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05076873659812"/>
          <c:y val="3.1826347124705848E-2"/>
          <c:w val="0.83455581696169079"/>
          <c:h val="0.88230554341864287"/>
        </c:manualLayout>
      </c:layout>
      <c:scatterChart>
        <c:scatterStyle val="lineMarker"/>
        <c:varyColors val="0"/>
        <c:ser>
          <c:idx val="1"/>
          <c:order val="0"/>
          <c:tx>
            <c:strRef>
              <c:f>calibration!$H$43</c:f>
              <c:strCache>
                <c:ptCount val="1"/>
                <c:pt idx="0">
                  <c:v>DSVASTITGVMDK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calibration!$N$59:$N$64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50</c:v>
                </c:pt>
                <c:pt idx="3">
                  <c:v>100</c:v>
                </c:pt>
                <c:pt idx="4">
                  <c:v>250</c:v>
                </c:pt>
                <c:pt idx="5">
                  <c:v>400</c:v>
                </c:pt>
              </c:numCache>
            </c:numRef>
          </c:xVal>
          <c:yVal>
            <c:numRef>
              <c:f>calibration!$I$59:$I$64</c:f>
              <c:numCache>
                <c:formatCode>General</c:formatCode>
                <c:ptCount val="6"/>
                <c:pt idx="0">
                  <c:v>2.7303435254759402E-2</c:v>
                </c:pt>
                <c:pt idx="1">
                  <c:v>4.5649773401602346E-2</c:v>
                </c:pt>
                <c:pt idx="2">
                  <c:v>0.23257919160337023</c:v>
                </c:pt>
                <c:pt idx="3">
                  <c:v>0.5410055936319027</c:v>
                </c:pt>
                <c:pt idx="4">
                  <c:v>1.5377646188298766</c:v>
                </c:pt>
                <c:pt idx="5">
                  <c:v>2.1908926440497263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E3EC-49D9-82CE-DDB5F9CDCFED}"/>
            </c:ext>
          </c:extLst>
        </c:ser>
        <c:ser>
          <c:idx val="2"/>
          <c:order val="1"/>
          <c:tx>
            <c:strRef>
              <c:f>calibration!$K$43</c:f>
              <c:strCache>
                <c:ptCount val="1"/>
                <c:pt idx="0">
                  <c:v>EVSDSLLTSSK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5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calibration!$N$59:$N$64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50</c:v>
                </c:pt>
                <c:pt idx="3">
                  <c:v>100</c:v>
                </c:pt>
                <c:pt idx="4">
                  <c:v>250</c:v>
                </c:pt>
                <c:pt idx="5">
                  <c:v>400</c:v>
                </c:pt>
              </c:numCache>
            </c:numRef>
          </c:xVal>
          <c:yVal>
            <c:numRef>
              <c:f>calibration!$J$59:$J$64</c:f>
              <c:numCache>
                <c:formatCode>General</c:formatCode>
                <c:ptCount val="6"/>
                <c:pt idx="0">
                  <c:v>3.1459245489889855E-2</c:v>
                </c:pt>
                <c:pt idx="1">
                  <c:v>5.9478987382155873E-2</c:v>
                </c:pt>
                <c:pt idx="2">
                  <c:v>0.29609036219360957</c:v>
                </c:pt>
                <c:pt idx="3">
                  <c:v>0.54998019748283122</c:v>
                </c:pt>
                <c:pt idx="4">
                  <c:v>1.4746169681378773</c:v>
                </c:pt>
                <c:pt idx="5">
                  <c:v>2.3768244392656821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E3EC-49D9-82CE-DDB5F9CDCFED}"/>
            </c:ext>
          </c:extLst>
        </c:ser>
        <c:ser>
          <c:idx val="4"/>
          <c:order val="2"/>
          <c:tx>
            <c:strRef>
              <c:f>calibration!$Q$43</c:f>
              <c:strCache>
                <c:ptCount val="1"/>
                <c:pt idx="0">
                  <c:v>DTVATQLSEAVDATR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6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calibration!$N$59:$N$64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50</c:v>
                </c:pt>
                <c:pt idx="3">
                  <c:v>100</c:v>
                </c:pt>
                <c:pt idx="4">
                  <c:v>250</c:v>
                </c:pt>
                <c:pt idx="5">
                  <c:v>400</c:v>
                </c:pt>
              </c:numCache>
            </c:numRef>
          </c:xVal>
          <c:yVal>
            <c:numRef>
              <c:f>calibration!$L$59:$L$64</c:f>
              <c:numCache>
                <c:formatCode>General</c:formatCode>
                <c:ptCount val="6"/>
                <c:pt idx="0">
                  <c:v>0.19398738037176644</c:v>
                </c:pt>
                <c:pt idx="1">
                  <c:v>0.36033356784076254</c:v>
                </c:pt>
                <c:pt idx="2">
                  <c:v>1.7956182787599946</c:v>
                </c:pt>
                <c:pt idx="3">
                  <c:v>3.4791486536027785</c:v>
                </c:pt>
                <c:pt idx="4">
                  <c:v>10.476414851446803</c:v>
                </c:pt>
                <c:pt idx="5">
                  <c:v>15.574952040547421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E3EC-49D9-82CE-DDB5F9CDCF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4732160"/>
        <c:axId val="84746624"/>
      </c:scatterChart>
      <c:valAx>
        <c:axId val="84732160"/>
        <c:scaling>
          <c:orientation val="minMax"/>
          <c:max val="401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100" b="0" i="0" baseline="0">
                    <a:effectLst/>
                  </a:rPr>
                  <a:t>Peptide concentration (nmol/L)</a:t>
                </a:r>
                <a:endParaRPr lang="cs-CZ" sz="1100">
                  <a:effectLst/>
                </a:endParaRPr>
              </a:p>
            </c:rich>
          </c:tx>
          <c:layout>
            <c:manualLayout>
              <c:xMode val="edge"/>
              <c:yMode val="edge"/>
              <c:x val="0.35448784172099862"/>
              <c:y val="0.9513310944529099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84746624"/>
        <c:crosses val="autoZero"/>
        <c:crossBetween val="midCat"/>
        <c:minorUnit val="50"/>
      </c:valAx>
      <c:valAx>
        <c:axId val="84746624"/>
        <c:scaling>
          <c:orientation val="minMax"/>
          <c:max val="1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200">
                    <a:latin typeface="+mn-lt"/>
                    <a:cs typeface="Arial" panose="020B0604020202020204" pitchFamily="34" charset="0"/>
                  </a:rPr>
                  <a:t>Area</a:t>
                </a:r>
                <a:r>
                  <a:rPr lang="cs-CZ" sz="1200" baseline="-25000">
                    <a:latin typeface="+mn-lt"/>
                    <a:cs typeface="Arial" panose="020B0604020202020204" pitchFamily="34" charset="0"/>
                  </a:rPr>
                  <a:t>H </a:t>
                </a:r>
                <a:r>
                  <a:rPr lang="cs-CZ" sz="1200">
                    <a:latin typeface="+mn-lt"/>
                    <a:cs typeface="Arial" panose="020B0604020202020204" pitchFamily="34" charset="0"/>
                  </a:rPr>
                  <a:t>/ Area</a:t>
                </a:r>
                <a:r>
                  <a:rPr lang="cs-CZ" sz="1200" baseline="-25000">
                    <a:latin typeface="+mn-lt"/>
                    <a:cs typeface="Arial" panose="020B0604020202020204" pitchFamily="34" charset="0"/>
                  </a:rPr>
                  <a:t>L</a:t>
                </a:r>
              </a:p>
            </c:rich>
          </c:tx>
          <c:layout>
            <c:manualLayout>
              <c:xMode val="edge"/>
              <c:yMode val="edge"/>
              <c:x val="1.4264871822073083E-2"/>
              <c:y val="0.4039238588745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84732160"/>
        <c:crosses val="autoZero"/>
        <c:crossBetween val="midCat"/>
        <c:majorUnit val="2.5"/>
        <c:minorUnit val="2"/>
      </c:valAx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ayout>
        <c:manualLayout>
          <c:xMode val="edge"/>
          <c:yMode val="edge"/>
          <c:x val="0.13823718241841124"/>
          <c:y val="7.2270031584938998E-2"/>
          <c:w val="0.26775343131722645"/>
          <c:h val="0.237463395587949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2254231111288"/>
          <c:y val="3.7833788180959567E-2"/>
          <c:w val="0.81145582048067433"/>
          <c:h val="0.85887388102728723"/>
        </c:manualLayout>
      </c:layout>
      <c:scatterChart>
        <c:scatterStyle val="lineMarker"/>
        <c:varyColors val="0"/>
        <c:ser>
          <c:idx val="1"/>
          <c:order val="0"/>
          <c:tx>
            <c:strRef>
              <c:f>calibration!$R$3</c:f>
              <c:strCache>
                <c:ptCount val="1"/>
                <c:pt idx="0">
                  <c:v>DSVASTITGVMDK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calibration!$U$4:$U$9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50</c:v>
                </c:pt>
                <c:pt idx="3">
                  <c:v>100</c:v>
                </c:pt>
                <c:pt idx="4">
                  <c:v>250</c:v>
                </c:pt>
                <c:pt idx="5">
                  <c:v>400</c:v>
                </c:pt>
              </c:numCache>
            </c:numRef>
          </c:xVal>
          <c:yVal>
            <c:numRef>
              <c:f>calibration!$R$4:$R$9</c:f>
              <c:numCache>
                <c:formatCode>General</c:formatCode>
                <c:ptCount val="6"/>
                <c:pt idx="0">
                  <c:v>604.60467038957825</c:v>
                </c:pt>
                <c:pt idx="1">
                  <c:v>1060.2605683801655</c:v>
                </c:pt>
                <c:pt idx="2">
                  <c:v>4957.3345654409322</c:v>
                </c:pt>
                <c:pt idx="3">
                  <c:v>14165.578508428593</c:v>
                </c:pt>
                <c:pt idx="4">
                  <c:v>36592.522317095012</c:v>
                </c:pt>
                <c:pt idx="5">
                  <c:v>46375.575694519874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8B4-41AE-819C-BDCCCB889D15}"/>
            </c:ext>
          </c:extLst>
        </c:ser>
        <c:ser>
          <c:idx val="2"/>
          <c:order val="1"/>
          <c:tx>
            <c:strRef>
              <c:f>calibration!$S$3</c:f>
              <c:strCache>
                <c:ptCount val="1"/>
                <c:pt idx="0">
                  <c:v>EVSDSLLTSSK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5"/>
            <c:spPr>
              <a:solidFill>
                <a:srgbClr val="4472C4"/>
              </a:solidFill>
            </c:spPr>
          </c:marker>
          <c:trendline>
            <c:spPr>
              <a:ln w="19050" cap="rnd">
                <a:solidFill>
                  <a:schemeClr val="accent5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calibration!$U$4:$U$9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50</c:v>
                </c:pt>
                <c:pt idx="3">
                  <c:v>100</c:v>
                </c:pt>
                <c:pt idx="4">
                  <c:v>250</c:v>
                </c:pt>
                <c:pt idx="5">
                  <c:v>400</c:v>
                </c:pt>
              </c:numCache>
            </c:numRef>
          </c:xVal>
          <c:yVal>
            <c:numRef>
              <c:f>calibration!$S$4:$S$9</c:f>
              <c:numCache>
                <c:formatCode>General</c:formatCode>
                <c:ptCount val="6"/>
                <c:pt idx="0">
                  <c:v>1439.7450356630959</c:v>
                </c:pt>
                <c:pt idx="1">
                  <c:v>3082.6162892990587</c:v>
                </c:pt>
                <c:pt idx="2">
                  <c:v>13699.495468980333</c:v>
                </c:pt>
                <c:pt idx="3">
                  <c:v>29930.422976620332</c:v>
                </c:pt>
                <c:pt idx="4">
                  <c:v>73425.422638806427</c:v>
                </c:pt>
                <c:pt idx="5">
                  <c:v>102284.79388970925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F8B4-41AE-819C-BDCCCB889D15}"/>
            </c:ext>
          </c:extLst>
        </c:ser>
        <c:ser>
          <c:idx val="0"/>
          <c:order val="2"/>
          <c:tx>
            <c:strRef>
              <c:f>calibration!$T$3</c:f>
              <c:strCache>
                <c:ptCount val="1"/>
                <c:pt idx="0">
                  <c:v>DTVATQLSEAVDATR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6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calibration!$U$4:$U$9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50</c:v>
                </c:pt>
                <c:pt idx="3">
                  <c:v>100</c:v>
                </c:pt>
                <c:pt idx="4">
                  <c:v>250</c:v>
                </c:pt>
                <c:pt idx="5">
                  <c:v>400</c:v>
                </c:pt>
              </c:numCache>
            </c:numRef>
          </c:xVal>
          <c:yVal>
            <c:numRef>
              <c:f>calibration!$T$4:$T$9</c:f>
              <c:numCache>
                <c:formatCode>General</c:formatCode>
                <c:ptCount val="6"/>
                <c:pt idx="0">
                  <c:v>452.28203949170199</c:v>
                </c:pt>
                <c:pt idx="1">
                  <c:v>955.97776249782203</c:v>
                </c:pt>
                <c:pt idx="2">
                  <c:v>4650.4952004818597</c:v>
                </c:pt>
                <c:pt idx="3">
                  <c:v>9914.823855289007</c:v>
                </c:pt>
                <c:pt idx="4">
                  <c:v>25183.028734859134</c:v>
                </c:pt>
                <c:pt idx="5">
                  <c:v>32171.509170081616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F8B4-41AE-819C-BDCCCB889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5203200"/>
        <c:axId val="85217664"/>
      </c:scatterChart>
      <c:valAx>
        <c:axId val="85203200"/>
        <c:scaling>
          <c:orientation val="minMax"/>
          <c:max val="401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200"/>
                  <a:t>Peptide concentration (nmol/L)</a:t>
                </a:r>
              </a:p>
            </c:rich>
          </c:tx>
          <c:layout>
            <c:manualLayout>
              <c:xMode val="edge"/>
              <c:yMode val="edge"/>
              <c:x val="0.33726877455081494"/>
              <c:y val="0.9425610544474419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85217664"/>
        <c:crosses val="autoZero"/>
        <c:crossBetween val="midCat"/>
      </c:valAx>
      <c:valAx>
        <c:axId val="85217664"/>
        <c:scaling>
          <c:orientation val="minMax"/>
          <c:max val="10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200"/>
                  <a:t>Area</a:t>
                </a:r>
                <a:r>
                  <a:rPr lang="cs-CZ" sz="1200" baseline="-25000"/>
                  <a:t>H</a:t>
                </a:r>
              </a:p>
            </c:rich>
          </c:tx>
          <c:layout>
            <c:manualLayout>
              <c:xMode val="edge"/>
              <c:yMode val="edge"/>
              <c:x val="1.768441897409063E-3"/>
              <c:y val="0.3856248797233453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85203200"/>
        <c:crosses val="autoZero"/>
        <c:crossBetween val="midCat"/>
        <c:majorUnit val="10000"/>
      </c:valAx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20275196853167621"/>
          <c:y val="8.1387426015820497E-2"/>
          <c:w val="0.26077037167298051"/>
          <c:h val="0.203381950370058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364304461942294"/>
          <c:y val="6.3587156395869676E-2"/>
          <c:w val="0.76873401463115265"/>
          <c:h val="0.80383767897276259"/>
        </c:manualLayout>
      </c:layout>
      <c:scatterChart>
        <c:scatterStyle val="lineMarker"/>
        <c:varyColors val="0"/>
        <c:ser>
          <c:idx val="1"/>
          <c:order val="1"/>
          <c:tx>
            <c:strRef>
              <c:f>Trypsinizace!$L$24</c:f>
              <c:strCache>
                <c:ptCount val="1"/>
                <c:pt idx="0">
                  <c:v> DSVASTITGVMDK 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5"/>
            <c:spPr>
              <a:solidFill>
                <a:srgbClr val="FF0000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poly"/>
            <c:order val="2"/>
            <c:dispRSqr val="0"/>
            <c:dispEq val="0"/>
          </c:trendline>
          <c:xVal>
            <c:numRef>
              <c:f>Trypsinizace!$J$25:$J$27</c:f>
              <c:numCache>
                <c:formatCode>General</c:formatCode>
                <c:ptCount val="3"/>
                <c:pt idx="0">
                  <c:v>8</c:v>
                </c:pt>
                <c:pt idx="1">
                  <c:v>16</c:v>
                </c:pt>
                <c:pt idx="2">
                  <c:v>24</c:v>
                </c:pt>
              </c:numCache>
            </c:numRef>
          </c:xVal>
          <c:yVal>
            <c:numRef>
              <c:f>Trypsinizace!$L$25:$L$27</c:f>
              <c:numCache>
                <c:formatCode>0.0</c:formatCode>
                <c:ptCount val="3"/>
                <c:pt idx="0">
                  <c:v>3910.0785960807525</c:v>
                </c:pt>
                <c:pt idx="1">
                  <c:v>11789.951676875397</c:v>
                </c:pt>
                <c:pt idx="2">
                  <c:v>8624.0455257749491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58B-415C-BA38-83C68F0ACB69}"/>
            </c:ext>
          </c:extLst>
        </c:ser>
        <c:ser>
          <c:idx val="2"/>
          <c:order val="2"/>
          <c:tx>
            <c:strRef>
              <c:f>Trypsinizace!$M$24</c:f>
              <c:strCache>
                <c:ptCount val="1"/>
                <c:pt idx="0">
                  <c:v> EVSDSLLTSSK 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5"/>
                </a:solidFill>
                <a:prstDash val="sysDot"/>
              </a:ln>
              <a:effectLst/>
            </c:spPr>
            <c:trendlineType val="poly"/>
            <c:order val="2"/>
            <c:dispRSqr val="0"/>
            <c:dispEq val="0"/>
          </c:trendline>
          <c:xVal>
            <c:numRef>
              <c:f>Trypsinizace!$J$25:$J$27</c:f>
              <c:numCache>
                <c:formatCode>General</c:formatCode>
                <c:ptCount val="3"/>
                <c:pt idx="0">
                  <c:v>8</c:v>
                </c:pt>
                <c:pt idx="1">
                  <c:v>16</c:v>
                </c:pt>
                <c:pt idx="2">
                  <c:v>24</c:v>
                </c:pt>
              </c:numCache>
            </c:numRef>
          </c:xVal>
          <c:yVal>
            <c:numRef>
              <c:f>Trypsinizace!$M$25:$M$27</c:f>
              <c:numCache>
                <c:formatCode>0.0</c:formatCode>
                <c:ptCount val="3"/>
                <c:pt idx="0">
                  <c:v>6035.1673247273493</c:v>
                </c:pt>
                <c:pt idx="1">
                  <c:v>20618.880643838442</c:v>
                </c:pt>
                <c:pt idx="2">
                  <c:v>12476.800859074487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D58B-415C-BA38-83C68F0ACB69}"/>
            </c:ext>
          </c:extLst>
        </c:ser>
        <c:ser>
          <c:idx val="4"/>
          <c:order val="4"/>
          <c:tx>
            <c:strRef>
              <c:f>Trypsinizace!$O$24</c:f>
              <c:strCache>
                <c:ptCount val="1"/>
                <c:pt idx="0">
                  <c:v> DTVATQLSEAVDATR 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6"/>
                </a:solidFill>
                <a:prstDash val="sysDot"/>
              </a:ln>
              <a:effectLst/>
            </c:spPr>
            <c:trendlineType val="poly"/>
            <c:order val="2"/>
            <c:dispRSqr val="0"/>
            <c:dispEq val="0"/>
          </c:trendline>
          <c:xVal>
            <c:numRef>
              <c:f>Trypsinizace!$J$25:$J$27</c:f>
              <c:numCache>
                <c:formatCode>General</c:formatCode>
                <c:ptCount val="3"/>
                <c:pt idx="0">
                  <c:v>8</c:v>
                </c:pt>
                <c:pt idx="1">
                  <c:v>16</c:v>
                </c:pt>
                <c:pt idx="2">
                  <c:v>24</c:v>
                </c:pt>
              </c:numCache>
            </c:numRef>
          </c:xVal>
          <c:yVal>
            <c:numRef>
              <c:f>Trypsinizace!$O$25:$O$27</c:f>
              <c:numCache>
                <c:formatCode>0.0</c:formatCode>
                <c:ptCount val="3"/>
                <c:pt idx="0">
                  <c:v>3198.5706124403596</c:v>
                </c:pt>
                <c:pt idx="1">
                  <c:v>9014.0626115471823</c:v>
                </c:pt>
                <c:pt idx="2">
                  <c:v>6147.0550834133428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D58B-415C-BA38-83C68F0ACB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647936"/>
        <c:axId val="86649856"/>
        <c:extLst>
          <c:ext xmlns:c15="http://schemas.microsoft.com/office/drawing/2012/chart" uri="{02D57815-91ED-43cb-92C2-25804820EDAC}">
            <c15:filteredScatte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Trypsinizace!$K$24</c15:sqref>
                        </c15:formulaRef>
                      </c:ext>
                    </c:extLst>
                    <c:strCache>
                      <c:ptCount val="1"/>
                      <c:pt idx="0">
                        <c:v> SELLVEQYLPLTEEELEK </c:v>
                      </c:pt>
                    </c:strCache>
                  </c:strRef>
                </c:tx>
                <c:spPr>
                  <a:ln w="2540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1"/>
                      </a:solidFill>
                      <a:prstDash val="sysDot"/>
                    </a:ln>
                    <a:effectLst/>
                  </c:spPr>
                  <c:trendlineType val="poly"/>
                  <c:order val="2"/>
                  <c:dispRSqr val="0"/>
                  <c:dispEq val="0"/>
                </c:trendline>
                <c:xVal>
                  <c:numRef>
                    <c:extLst>
                      <c:ext uri="{02D57815-91ED-43cb-92C2-25804820EDAC}">
                        <c15:formulaRef>
                          <c15:sqref>Trypsinizace!$J$25:$J$27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8</c:v>
                      </c:pt>
                      <c:pt idx="1">
                        <c:v>16</c:v>
                      </c:pt>
                      <c:pt idx="2">
                        <c:v>24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Trypsinizace!$K$25:$K$27</c15:sqref>
                        </c15:formulaRef>
                      </c:ext>
                    </c:extLst>
                    <c:numCache>
                      <c:formatCode>0.0</c:formatCode>
                      <c:ptCount val="3"/>
                      <c:pt idx="0">
                        <c:v>2892.6159072076371</c:v>
                      </c:pt>
                      <c:pt idx="1">
                        <c:v>6374.2959461053979</c:v>
                      </c:pt>
                      <c:pt idx="2">
                        <c:v>6234.8030816674145</c:v>
                      </c:pt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07-D58B-415C-BA38-83C68F0ACB69}"/>
                  </c:ext>
                </c:extLst>
              </c15:ser>
            </c15:filteredScatterSeries>
            <c15:filteredScatte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Trypsinizace!$N$24</c15:sqref>
                        </c15:formulaRef>
                      </c:ext>
                    </c:extLst>
                    <c:strCache>
                      <c:ptCount val="1"/>
                      <c:pt idx="0">
                        <c:v> IATSLDGFDVASVQQQR </c:v>
                      </c:pt>
                    </c:strCache>
                  </c:strRef>
                </c:tx>
                <c:spPr>
                  <a:ln w="2540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/>
                    </a:solidFill>
                    <a:ln w="9525">
                      <a:solidFill>
                        <a:schemeClr val="accent4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4"/>
                      </a:solidFill>
                      <a:prstDash val="sysDot"/>
                    </a:ln>
                    <a:effectLst/>
                  </c:spPr>
                  <c:trendlineType val="poly"/>
                  <c:order val="2"/>
                  <c:dispRSqr val="0"/>
                  <c:dispEq val="0"/>
                </c:trendline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Trypsinizace!$J$25:$J$27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8</c:v>
                      </c:pt>
                      <c:pt idx="1">
                        <c:v>16</c:v>
                      </c:pt>
                      <c:pt idx="2">
                        <c:v>24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Trypsinizace!$N$25:$N$27</c15:sqref>
                        </c15:formulaRef>
                      </c:ext>
                    </c:extLst>
                    <c:numCache>
                      <c:formatCode>0.0</c:formatCode>
                      <c:ptCount val="3"/>
                      <c:pt idx="0">
                        <c:v>45.427724329555282</c:v>
                      </c:pt>
                      <c:pt idx="1">
                        <c:v>45.265958363958148</c:v>
                      </c:pt>
                      <c:pt idx="2">
                        <c:v>42.07804355188555</c:v>
                      </c:pt>
                    </c:numCache>
                  </c:numRef>
                </c:y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D58B-415C-BA38-83C68F0ACB69}"/>
                  </c:ext>
                </c:extLst>
              </c15:ser>
            </c15:filteredScatterSeries>
          </c:ext>
        </c:extLst>
      </c:scatterChart>
      <c:valAx>
        <c:axId val="86647936"/>
        <c:scaling>
          <c:orientation val="minMax"/>
          <c:max val="24"/>
          <c:min val="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Time</a:t>
                </a:r>
                <a:r>
                  <a:rPr lang="cs-CZ" baseline="0"/>
                  <a:t> of tryspsin digestion (h)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0.39788235182036186"/>
              <c:y val="0.9358908692091556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6649856"/>
        <c:crosses val="autoZero"/>
        <c:crossBetween val="midCat"/>
        <c:majorUnit val="8"/>
      </c:valAx>
      <c:valAx>
        <c:axId val="8664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Area</a:t>
                </a:r>
                <a:r>
                  <a:rPr lang="cs-CZ" baseline="-25000"/>
                  <a:t>H</a:t>
                </a:r>
              </a:p>
            </c:rich>
          </c:tx>
          <c:layout>
            <c:manualLayout>
              <c:xMode val="edge"/>
              <c:yMode val="edge"/>
              <c:x val="1.134751773049646E-2"/>
              <c:y val="0.41348358401307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6647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16680802940344922"/>
          <c:y val="6.7307669434069989E-2"/>
          <c:w val="0.37155047094940108"/>
          <c:h val="0.334731010776220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12011701275159"/>
          <c:y val="8.0945454025331279E-2"/>
          <c:w val="0.76459066215639271"/>
          <c:h val="0.79705754854078925"/>
        </c:manualLayout>
      </c:layout>
      <c:scatterChart>
        <c:scatterStyle val="lineMarker"/>
        <c:varyColors val="0"/>
        <c:ser>
          <c:idx val="1"/>
          <c:order val="1"/>
          <c:tx>
            <c:strRef>
              <c:f>Trypsinizace!$L$5</c:f>
              <c:strCache>
                <c:ptCount val="1"/>
                <c:pt idx="0">
                  <c:v> DSVASTITGVMDK 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poly"/>
            <c:order val="2"/>
            <c:dispRSqr val="0"/>
            <c:dispEq val="0"/>
          </c:trendline>
          <c:xVal>
            <c:numRef>
              <c:f>Trypsinizace!$J$6:$J$8</c:f>
              <c:numCache>
                <c:formatCode>General</c:formatCode>
                <c:ptCount val="3"/>
                <c:pt idx="0">
                  <c:v>8</c:v>
                </c:pt>
                <c:pt idx="1">
                  <c:v>16</c:v>
                </c:pt>
                <c:pt idx="2">
                  <c:v>24</c:v>
                </c:pt>
              </c:numCache>
            </c:numRef>
          </c:xVal>
          <c:yVal>
            <c:numRef>
              <c:f>Trypsinizace!$L$6:$L$8</c:f>
              <c:numCache>
                <c:formatCode>0.0</c:formatCode>
                <c:ptCount val="3"/>
                <c:pt idx="0">
                  <c:v>6708.8783392852729</c:v>
                </c:pt>
                <c:pt idx="1">
                  <c:v>16489.99149191771</c:v>
                </c:pt>
                <c:pt idx="2">
                  <c:v>13602.250095180101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6BC-4C3D-BC08-91EE653B1DC8}"/>
            </c:ext>
          </c:extLst>
        </c:ser>
        <c:ser>
          <c:idx val="2"/>
          <c:order val="2"/>
          <c:tx>
            <c:strRef>
              <c:f>Trypsinizace!$M$5</c:f>
              <c:strCache>
                <c:ptCount val="1"/>
                <c:pt idx="0">
                  <c:v> EVSDSLLTSSK 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5"/>
                </a:solidFill>
                <a:prstDash val="sysDot"/>
              </a:ln>
              <a:effectLst/>
            </c:spPr>
            <c:trendlineType val="poly"/>
            <c:order val="2"/>
            <c:dispRSqr val="0"/>
            <c:dispEq val="0"/>
          </c:trendline>
          <c:xVal>
            <c:numRef>
              <c:f>Trypsinizace!$J$6:$J$8</c:f>
              <c:numCache>
                <c:formatCode>General</c:formatCode>
                <c:ptCount val="3"/>
                <c:pt idx="0">
                  <c:v>8</c:v>
                </c:pt>
                <c:pt idx="1">
                  <c:v>16</c:v>
                </c:pt>
                <c:pt idx="2">
                  <c:v>24</c:v>
                </c:pt>
              </c:numCache>
            </c:numRef>
          </c:xVal>
          <c:yVal>
            <c:numRef>
              <c:f>Trypsinizace!$M$6:$M$8</c:f>
              <c:numCache>
                <c:formatCode>0.0</c:formatCode>
                <c:ptCount val="3"/>
                <c:pt idx="0">
                  <c:v>11757.909398527609</c:v>
                </c:pt>
                <c:pt idx="1">
                  <c:v>34995.825573286391</c:v>
                </c:pt>
                <c:pt idx="2">
                  <c:v>24699.805825568859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66BC-4C3D-BC08-91EE653B1DC8}"/>
            </c:ext>
          </c:extLst>
        </c:ser>
        <c:ser>
          <c:idx val="4"/>
          <c:order val="4"/>
          <c:tx>
            <c:strRef>
              <c:f>Trypsinizace!$O$5</c:f>
              <c:strCache>
                <c:ptCount val="1"/>
                <c:pt idx="0">
                  <c:v> DTVATQLSEAVDATR 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6"/>
                </a:solidFill>
                <a:prstDash val="sysDot"/>
              </a:ln>
              <a:effectLst/>
            </c:spPr>
            <c:trendlineType val="poly"/>
            <c:order val="2"/>
            <c:dispRSqr val="0"/>
            <c:dispEq val="0"/>
          </c:trendline>
          <c:xVal>
            <c:numRef>
              <c:f>Trypsinizace!$J$6:$J$8</c:f>
              <c:numCache>
                <c:formatCode>General</c:formatCode>
                <c:ptCount val="3"/>
                <c:pt idx="0">
                  <c:v>8</c:v>
                </c:pt>
                <c:pt idx="1">
                  <c:v>16</c:v>
                </c:pt>
                <c:pt idx="2">
                  <c:v>24</c:v>
                </c:pt>
              </c:numCache>
            </c:numRef>
          </c:xVal>
          <c:yVal>
            <c:numRef>
              <c:f>Trypsinizace!$O$6:$O$8</c:f>
              <c:numCache>
                <c:formatCode>0.0</c:formatCode>
                <c:ptCount val="3"/>
                <c:pt idx="0">
                  <c:v>994.18610313002159</c:v>
                </c:pt>
                <c:pt idx="1">
                  <c:v>2449.3347988595374</c:v>
                </c:pt>
                <c:pt idx="2">
                  <c:v>1882.0424288327308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66BC-4C3D-BC08-91EE653B1D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679552"/>
        <c:axId val="86681472"/>
        <c:extLst>
          <c:ext xmlns:c15="http://schemas.microsoft.com/office/drawing/2012/chart" uri="{02D57815-91ED-43cb-92C2-25804820EDAC}">
            <c15:filteredScatte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Trypsinizace!$K$5</c15:sqref>
                        </c15:formulaRef>
                      </c:ext>
                    </c:extLst>
                    <c:strCache>
                      <c:ptCount val="1"/>
                      <c:pt idx="0">
                        <c:v> SELLVEQYLPLTEEELEK </c:v>
                      </c:pt>
                    </c:strCache>
                  </c:strRef>
                </c:tx>
                <c:spPr>
                  <a:ln w="2540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1"/>
                      </a:solidFill>
                      <a:prstDash val="sysDot"/>
                    </a:ln>
                    <a:effectLst/>
                  </c:spPr>
                  <c:trendlineType val="poly"/>
                  <c:order val="2"/>
                  <c:dispRSqr val="0"/>
                  <c:dispEq val="0"/>
                </c:trendline>
                <c:xVal>
                  <c:numRef>
                    <c:extLst>
                      <c:ext uri="{02D57815-91ED-43cb-92C2-25804820EDAC}">
                        <c15:formulaRef>
                          <c15:sqref>Trypsinizace!$J$6:$J$8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8</c:v>
                      </c:pt>
                      <c:pt idx="1">
                        <c:v>16</c:v>
                      </c:pt>
                      <c:pt idx="2">
                        <c:v>24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Trypsinizace!$K$6:$K$8</c15:sqref>
                        </c15:formulaRef>
                      </c:ext>
                    </c:extLst>
                    <c:numCache>
                      <c:formatCode>0.0</c:formatCode>
                      <c:ptCount val="3"/>
                      <c:pt idx="0">
                        <c:v>6052.685370471595</c:v>
                      </c:pt>
                      <c:pt idx="1">
                        <c:v>14879.39673272365</c:v>
                      </c:pt>
                      <c:pt idx="2">
                        <c:v>12820.8992173281</c:v>
                      </c:pt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07-66BC-4C3D-BC08-91EE653B1DC8}"/>
                  </c:ext>
                </c:extLst>
              </c15:ser>
            </c15:filteredScatterSeries>
            <c15:filteredScatte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Trypsinizace!$N$5</c15:sqref>
                        </c15:formulaRef>
                      </c:ext>
                    </c:extLst>
                    <c:strCache>
                      <c:ptCount val="1"/>
                      <c:pt idx="0">
                        <c:v> IATSLDGFDVASVQQQR </c:v>
                      </c:pt>
                    </c:strCache>
                  </c:strRef>
                </c:tx>
                <c:spPr>
                  <a:ln w="2540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/>
                    </a:solidFill>
                    <a:ln w="9525">
                      <a:solidFill>
                        <a:schemeClr val="accent4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4"/>
                      </a:solidFill>
                      <a:prstDash val="sysDot"/>
                    </a:ln>
                    <a:effectLst/>
                  </c:spPr>
                  <c:trendlineType val="poly"/>
                  <c:order val="2"/>
                  <c:dispRSqr val="0"/>
                  <c:dispEq val="0"/>
                </c:trendline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Trypsinizace!$J$6:$J$8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8</c:v>
                      </c:pt>
                      <c:pt idx="1">
                        <c:v>16</c:v>
                      </c:pt>
                      <c:pt idx="2">
                        <c:v>24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Trypsinizace!$N$6:$N$8</c15:sqref>
                        </c15:formulaRef>
                      </c:ext>
                    </c:extLst>
                    <c:numCache>
                      <c:formatCode>0.0</c:formatCode>
                      <c:ptCount val="3"/>
                      <c:pt idx="0">
                        <c:v>28.637555566249031</c:v>
                      </c:pt>
                      <c:pt idx="1">
                        <c:v>48.196109278887924</c:v>
                      </c:pt>
                      <c:pt idx="2">
                        <c:v>66.867546671550897</c:v>
                      </c:pt>
                    </c:numCache>
                  </c:numRef>
                </c:y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66BC-4C3D-BC08-91EE653B1DC8}"/>
                  </c:ext>
                </c:extLst>
              </c15:ser>
            </c15:filteredScatterSeries>
          </c:ext>
        </c:extLst>
      </c:scatterChart>
      <c:valAx>
        <c:axId val="86679552"/>
        <c:scaling>
          <c:orientation val="minMax"/>
          <c:max val="24"/>
          <c:min val="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Time of trypsin</a:t>
                </a:r>
                <a:r>
                  <a:rPr lang="cs-CZ" baseline="0"/>
                  <a:t> digestion (h)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0.39735730369469086"/>
              <c:y val="0.9299734766363164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6681472"/>
        <c:crosses val="autoZero"/>
        <c:crossBetween val="midCat"/>
        <c:majorUnit val="8"/>
      </c:valAx>
      <c:valAx>
        <c:axId val="8668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Area</a:t>
                </a:r>
                <a:r>
                  <a:rPr lang="cs-CZ" baseline="-25000"/>
                  <a:t>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667955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16915388927590486"/>
          <c:y val="8.5043446108337972E-2"/>
          <c:w val="0.39955317247542455"/>
          <c:h val="0.25173937284461739"/>
        </c:manualLayout>
      </c:layout>
      <c:overlay val="0"/>
      <c:txPr>
        <a:bodyPr/>
        <a:lstStyle/>
        <a:p>
          <a:pPr>
            <a:defRPr sz="900"/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B1C99-F04D-4422-92FE-4D32171B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Julie Bienertová Vašků</cp:lastModifiedBy>
  <cp:revision>2</cp:revision>
  <dcterms:created xsi:type="dcterms:W3CDTF">2018-09-23T10:30:00Z</dcterms:created>
  <dcterms:modified xsi:type="dcterms:W3CDTF">2018-09-23T10:30:00Z</dcterms:modified>
</cp:coreProperties>
</file>