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2BCA" w14:textId="77777777" w:rsidR="00DC5B65" w:rsidRPr="00950AF6" w:rsidRDefault="00DC5B65" w:rsidP="00DC5B65">
      <w:pPr>
        <w:pStyle w:val="MDPI71References"/>
        <w:numPr>
          <w:ilvl w:val="0"/>
          <w:numId w:val="0"/>
        </w:numPr>
        <w:ind w:left="425"/>
        <w:rPr>
          <w:szCs w:val="18"/>
        </w:rPr>
      </w:pPr>
      <w:r w:rsidRPr="00950AF6">
        <w:rPr>
          <w:b/>
          <w:sz w:val="20"/>
        </w:rPr>
        <w:t>Table S</w:t>
      </w:r>
      <w:r w:rsidRPr="00950AF6">
        <w:rPr>
          <w:rFonts w:eastAsia="Calibri" w:cs="Arial"/>
          <w:b/>
          <w:color w:val="auto"/>
          <w:sz w:val="20"/>
          <w:lang w:val="en-GB" w:eastAsia="en-US"/>
        </w:rPr>
        <w:t>1.</w:t>
      </w:r>
      <w:r w:rsidRPr="00D45606">
        <w:rPr>
          <w:rFonts w:eastAsia="Calibri" w:cs="Arial"/>
          <w:color w:val="auto"/>
          <w:sz w:val="20"/>
          <w:lang w:val="en-GB" w:eastAsia="en-US"/>
        </w:rPr>
        <w:t xml:space="preserve"> Eligibility criteria in BIOSPHERE.</w:t>
      </w:r>
    </w:p>
    <w:tbl>
      <w:tblPr>
        <w:tblpPr w:leftFromText="180" w:rightFromText="180" w:horzAnchor="page" w:tblpX="1189"/>
        <w:tblW w:w="5000" w:type="pct"/>
        <w:tblLook w:val="01E0" w:firstRow="1" w:lastRow="1" w:firstColumn="1" w:lastColumn="1" w:noHBand="0" w:noVBand="0"/>
      </w:tblPr>
      <w:tblGrid>
        <w:gridCol w:w="4590"/>
        <w:gridCol w:w="4470"/>
      </w:tblGrid>
      <w:tr w:rsidR="00DC5B65" w:rsidRPr="00D45606" w14:paraId="100D94F9" w14:textId="77777777" w:rsidTr="00BA0FB0">
        <w:tc>
          <w:tcPr>
            <w:tcW w:w="2533" w:type="pct"/>
            <w:tcBorders>
              <w:top w:val="single" w:sz="4" w:space="0" w:color="auto"/>
              <w:bottom w:val="single" w:sz="4" w:space="0" w:color="auto"/>
            </w:tcBorders>
          </w:tcPr>
          <w:p w14:paraId="3A59DAC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  <w:t>PF&amp;S</w:t>
            </w:r>
          </w:p>
        </w:tc>
        <w:tc>
          <w:tcPr>
            <w:tcW w:w="2467" w:type="pct"/>
            <w:tcBorders>
              <w:top w:val="single" w:sz="4" w:space="0" w:color="auto"/>
              <w:bottom w:val="single" w:sz="4" w:space="0" w:color="auto"/>
            </w:tcBorders>
          </w:tcPr>
          <w:p w14:paraId="242A911C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b/>
                <w:bCs/>
                <w:color w:val="auto"/>
                <w:sz w:val="20"/>
                <w:lang w:eastAsia="en-US"/>
              </w:rPr>
            </w:pPr>
            <w:r>
              <w:rPr>
                <w:rFonts w:ascii="Palatino Linotype" w:eastAsia="Calibri" w:hAnsi="Palatino Linotype" w:cs="Arial"/>
                <w:b/>
                <w:color w:val="auto"/>
                <w:sz w:val="20"/>
                <w:lang w:eastAsia="en-US"/>
              </w:rPr>
              <w:t>n</w:t>
            </w:r>
            <w:r w:rsidR="0017651F">
              <w:rPr>
                <w:rFonts w:ascii="Palatino Linotype" w:eastAsia="Calibri" w:hAnsi="Palatino Linotype" w:cs="Arial"/>
                <w:b/>
                <w:color w:val="auto"/>
                <w:sz w:val="20"/>
                <w:lang w:eastAsia="en-US"/>
              </w:rPr>
              <w:t>on</w:t>
            </w:r>
            <w:r w:rsidRPr="00D45606"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  <w:t>PF&amp;S</w:t>
            </w:r>
          </w:p>
        </w:tc>
      </w:tr>
      <w:tr w:rsidR="00DC5B65" w:rsidRPr="00D45606" w14:paraId="782211D1" w14:textId="77777777" w:rsidTr="00BA0FB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8D7F7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  <w:t>Inclusion criteria</w:t>
            </w:r>
          </w:p>
        </w:tc>
      </w:tr>
      <w:tr w:rsidR="00DC5B65" w:rsidRPr="00D45606" w14:paraId="48D79AA8" w14:textId="77777777" w:rsidTr="00BA0FB0">
        <w:tc>
          <w:tcPr>
            <w:tcW w:w="2533" w:type="pct"/>
            <w:tcBorders>
              <w:top w:val="single" w:sz="4" w:space="0" w:color="auto"/>
            </w:tcBorders>
          </w:tcPr>
          <w:p w14:paraId="4E127F21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Men and women aged ≥70 years</w:t>
            </w:r>
          </w:p>
        </w:tc>
        <w:tc>
          <w:tcPr>
            <w:tcW w:w="2467" w:type="pct"/>
            <w:tcBorders>
              <w:top w:val="single" w:sz="4" w:space="0" w:color="auto"/>
            </w:tcBorders>
          </w:tcPr>
          <w:p w14:paraId="36A3E6BC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 xml:space="preserve">Men and women aged ≥70 years </w:t>
            </w:r>
          </w:p>
        </w:tc>
      </w:tr>
      <w:tr w:rsidR="00DC5B65" w:rsidRPr="00D45606" w14:paraId="7377855F" w14:textId="77777777" w:rsidTr="00BA0FB0">
        <w:tc>
          <w:tcPr>
            <w:tcW w:w="2533" w:type="pct"/>
          </w:tcPr>
          <w:p w14:paraId="1254E923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SPPB score between 3 (included) and 9 (included)</w:t>
            </w:r>
          </w:p>
        </w:tc>
        <w:tc>
          <w:tcPr>
            <w:tcW w:w="2467" w:type="pct"/>
          </w:tcPr>
          <w:p w14:paraId="5E80AFD7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 xml:space="preserve">SPPB score &gt;9 </w:t>
            </w:r>
          </w:p>
          <w:p w14:paraId="09E6B9EE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</w:p>
        </w:tc>
      </w:tr>
      <w:tr w:rsidR="00DC5B65" w:rsidRPr="00D45606" w14:paraId="092CC576" w14:textId="77777777" w:rsidTr="00BA0FB0">
        <w:tc>
          <w:tcPr>
            <w:tcW w:w="2533" w:type="pct"/>
          </w:tcPr>
          <w:p w14:paraId="4B448A44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Sedentary lifestyle</w:t>
            </w:r>
          </w:p>
        </w:tc>
        <w:tc>
          <w:tcPr>
            <w:tcW w:w="2467" w:type="pct"/>
          </w:tcPr>
          <w:p w14:paraId="1F793D2E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Sedentary lifestyle</w:t>
            </w:r>
          </w:p>
        </w:tc>
      </w:tr>
      <w:tr w:rsidR="00DC5B65" w:rsidRPr="00D45606" w14:paraId="31885D19" w14:textId="77777777" w:rsidTr="00BA0FB0">
        <w:tc>
          <w:tcPr>
            <w:tcW w:w="2533" w:type="pct"/>
          </w:tcPr>
          <w:p w14:paraId="159FF8BE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Low muscle mass according to the cut-points indicated by the FNIH sarcopenia project *</w:t>
            </w:r>
          </w:p>
        </w:tc>
        <w:tc>
          <w:tcPr>
            <w:tcW w:w="2467" w:type="pct"/>
          </w:tcPr>
          <w:p w14:paraId="35163F5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Normal muscle mass according to the FNIH sarcopenia project</w:t>
            </w:r>
          </w:p>
        </w:tc>
      </w:tr>
      <w:tr w:rsidR="00DC5B65" w:rsidRPr="00D45606" w14:paraId="73B7AEBC" w14:textId="77777777" w:rsidTr="00BA0FB0">
        <w:tc>
          <w:tcPr>
            <w:tcW w:w="2533" w:type="pct"/>
            <w:tcBorders>
              <w:bottom w:val="single" w:sz="4" w:space="0" w:color="auto"/>
            </w:tcBorders>
          </w:tcPr>
          <w:p w14:paraId="57684AEB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 xml:space="preserve">Ability to complete the 400-metre walk test within 15 minutes without sitting, use of any assistive device or help of another person </w:t>
            </w:r>
          </w:p>
        </w:tc>
        <w:tc>
          <w:tcPr>
            <w:tcW w:w="2467" w:type="pct"/>
            <w:tcBorders>
              <w:bottom w:val="single" w:sz="4" w:space="0" w:color="auto"/>
            </w:tcBorders>
          </w:tcPr>
          <w:p w14:paraId="570EF41C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Ability to complete the 400-metre walk test within 15 minutes without sitting, use of any assistive device or help of another person</w:t>
            </w:r>
          </w:p>
        </w:tc>
      </w:tr>
      <w:tr w:rsidR="00DC5B65" w:rsidRPr="00D45606" w14:paraId="5C8FEE29" w14:textId="77777777" w:rsidTr="00BA0FB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756F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  <w:t>Permanent exclusion criteria for both cases and controls</w:t>
            </w:r>
          </w:p>
        </w:tc>
      </w:tr>
      <w:tr w:rsidR="00DC5B65" w:rsidRPr="00D45606" w14:paraId="489452C4" w14:textId="77777777" w:rsidTr="00BA0FB0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8B09016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Inability or unwillingness to provide informed consent</w:t>
            </w:r>
          </w:p>
        </w:tc>
      </w:tr>
      <w:tr w:rsidR="00DC5B65" w:rsidRPr="00D45606" w14:paraId="6794BD48" w14:textId="77777777" w:rsidTr="00BA0FB0">
        <w:tc>
          <w:tcPr>
            <w:tcW w:w="5000" w:type="pct"/>
            <w:gridSpan w:val="2"/>
          </w:tcPr>
          <w:p w14:paraId="7D37FA92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Nursing home residence</w:t>
            </w:r>
          </w:p>
        </w:tc>
      </w:tr>
      <w:tr w:rsidR="00DC5B65" w:rsidRPr="00D45606" w14:paraId="1C0A5BC7" w14:textId="77777777" w:rsidTr="00BA0FB0">
        <w:tc>
          <w:tcPr>
            <w:tcW w:w="5000" w:type="pct"/>
            <w:gridSpan w:val="2"/>
          </w:tcPr>
          <w:p w14:paraId="502E51F1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Current diagnosis of schizophrenia, other psychotic or bipolar disorder</w:t>
            </w:r>
          </w:p>
        </w:tc>
      </w:tr>
      <w:tr w:rsidR="00DC5B65" w:rsidRPr="00D45606" w14:paraId="5715A1F6" w14:textId="77777777" w:rsidTr="00BA0FB0">
        <w:tc>
          <w:tcPr>
            <w:tcW w:w="5000" w:type="pct"/>
            <w:gridSpan w:val="2"/>
          </w:tcPr>
          <w:p w14:paraId="546F90DF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Consumption of more than 14 alcoholic drinks per week</w:t>
            </w:r>
          </w:p>
        </w:tc>
      </w:tr>
      <w:tr w:rsidR="00DC5B65" w:rsidRPr="00D45606" w14:paraId="5773C0E7" w14:textId="77777777" w:rsidTr="00BA0FB0">
        <w:tc>
          <w:tcPr>
            <w:tcW w:w="5000" w:type="pct"/>
            <w:gridSpan w:val="2"/>
          </w:tcPr>
          <w:p w14:paraId="73F34A3B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Self-reported inability to walk across a room</w:t>
            </w:r>
          </w:p>
        </w:tc>
      </w:tr>
      <w:tr w:rsidR="00DC5B65" w:rsidRPr="00D45606" w14:paraId="6809C43F" w14:textId="77777777" w:rsidTr="00BA0FB0">
        <w:tc>
          <w:tcPr>
            <w:tcW w:w="5000" w:type="pct"/>
            <w:gridSpan w:val="2"/>
          </w:tcPr>
          <w:p w14:paraId="0EBC4758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Difficulty communicating with the study personnel due to speech, language, or hearing problems</w:t>
            </w:r>
          </w:p>
        </w:tc>
      </w:tr>
      <w:tr w:rsidR="00DC5B65" w:rsidRPr="00D45606" w14:paraId="66510C90" w14:textId="77777777" w:rsidTr="00BA0FB0">
        <w:tc>
          <w:tcPr>
            <w:tcW w:w="5000" w:type="pct"/>
            <w:gridSpan w:val="2"/>
          </w:tcPr>
          <w:p w14:paraId="59BA9773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MMSE &lt;24</w:t>
            </w:r>
          </w:p>
        </w:tc>
      </w:tr>
      <w:tr w:rsidR="00DC5B65" w:rsidRPr="00D45606" w14:paraId="35806826" w14:textId="77777777" w:rsidTr="00BA0FB0">
        <w:tc>
          <w:tcPr>
            <w:tcW w:w="5000" w:type="pct"/>
            <w:gridSpan w:val="2"/>
          </w:tcPr>
          <w:p w14:paraId="4E5BDED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Severe arthritis (e.g., awaiting joint replacement) that would interfere with the ability to perform physical performance testing</w:t>
            </w:r>
          </w:p>
        </w:tc>
      </w:tr>
      <w:tr w:rsidR="00DC5B65" w:rsidRPr="00D45606" w14:paraId="14521E54" w14:textId="77777777" w:rsidTr="00BA0FB0">
        <w:tc>
          <w:tcPr>
            <w:tcW w:w="5000" w:type="pct"/>
            <w:gridSpan w:val="2"/>
          </w:tcPr>
          <w:p w14:paraId="1A283A52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Cancer requiring treatment in the past three years, except for non-melanoma skin cancers or cancers that have an excellent prognosis (e.g., early stage breast or prostate cancer)</w:t>
            </w:r>
          </w:p>
        </w:tc>
      </w:tr>
      <w:tr w:rsidR="00DC5B65" w:rsidRPr="00D45606" w14:paraId="2C8CE14A" w14:textId="77777777" w:rsidTr="00BA0FB0">
        <w:tc>
          <w:tcPr>
            <w:tcW w:w="5000" w:type="pct"/>
            <w:gridSpan w:val="2"/>
          </w:tcPr>
          <w:p w14:paraId="2D623B62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Lung disease requiring regular use of corticosteroids or supplemental oxygen</w:t>
            </w:r>
          </w:p>
        </w:tc>
      </w:tr>
      <w:tr w:rsidR="00DC5B65" w:rsidRPr="00D45606" w14:paraId="5A403A61" w14:textId="77777777" w:rsidTr="00BA0FB0">
        <w:tc>
          <w:tcPr>
            <w:tcW w:w="5000" w:type="pct"/>
            <w:gridSpan w:val="2"/>
          </w:tcPr>
          <w:p w14:paraId="33ABA0AF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Severe cardiovascular disease (including NYHA class III or IV congestive heart failure, clinically significant valvular disease, history of cardiac arrest, presence of an implantable defibrillator, or uncontrolled angina)</w:t>
            </w:r>
          </w:p>
        </w:tc>
      </w:tr>
      <w:tr w:rsidR="00DC5B65" w:rsidRPr="00D45606" w14:paraId="15DCA4EF" w14:textId="77777777" w:rsidTr="00BA0FB0">
        <w:tc>
          <w:tcPr>
            <w:tcW w:w="5000" w:type="pct"/>
            <w:gridSpan w:val="2"/>
          </w:tcPr>
          <w:p w14:paraId="6D0C8F26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Parkinson’s disease or other progressive neurological disorder</w:t>
            </w:r>
          </w:p>
        </w:tc>
      </w:tr>
      <w:tr w:rsidR="00DC5B65" w:rsidRPr="00D45606" w14:paraId="1E21EB4C" w14:textId="77777777" w:rsidTr="00BA0FB0">
        <w:tc>
          <w:tcPr>
            <w:tcW w:w="5000" w:type="pct"/>
            <w:gridSpan w:val="2"/>
          </w:tcPr>
          <w:p w14:paraId="4CB02FAD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Renal disease requiring dialysis</w:t>
            </w:r>
          </w:p>
        </w:tc>
      </w:tr>
      <w:tr w:rsidR="00DC5B65" w:rsidRPr="00D45606" w14:paraId="11129C5F" w14:textId="77777777" w:rsidTr="00BA0FB0">
        <w:tc>
          <w:tcPr>
            <w:tcW w:w="5000" w:type="pct"/>
            <w:gridSpan w:val="2"/>
          </w:tcPr>
          <w:p w14:paraId="164C8838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Chest pain, severe shortness of breath, or occurrence of any other safety concerns during the 400-metre walk test</w:t>
            </w:r>
          </w:p>
        </w:tc>
      </w:tr>
      <w:tr w:rsidR="00DC5B65" w:rsidRPr="00D45606" w14:paraId="7C328B19" w14:textId="77777777" w:rsidTr="00BA0FB0">
        <w:tc>
          <w:tcPr>
            <w:tcW w:w="5000" w:type="pct"/>
            <w:gridSpan w:val="2"/>
          </w:tcPr>
          <w:p w14:paraId="12059BB1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Other medical, psychiatric, or behavioural factors that in the investigator's judgment may interfere with study participation</w:t>
            </w:r>
          </w:p>
        </w:tc>
      </w:tr>
      <w:tr w:rsidR="00DC5B65" w:rsidRPr="00D45606" w14:paraId="727CAECD" w14:textId="77777777" w:rsidTr="00BA0FB0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A0F27F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Other illnesses of such severity that life expectancy is less than 12 months</w:t>
            </w:r>
          </w:p>
        </w:tc>
      </w:tr>
      <w:tr w:rsidR="00DC5B65" w:rsidRPr="00D45606" w14:paraId="3ABE887E" w14:textId="77777777" w:rsidTr="00BA0FB0">
        <w:trPr>
          <w:trHeight w:val="229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AF5A5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b/>
                <w:color w:val="auto"/>
                <w:sz w:val="20"/>
                <w:lang w:val="en-GB" w:eastAsia="en-US"/>
              </w:rPr>
              <w:t xml:space="preserve">Temporary exclusion criteria for both cases and controls </w:t>
            </w: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**</w:t>
            </w:r>
          </w:p>
        </w:tc>
      </w:tr>
      <w:tr w:rsidR="00DC5B65" w:rsidRPr="00D45606" w14:paraId="6D6B2FD5" w14:textId="77777777" w:rsidTr="00BA0FB0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A87238A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Uncontrolled hypertension (systolic blood pressure &gt;200 mmHg, or diastolic blood pressure &gt;110 mmHg)</w:t>
            </w:r>
          </w:p>
        </w:tc>
      </w:tr>
      <w:tr w:rsidR="00DC5B65" w:rsidRPr="00D45606" w14:paraId="41BE4577" w14:textId="77777777" w:rsidTr="00BA0FB0">
        <w:tc>
          <w:tcPr>
            <w:tcW w:w="5000" w:type="pct"/>
            <w:gridSpan w:val="2"/>
          </w:tcPr>
          <w:p w14:paraId="44170241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Uncontrolled diabetes with recent weight loss, diabetic coma, or frequent hypoglycaemia</w:t>
            </w:r>
          </w:p>
        </w:tc>
      </w:tr>
      <w:tr w:rsidR="00DC5B65" w:rsidRPr="00D45606" w14:paraId="13EEF673" w14:textId="77777777" w:rsidTr="00BA0FB0">
        <w:tc>
          <w:tcPr>
            <w:tcW w:w="5000" w:type="pct"/>
            <w:gridSpan w:val="2"/>
          </w:tcPr>
          <w:p w14:paraId="3B7BB581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Stroke, hip fracture, hip or knee replacement, or spinal surgery in the past six months</w:t>
            </w:r>
          </w:p>
        </w:tc>
      </w:tr>
      <w:tr w:rsidR="00DC5B65" w:rsidRPr="00D45606" w14:paraId="0373DF5E" w14:textId="77777777" w:rsidTr="00BA0FB0">
        <w:tc>
          <w:tcPr>
            <w:tcW w:w="5000" w:type="pct"/>
            <w:gridSpan w:val="2"/>
          </w:tcPr>
          <w:p w14:paraId="5171526C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Serious conduction disorder (e.g., third-degree heart block)</w:t>
            </w:r>
          </w:p>
        </w:tc>
      </w:tr>
      <w:tr w:rsidR="00DC5B65" w:rsidRPr="00D45606" w14:paraId="0DE323DD" w14:textId="77777777" w:rsidTr="00BA0FB0">
        <w:tc>
          <w:tcPr>
            <w:tcW w:w="5000" w:type="pct"/>
            <w:gridSpan w:val="2"/>
          </w:tcPr>
          <w:p w14:paraId="0F4CBC5E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Uncontrolled arrhythmias, new Q waves within the past six months or ST-segment depression (&gt;3mm) on the ECG</w:t>
            </w:r>
          </w:p>
        </w:tc>
      </w:tr>
      <w:tr w:rsidR="00DC5B65" w:rsidRPr="00D45606" w14:paraId="7EBA3EB9" w14:textId="77777777" w:rsidTr="00BA0FB0">
        <w:tc>
          <w:tcPr>
            <w:tcW w:w="5000" w:type="pct"/>
            <w:gridSpan w:val="2"/>
          </w:tcPr>
          <w:p w14:paraId="5DE39439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Myocardial infarction, major heart surgery (i.e., valve replacement or bypass surgery) in prior six months</w:t>
            </w:r>
          </w:p>
        </w:tc>
      </w:tr>
      <w:tr w:rsidR="00DC5B65" w:rsidRPr="00D45606" w14:paraId="43CC2E95" w14:textId="77777777" w:rsidTr="00BA0FB0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052E40" w14:textId="77777777" w:rsidR="00DC5B65" w:rsidRPr="00D45606" w:rsidRDefault="00DC5B65" w:rsidP="00BA0FB0">
            <w:pPr>
              <w:spacing w:line="240" w:lineRule="auto"/>
              <w:jc w:val="left"/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</w:pPr>
            <w:r w:rsidRPr="00D45606">
              <w:rPr>
                <w:rFonts w:ascii="Palatino Linotype" w:eastAsia="Calibri" w:hAnsi="Palatino Linotype" w:cs="Arial"/>
                <w:color w:val="auto"/>
                <w:sz w:val="20"/>
                <w:lang w:val="en-GB" w:eastAsia="en-US"/>
              </w:rPr>
              <w:t>Deep vein thrombosis or pulmonary embolism in the past six months</w:t>
            </w:r>
          </w:p>
        </w:tc>
      </w:tr>
    </w:tbl>
    <w:p w14:paraId="0B23E219" w14:textId="77777777" w:rsidR="00DC5B65" w:rsidRPr="00D45606" w:rsidRDefault="00DC5B65" w:rsidP="00DC5B65">
      <w:pPr>
        <w:spacing w:line="240" w:lineRule="auto"/>
        <w:jc w:val="left"/>
        <w:rPr>
          <w:rFonts w:ascii="Palatino Linotype" w:eastAsia="Calibri" w:hAnsi="Palatino Linotype" w:cs="Arial"/>
          <w:color w:val="auto"/>
          <w:sz w:val="20"/>
          <w:lang w:val="en-GB" w:eastAsia="en-US"/>
        </w:rPr>
      </w:pPr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 xml:space="preserve"> </w:t>
      </w:r>
    </w:p>
    <w:p w14:paraId="7AA595FF" w14:textId="77777777" w:rsidR="00DC5B65" w:rsidRPr="00D45606" w:rsidRDefault="00DC5B65" w:rsidP="00DC5B65">
      <w:pPr>
        <w:spacing w:line="240" w:lineRule="auto"/>
        <w:jc w:val="left"/>
        <w:rPr>
          <w:rFonts w:ascii="Palatino Linotype" w:eastAsia="Calibri" w:hAnsi="Palatino Linotype" w:cs="Arial"/>
          <w:color w:val="auto"/>
          <w:sz w:val="20"/>
          <w:lang w:val="en-GB" w:eastAsia="en-US"/>
        </w:rPr>
      </w:pPr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>* Low muscle mass was defined as a crude appendicular lean mass (ALM) &lt;19.75 kg in men and &lt;15.02 kg in women or as an ALM-to-body mass index ratio &lt;0.789 in men and &lt;0.512 in women.</w:t>
      </w:r>
    </w:p>
    <w:p w14:paraId="3D784B54" w14:textId="77777777" w:rsidR="00DC5B65" w:rsidRPr="00D45606" w:rsidRDefault="00DC5B65" w:rsidP="00DC5B65">
      <w:pPr>
        <w:spacing w:line="240" w:lineRule="auto"/>
        <w:jc w:val="left"/>
        <w:rPr>
          <w:rFonts w:ascii="Palatino Linotype" w:eastAsia="Calibri" w:hAnsi="Palatino Linotype" w:cs="Arial"/>
          <w:color w:val="auto"/>
          <w:sz w:val="20"/>
          <w:lang w:val="en-GB" w:eastAsia="en-US"/>
        </w:rPr>
      </w:pPr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>** Participants who were excluded for one or more of the temporary medical conditions listed above could be rescreened after a period considered clinically appropriate by the study physician.</w:t>
      </w:r>
    </w:p>
    <w:p w14:paraId="4AEE9A60" w14:textId="77777777" w:rsidR="00B00F6A" w:rsidRPr="00DC5B65" w:rsidRDefault="00DC5B65" w:rsidP="00DC5B65">
      <w:pPr>
        <w:spacing w:line="240" w:lineRule="auto"/>
        <w:jc w:val="left"/>
        <w:rPr>
          <w:rFonts w:ascii="Palatino Linotype" w:eastAsia="Calibri" w:hAnsi="Palatino Linotype" w:cs="Arial"/>
          <w:color w:val="auto"/>
          <w:szCs w:val="24"/>
          <w:lang w:val="en-GB" w:eastAsia="en-US"/>
        </w:rPr>
      </w:pPr>
      <w:r w:rsidRPr="00D45606">
        <w:rPr>
          <w:rFonts w:ascii="Palatino Linotype" w:eastAsia="Calibri" w:hAnsi="Palatino Linotype" w:cs="Arial"/>
          <w:i/>
          <w:color w:val="auto"/>
          <w:sz w:val="20"/>
          <w:lang w:val="en-GB" w:eastAsia="en-US"/>
        </w:rPr>
        <w:lastRenderedPageBreak/>
        <w:t>Abbreviations</w:t>
      </w:r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 xml:space="preserve">: FNIH, Foundation for the National Institutes of Health; MMSE, Mini Mental State Examination; NYHA, New York Heart Association; </w:t>
      </w:r>
      <w:proofErr w:type="spellStart"/>
      <w:r>
        <w:rPr>
          <w:rFonts w:ascii="Palatino Linotype" w:eastAsia="Calibri" w:hAnsi="Palatino Linotype" w:cs="Arial"/>
          <w:color w:val="auto"/>
          <w:sz w:val="20"/>
          <w:lang w:val="en-GB" w:eastAsia="en-US"/>
        </w:rPr>
        <w:t>n</w:t>
      </w:r>
      <w:r w:rsidR="0017651F">
        <w:rPr>
          <w:rFonts w:ascii="Palatino Linotype" w:eastAsia="Calibri" w:hAnsi="Palatino Linotype" w:cs="Arial"/>
          <w:color w:val="auto"/>
          <w:sz w:val="20"/>
          <w:lang w:val="en-GB" w:eastAsia="en-US"/>
        </w:rPr>
        <w:t>on</w:t>
      </w:r>
      <w:r>
        <w:rPr>
          <w:rFonts w:ascii="Palatino Linotype" w:eastAsia="Calibri" w:hAnsi="Palatino Linotype" w:cs="Arial"/>
          <w:color w:val="auto"/>
          <w:sz w:val="20"/>
          <w:lang w:val="en-GB" w:eastAsia="en-US"/>
        </w:rPr>
        <w:t>PF&amp;S</w:t>
      </w:r>
      <w:proofErr w:type="spellEnd"/>
      <w:r>
        <w:rPr>
          <w:rFonts w:ascii="Palatino Linotype" w:eastAsia="Calibri" w:hAnsi="Palatino Linotype" w:cs="Arial"/>
          <w:color w:val="auto"/>
          <w:sz w:val="20"/>
          <w:lang w:val="en-GB" w:eastAsia="en-US"/>
        </w:rPr>
        <w:t xml:space="preserve">. </w:t>
      </w:r>
      <w:proofErr w:type="gramStart"/>
      <w:r>
        <w:rPr>
          <w:rFonts w:ascii="Palatino Linotype" w:eastAsia="Calibri" w:hAnsi="Palatino Linotype" w:cs="Arial"/>
          <w:color w:val="auto"/>
          <w:sz w:val="20"/>
          <w:lang w:val="en-GB" w:eastAsia="en-US"/>
        </w:rPr>
        <w:t>non physically</w:t>
      </w:r>
      <w:proofErr w:type="gramEnd"/>
      <w:r>
        <w:rPr>
          <w:rFonts w:ascii="Palatino Linotype" w:eastAsia="Calibri" w:hAnsi="Palatino Linotype" w:cs="Arial"/>
          <w:color w:val="auto"/>
          <w:sz w:val="20"/>
          <w:lang w:val="en-GB" w:eastAsia="en-US"/>
        </w:rPr>
        <w:t xml:space="preserve"> frail, non sarcopenic; </w:t>
      </w:r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>PF&amp;S, physical frailty and sarcopenia; SPPB, sho</w:t>
      </w:r>
      <w:bookmarkStart w:id="0" w:name="_GoBack"/>
      <w:bookmarkEnd w:id="0"/>
      <w:r w:rsidRPr="00D45606">
        <w:rPr>
          <w:rFonts w:ascii="Palatino Linotype" w:eastAsia="Calibri" w:hAnsi="Palatino Linotype" w:cs="Arial"/>
          <w:color w:val="auto"/>
          <w:sz w:val="20"/>
          <w:lang w:val="en-GB" w:eastAsia="en-US"/>
        </w:rPr>
        <w:t>rt physical performance battery.</w:t>
      </w:r>
    </w:p>
    <w:sectPr w:rsidR="00B00F6A" w:rsidRPr="00DC5B65" w:rsidSect="00E667E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E5FF5" w14:textId="77777777" w:rsidR="005D003A" w:rsidRDefault="005D003A" w:rsidP="000A1AAC">
      <w:pPr>
        <w:spacing w:line="240" w:lineRule="auto"/>
      </w:pPr>
      <w:r>
        <w:separator/>
      </w:r>
    </w:p>
  </w:endnote>
  <w:endnote w:type="continuationSeparator" w:id="0">
    <w:p w14:paraId="3A050B97" w14:textId="77777777" w:rsidR="005D003A" w:rsidRDefault="005D003A" w:rsidP="000A1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314B" w14:textId="77777777" w:rsidR="003535F3" w:rsidRPr="00885BB0" w:rsidRDefault="005D003A" w:rsidP="00C90B3B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C521" w14:textId="298021BF" w:rsidR="003535F3" w:rsidRPr="008B308E" w:rsidRDefault="00DC5B65" w:rsidP="00C90B3B">
    <w:pPr>
      <w:pStyle w:val="MDPIfooterfirstpage"/>
      <w:spacing w:line="240" w:lineRule="auto"/>
      <w:jc w:val="both"/>
      <w:rPr>
        <w:lang w:val="fr-CH"/>
      </w:rPr>
    </w:pPr>
    <w:r w:rsidRPr="008B308E"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C5D6" w14:textId="77777777" w:rsidR="005D003A" w:rsidRDefault="005D003A" w:rsidP="000A1AAC">
      <w:pPr>
        <w:spacing w:line="240" w:lineRule="auto"/>
      </w:pPr>
      <w:r>
        <w:separator/>
      </w:r>
    </w:p>
  </w:footnote>
  <w:footnote w:type="continuationSeparator" w:id="0">
    <w:p w14:paraId="759AFFFB" w14:textId="77777777" w:rsidR="005D003A" w:rsidRDefault="005D003A" w:rsidP="000A1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0E3D" w14:textId="77777777" w:rsidR="003535F3" w:rsidRDefault="005D003A" w:rsidP="00C90B3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5C07" w14:textId="49277BB3" w:rsidR="003535F3" w:rsidRPr="00310EBF" w:rsidRDefault="00DC5B65" w:rsidP="002549C8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4BF9" w14:textId="137AF870" w:rsidR="003535F3" w:rsidRDefault="005D003A" w:rsidP="00C90B3B">
    <w:pPr>
      <w:pStyle w:val="MDPIheaderjournallogo"/>
    </w:pPr>
    <w:r>
      <w:rPr>
        <w:i w:val="0"/>
        <w:noProof/>
        <w:szCs w:val="16"/>
        <w:lang w:val="it-IT" w:eastAsia="it-IT"/>
      </w:rPr>
      <w:pict w14:anchorId="54B89E6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74.8pt;margin-top:51pt;width:45.05pt;height:55.85pt;z-index:-2516587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" stroked="f">
          <v:textbox inset="0,0,0,0">
            <w:txbxContent>
              <w:p w14:paraId="7101B7D0" w14:textId="1F3EB648" w:rsidR="003535F3" w:rsidRDefault="005D003A" w:rsidP="00C90B3B">
                <w:pPr>
                  <w:pStyle w:val="MDPIheaderjournallogo"/>
                  <w:jc w:val="center"/>
                  <w:textboxTightWrap w:val="allLines"/>
                  <w:rPr>
                    <w:i w:val="0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B65"/>
    <w:rsid w:val="000A1AAC"/>
    <w:rsid w:val="0017651F"/>
    <w:rsid w:val="0035725D"/>
    <w:rsid w:val="005D003A"/>
    <w:rsid w:val="00DC5B65"/>
    <w:rsid w:val="00E667E2"/>
    <w:rsid w:val="00E71E33"/>
    <w:rsid w:val="00E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396841"/>
  <w15:docId w15:val="{0291E79B-0B30-4886-98B6-C754F779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B6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5B6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B65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styleId="Header">
    <w:name w:val="header"/>
    <w:basedOn w:val="Normal"/>
    <w:link w:val="HeaderChar"/>
    <w:uiPriority w:val="99"/>
    <w:rsid w:val="00DC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5B65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customStyle="1" w:styleId="MDPIheaderjournallogo">
    <w:name w:val="MDPI_header_journal_logo"/>
    <w:qFormat/>
    <w:rsid w:val="00DC5B65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footerfirstpage">
    <w:name w:val="MDPI_footer_firstpage"/>
    <w:basedOn w:val="Normal"/>
    <w:qFormat/>
    <w:rsid w:val="00DC5B65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71References">
    <w:name w:val="MDPI_7.1_References"/>
    <w:basedOn w:val="Normal"/>
    <w:qFormat/>
    <w:rsid w:val="00DC5B65"/>
    <w:pPr>
      <w:numPr>
        <w:numId w:val="1"/>
      </w:numPr>
      <w:adjustRightInd w:val="0"/>
      <w:snapToGrid w:val="0"/>
      <w:spacing w:line="260" w:lineRule="atLeast"/>
      <w:ind w:left="425" w:hanging="425"/>
    </w:pPr>
    <w:rPr>
      <w:rFonts w:ascii="Palatino Linotype" w:hAnsi="Palatino Linotype"/>
      <w:snapToGrid w:val="0"/>
      <w:sz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65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character" w:styleId="LineNumber">
    <w:name w:val="line number"/>
    <w:basedOn w:val="DefaultParagraphFont"/>
    <w:uiPriority w:val="99"/>
    <w:semiHidden/>
    <w:unhideWhenUsed/>
    <w:rsid w:val="00DC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emanuelemarzetti</dc:creator>
  <cp:lastModifiedBy>testMDPI</cp:lastModifiedBy>
  <cp:revision>3</cp:revision>
  <dcterms:created xsi:type="dcterms:W3CDTF">2018-09-12T08:46:00Z</dcterms:created>
  <dcterms:modified xsi:type="dcterms:W3CDTF">2018-09-12T15:06:00Z</dcterms:modified>
</cp:coreProperties>
</file>