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80" w:rightFromText="180" w:vertAnchor="page" w:horzAnchor="margin" w:tblpY="2461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851"/>
        <w:gridCol w:w="1701"/>
        <w:gridCol w:w="1134"/>
        <w:gridCol w:w="850"/>
      </w:tblGrid>
      <w:tr w:rsidR="00400025" w:rsidRPr="00DE7531" w:rsidTr="00874D27">
        <w:tc>
          <w:tcPr>
            <w:tcW w:w="1696" w:type="dxa"/>
            <w:vMerge w:val="restart"/>
          </w:tcPr>
          <w:p w:rsidR="00400025" w:rsidRPr="00DE7531" w:rsidRDefault="00400025" w:rsidP="00BF51D1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Samples</w:t>
            </w:r>
          </w:p>
        </w:tc>
        <w:tc>
          <w:tcPr>
            <w:tcW w:w="3828" w:type="dxa"/>
            <w:gridSpan w:val="3"/>
          </w:tcPr>
          <w:p w:rsidR="00400025" w:rsidRPr="00DE7531" w:rsidRDefault="00400025" w:rsidP="00BF51D1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Total Ubiquitin</w:t>
            </w:r>
          </w:p>
        </w:tc>
        <w:tc>
          <w:tcPr>
            <w:tcW w:w="3685" w:type="dxa"/>
            <w:gridSpan w:val="3"/>
          </w:tcPr>
          <w:p w:rsidR="00400025" w:rsidRPr="00DE7531" w:rsidRDefault="00400025" w:rsidP="00BF51D1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Free Ubiquitin</w:t>
            </w:r>
          </w:p>
        </w:tc>
      </w:tr>
      <w:tr w:rsidR="00874D27" w:rsidRPr="00DE7531" w:rsidTr="00874D27">
        <w:tc>
          <w:tcPr>
            <w:tcW w:w="1696" w:type="dxa"/>
            <w:vMerge/>
          </w:tcPr>
          <w:p w:rsidR="00400025" w:rsidRPr="00DE7531" w:rsidRDefault="00400025" w:rsidP="00BF51D1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00025" w:rsidRPr="00DE7531" w:rsidRDefault="00400025" w:rsidP="00BF51D1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Mean of concentrations</w:t>
            </w:r>
          </w:p>
        </w:tc>
        <w:tc>
          <w:tcPr>
            <w:tcW w:w="1134" w:type="dxa"/>
          </w:tcPr>
          <w:p w:rsidR="00400025" w:rsidRPr="00DE7531" w:rsidRDefault="00400025" w:rsidP="00BF51D1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Standard deviation</w:t>
            </w:r>
          </w:p>
        </w:tc>
        <w:tc>
          <w:tcPr>
            <w:tcW w:w="851" w:type="dxa"/>
          </w:tcPr>
          <w:p w:rsidR="00400025" w:rsidRPr="00DE7531" w:rsidRDefault="00400025" w:rsidP="00BF51D1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701" w:type="dxa"/>
          </w:tcPr>
          <w:p w:rsidR="00400025" w:rsidRPr="00DE7531" w:rsidRDefault="00400025" w:rsidP="00BF51D1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Mean of concentrations</w:t>
            </w:r>
          </w:p>
        </w:tc>
        <w:tc>
          <w:tcPr>
            <w:tcW w:w="1134" w:type="dxa"/>
          </w:tcPr>
          <w:p w:rsidR="00400025" w:rsidRPr="00DE7531" w:rsidRDefault="00400025" w:rsidP="00BF51D1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Standard deviation</w:t>
            </w:r>
          </w:p>
        </w:tc>
        <w:tc>
          <w:tcPr>
            <w:tcW w:w="850" w:type="dxa"/>
          </w:tcPr>
          <w:p w:rsidR="00400025" w:rsidRPr="00DE7531" w:rsidRDefault="00400025" w:rsidP="00BF51D1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Group</w:t>
            </w:r>
          </w:p>
        </w:tc>
      </w:tr>
      <w:tr w:rsidR="00400025" w:rsidRPr="00DE7531" w:rsidTr="00874D27">
        <w:tc>
          <w:tcPr>
            <w:tcW w:w="1696" w:type="dxa"/>
            <w:vMerge/>
          </w:tcPr>
          <w:p w:rsidR="00400025" w:rsidRPr="00DE7531" w:rsidRDefault="00400025" w:rsidP="00BF51D1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gridSpan w:val="6"/>
          </w:tcPr>
          <w:p w:rsidR="00400025" w:rsidRPr="00DE7531" w:rsidRDefault="00400025" w:rsidP="00BF51D1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Developmental stages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E0-3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0.07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efg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de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E8-11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de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E16-19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efg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e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L1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1.18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0.14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L2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eL3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de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vL3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de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P1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efg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cd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0.07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de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male0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ef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male3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de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female0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</w:t>
            </w:r>
          </w:p>
        </w:tc>
      </w:tr>
      <w:tr w:rsidR="00874D27" w:rsidRPr="00DE7531" w:rsidTr="00874D27">
        <w:tc>
          <w:tcPr>
            <w:tcW w:w="1696" w:type="dxa"/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female3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851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850" w:type="dxa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</w:t>
            </w:r>
          </w:p>
        </w:tc>
      </w:tr>
      <w:tr w:rsidR="00874D27" w:rsidRPr="00DE7531" w:rsidTr="00874D27">
        <w:tc>
          <w:tcPr>
            <w:tcW w:w="1696" w:type="dxa"/>
            <w:tcBorders>
              <w:bottom w:val="single" w:sz="4" w:space="0" w:color="auto"/>
            </w:tcBorders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Tissues</w:t>
            </w:r>
          </w:p>
        </w:tc>
      </w:tr>
      <w:tr w:rsidR="00874D27" w:rsidRPr="00DE7531" w:rsidTr="00874D27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L3 brain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</w:t>
            </w:r>
          </w:p>
        </w:tc>
      </w:tr>
      <w:tr w:rsidR="00874D27" w:rsidRPr="00DE7531" w:rsidTr="00874D27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L3 fatbody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bc</w:t>
            </w:r>
          </w:p>
        </w:tc>
      </w:tr>
      <w:tr w:rsidR="00874D27" w:rsidRPr="00DE7531" w:rsidTr="00874D27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salivary gland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</w:t>
            </w:r>
          </w:p>
        </w:tc>
      </w:tr>
      <w:tr w:rsidR="00874D27" w:rsidRPr="00DE7531" w:rsidTr="00874D27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testis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</w:t>
            </w:r>
          </w:p>
        </w:tc>
      </w:tr>
      <w:tr w:rsidR="00874D27" w:rsidRPr="00DE7531" w:rsidTr="00874D27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</w:t>
            </w:r>
          </w:p>
        </w:tc>
      </w:tr>
      <w:tr w:rsidR="00874D27" w:rsidRPr="00DE7531" w:rsidTr="00874D27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male head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bc</w:t>
            </w:r>
          </w:p>
        </w:tc>
      </w:tr>
      <w:tr w:rsidR="00874D27" w:rsidRPr="00DE7531" w:rsidTr="00874D27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male body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bc</w:t>
            </w:r>
          </w:p>
        </w:tc>
      </w:tr>
      <w:tr w:rsidR="00874D27" w:rsidRPr="00DE7531" w:rsidTr="00874D27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female head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bc</w:t>
            </w:r>
          </w:p>
        </w:tc>
      </w:tr>
      <w:tr w:rsidR="00874D27" w:rsidRPr="00DE7531" w:rsidTr="00874D27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female body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color w:val="000000"/>
                <w:sz w:val="20"/>
                <w:szCs w:val="20"/>
                <w:lang w:val="en-US"/>
              </w:rPr>
              <w:t>0.18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27" w:rsidRPr="00DE7531" w:rsidRDefault="00874D27" w:rsidP="00874D27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</w:t>
            </w:r>
          </w:p>
        </w:tc>
      </w:tr>
    </w:tbl>
    <w:p w:rsidR="00FF04F2" w:rsidRPr="00DE7531" w:rsidRDefault="00BF51D1" w:rsidP="00FF04F2">
      <w:pPr>
        <w:rPr>
          <w:rFonts w:ascii="Palatino Linotype" w:hAnsi="Palatino Linotype" w:cs="Times New Roman"/>
          <w:sz w:val="20"/>
          <w:szCs w:val="20"/>
          <w:lang w:val="en-US"/>
        </w:rPr>
      </w:pPr>
      <w:r w:rsidRPr="00DE7531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Table S1. </w:t>
      </w:r>
      <w:r w:rsidRPr="00DE7531">
        <w:rPr>
          <w:rFonts w:ascii="Palatino Linotype" w:hAnsi="Palatino Linotype" w:cs="Times New Roman"/>
          <w:sz w:val="20"/>
          <w:szCs w:val="20"/>
          <w:lang w:val="en-US"/>
        </w:rPr>
        <w:t>Multiple comparasion of the sample means.</w:t>
      </w:r>
      <w:r w:rsidRPr="00DE7531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 </w:t>
      </w:r>
      <w:r w:rsidRPr="00DE7531">
        <w:rPr>
          <w:rFonts w:ascii="Palatino Linotype" w:hAnsi="Palatino Linotype" w:cs="Times New Roman"/>
          <w:sz w:val="20"/>
          <w:szCs w:val="20"/>
          <w:lang w:val="en-US"/>
        </w:rPr>
        <w:t>One-way ANOVA (p &lt; 0.05) was performed, followed by SNK (Student–Newman–Keuls) post hoc test. Means indicated with the same letter are not significantly different.</w:t>
      </w:r>
    </w:p>
    <w:tbl>
      <w:tblPr>
        <w:tblStyle w:val="Rcsostblzat"/>
        <w:tblpPr w:leftFromText="141" w:rightFromText="141" w:vertAnchor="page" w:horzAnchor="margin" w:tblpY="11041"/>
        <w:tblW w:w="9209" w:type="dxa"/>
        <w:tblLook w:val="04A0" w:firstRow="1" w:lastRow="0" w:firstColumn="1" w:lastColumn="0" w:noHBand="0" w:noVBand="1"/>
      </w:tblPr>
      <w:tblGrid>
        <w:gridCol w:w="2815"/>
        <w:gridCol w:w="1551"/>
        <w:gridCol w:w="1725"/>
        <w:gridCol w:w="1377"/>
        <w:gridCol w:w="1741"/>
      </w:tblGrid>
      <w:tr w:rsidR="00FF04F2" w:rsidRPr="00DE7531" w:rsidTr="00FF04F2">
        <w:tc>
          <w:tcPr>
            <w:tcW w:w="2815" w:type="dxa"/>
            <w:vMerge w:val="restart"/>
            <w:vAlign w:val="center"/>
          </w:tcPr>
          <w:p w:rsidR="00FF04F2" w:rsidRPr="00DE7531" w:rsidRDefault="00FF04F2" w:rsidP="00FF04F2">
            <w:pPr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Buffer Composition</w:t>
            </w:r>
          </w:p>
        </w:tc>
        <w:tc>
          <w:tcPr>
            <w:tcW w:w="3276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Mouse</w:t>
            </w:r>
          </w:p>
        </w:tc>
        <w:tc>
          <w:tcPr>
            <w:tcW w:w="3118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Drosophila</w:t>
            </w:r>
          </w:p>
        </w:tc>
      </w:tr>
      <w:tr w:rsidR="00FF04F2" w:rsidRPr="00DE7531" w:rsidTr="00FF04F2">
        <w:tc>
          <w:tcPr>
            <w:tcW w:w="2815" w:type="dxa"/>
            <w:vMerge/>
          </w:tcPr>
          <w:p w:rsidR="00FF04F2" w:rsidRPr="00DE7531" w:rsidRDefault="00FF04F2" w:rsidP="00FF04F2">
            <w:pPr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Buffer F</w:t>
            </w:r>
          </w:p>
        </w:tc>
        <w:tc>
          <w:tcPr>
            <w:tcW w:w="1725" w:type="dxa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Buffer T</w:t>
            </w:r>
          </w:p>
        </w:tc>
        <w:tc>
          <w:tcPr>
            <w:tcW w:w="1377" w:type="dxa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Buffer F</w:t>
            </w:r>
          </w:p>
        </w:tc>
        <w:tc>
          <w:tcPr>
            <w:tcW w:w="1741" w:type="dxa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Buffer T</w:t>
            </w:r>
          </w:p>
        </w:tc>
      </w:tr>
      <w:tr w:rsidR="00FF04F2" w:rsidRPr="00DE7531" w:rsidTr="00FF04F2">
        <w:tc>
          <w:tcPr>
            <w:tcW w:w="2815" w:type="dxa"/>
          </w:tcPr>
          <w:p w:rsidR="00FF04F2" w:rsidRPr="00DE7531" w:rsidRDefault="00FF04F2" w:rsidP="00FF04F2">
            <w:pPr>
              <w:jc w:val="righ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Tris </w:t>
            </w:r>
          </w:p>
        </w:tc>
        <w:tc>
          <w:tcPr>
            <w:tcW w:w="3276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100 mM</w:t>
            </w:r>
          </w:p>
        </w:tc>
        <w:tc>
          <w:tcPr>
            <w:tcW w:w="3118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100 mM</w:t>
            </w:r>
          </w:p>
        </w:tc>
      </w:tr>
      <w:tr w:rsidR="00FF04F2" w:rsidRPr="00DE7531" w:rsidTr="00FF04F2">
        <w:tc>
          <w:tcPr>
            <w:tcW w:w="2815" w:type="dxa"/>
          </w:tcPr>
          <w:p w:rsidR="00FF04F2" w:rsidRPr="00DE7531" w:rsidRDefault="00FF04F2" w:rsidP="00FF04F2">
            <w:pPr>
              <w:jc w:val="righ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NaCl</w:t>
            </w:r>
          </w:p>
        </w:tc>
        <w:tc>
          <w:tcPr>
            <w:tcW w:w="3276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20 mM</w:t>
            </w:r>
          </w:p>
        </w:tc>
        <w:tc>
          <w:tcPr>
            <w:tcW w:w="3118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150 mM</w:t>
            </w:r>
          </w:p>
        </w:tc>
      </w:tr>
      <w:tr w:rsidR="00FF04F2" w:rsidRPr="00DE7531" w:rsidTr="00FF04F2">
        <w:tc>
          <w:tcPr>
            <w:tcW w:w="2815" w:type="dxa"/>
          </w:tcPr>
          <w:p w:rsidR="00FF04F2" w:rsidRPr="00DE7531" w:rsidRDefault="00FF04F2" w:rsidP="00FF04F2">
            <w:pPr>
              <w:jc w:val="righ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EDTA</w:t>
            </w:r>
          </w:p>
        </w:tc>
        <w:tc>
          <w:tcPr>
            <w:tcW w:w="3276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3118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 mM</w:t>
            </w:r>
          </w:p>
        </w:tc>
      </w:tr>
      <w:tr w:rsidR="00FF04F2" w:rsidRPr="00DE7531" w:rsidTr="00FF04F2">
        <w:tc>
          <w:tcPr>
            <w:tcW w:w="2815" w:type="dxa"/>
          </w:tcPr>
          <w:p w:rsidR="00FF04F2" w:rsidRPr="00DE7531" w:rsidRDefault="00FF04F2" w:rsidP="00FF04F2">
            <w:pPr>
              <w:jc w:val="righ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IAA</w:t>
            </w:r>
          </w:p>
        </w:tc>
        <w:tc>
          <w:tcPr>
            <w:tcW w:w="1551" w:type="dxa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10 mM</w:t>
            </w:r>
          </w:p>
        </w:tc>
        <w:tc>
          <w:tcPr>
            <w:tcW w:w="1725" w:type="dxa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3118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FF04F2" w:rsidRPr="00DE7531" w:rsidTr="00FF04F2">
        <w:tc>
          <w:tcPr>
            <w:tcW w:w="2815" w:type="dxa"/>
          </w:tcPr>
          <w:p w:rsidR="00FF04F2" w:rsidRPr="00DE7531" w:rsidRDefault="00FF04F2" w:rsidP="00FF04F2">
            <w:pPr>
              <w:jc w:val="righ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NEM</w:t>
            </w:r>
          </w:p>
        </w:tc>
        <w:tc>
          <w:tcPr>
            <w:tcW w:w="3276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7" w:type="dxa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10 mM</w:t>
            </w:r>
          </w:p>
        </w:tc>
        <w:tc>
          <w:tcPr>
            <w:tcW w:w="1741" w:type="dxa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FF04F2" w:rsidRPr="00DE7531" w:rsidTr="00FF04F2">
        <w:tc>
          <w:tcPr>
            <w:tcW w:w="2815" w:type="dxa"/>
          </w:tcPr>
          <w:p w:rsidR="00FF04F2" w:rsidRPr="00DE7531" w:rsidRDefault="00FF04F2" w:rsidP="00FF04F2">
            <w:pPr>
              <w:jc w:val="righ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MG132</w:t>
            </w:r>
          </w:p>
        </w:tc>
        <w:tc>
          <w:tcPr>
            <w:tcW w:w="3276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20 µM</w:t>
            </w:r>
          </w:p>
        </w:tc>
        <w:tc>
          <w:tcPr>
            <w:tcW w:w="3118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20 µM</w:t>
            </w:r>
          </w:p>
        </w:tc>
      </w:tr>
      <w:tr w:rsidR="00FF04F2" w:rsidRPr="00DE7531" w:rsidTr="00FF04F2">
        <w:tc>
          <w:tcPr>
            <w:tcW w:w="2815" w:type="dxa"/>
          </w:tcPr>
          <w:p w:rsidR="00FF04F2" w:rsidRPr="00DE7531" w:rsidRDefault="00FF04F2" w:rsidP="00FF04F2">
            <w:pPr>
              <w:jc w:val="righ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DTT</w:t>
            </w:r>
          </w:p>
        </w:tc>
        <w:tc>
          <w:tcPr>
            <w:tcW w:w="1551" w:type="dxa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725" w:type="dxa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 mM</w:t>
            </w:r>
          </w:p>
        </w:tc>
        <w:tc>
          <w:tcPr>
            <w:tcW w:w="1377" w:type="dxa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741" w:type="dxa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 mM</w:t>
            </w:r>
          </w:p>
        </w:tc>
      </w:tr>
      <w:tr w:rsidR="00FF04F2" w:rsidRPr="00DE7531" w:rsidTr="00FF04F2">
        <w:tc>
          <w:tcPr>
            <w:tcW w:w="2815" w:type="dxa"/>
          </w:tcPr>
          <w:p w:rsidR="00FF04F2" w:rsidRPr="00DE7531" w:rsidRDefault="00FF04F2" w:rsidP="00FF04F2">
            <w:pPr>
              <w:jc w:val="righ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CPIC</w:t>
            </w:r>
          </w:p>
        </w:tc>
        <w:tc>
          <w:tcPr>
            <w:tcW w:w="3276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1x</w:t>
            </w:r>
          </w:p>
        </w:tc>
        <w:tc>
          <w:tcPr>
            <w:tcW w:w="3118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1x</w:t>
            </w:r>
          </w:p>
        </w:tc>
      </w:tr>
      <w:tr w:rsidR="00FF04F2" w:rsidRPr="00DE7531" w:rsidTr="00FF04F2">
        <w:tc>
          <w:tcPr>
            <w:tcW w:w="2815" w:type="dxa"/>
          </w:tcPr>
          <w:p w:rsidR="00FF04F2" w:rsidRPr="00DE7531" w:rsidRDefault="00FF04F2" w:rsidP="00FF04F2">
            <w:pPr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pH</w:t>
            </w:r>
          </w:p>
        </w:tc>
        <w:tc>
          <w:tcPr>
            <w:tcW w:w="3276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7.8</w:t>
            </w:r>
          </w:p>
        </w:tc>
        <w:tc>
          <w:tcPr>
            <w:tcW w:w="3118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7.6</w:t>
            </w:r>
          </w:p>
        </w:tc>
      </w:tr>
      <w:tr w:rsidR="00FF04F2" w:rsidRPr="00DE7531" w:rsidTr="00FF04F2">
        <w:tc>
          <w:tcPr>
            <w:tcW w:w="2815" w:type="dxa"/>
          </w:tcPr>
          <w:p w:rsidR="00FF04F2" w:rsidRPr="00DE7531" w:rsidRDefault="00FF04F2" w:rsidP="00FF04F2">
            <w:pPr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Incubation time at RT</w:t>
            </w:r>
          </w:p>
        </w:tc>
        <w:tc>
          <w:tcPr>
            <w:tcW w:w="3276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 h</w:t>
            </w:r>
          </w:p>
        </w:tc>
        <w:tc>
          <w:tcPr>
            <w:tcW w:w="3118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 h</w:t>
            </w:r>
          </w:p>
        </w:tc>
      </w:tr>
      <w:tr w:rsidR="00FF04F2" w:rsidRPr="00DE7531" w:rsidTr="00FF04F2">
        <w:tc>
          <w:tcPr>
            <w:tcW w:w="2815" w:type="dxa"/>
          </w:tcPr>
          <w:p w:rsidR="00FF04F2" w:rsidRPr="00DE7531" w:rsidRDefault="00FF04F2" w:rsidP="00FF04F2">
            <w:pPr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Incubation temperature</w:t>
            </w:r>
          </w:p>
        </w:tc>
        <w:tc>
          <w:tcPr>
            <w:tcW w:w="3276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37 °C</w:t>
            </w:r>
          </w:p>
        </w:tc>
        <w:tc>
          <w:tcPr>
            <w:tcW w:w="3118" w:type="dxa"/>
            <w:gridSpan w:val="2"/>
          </w:tcPr>
          <w:p w:rsidR="00FF04F2" w:rsidRPr="00DE7531" w:rsidRDefault="00FF04F2" w:rsidP="00FF04F2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E7531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25 °C</w:t>
            </w:r>
          </w:p>
        </w:tc>
      </w:tr>
    </w:tbl>
    <w:p w:rsidR="00FF04F2" w:rsidRPr="00DE7531" w:rsidRDefault="00FF04F2" w:rsidP="00FF04F2">
      <w:pPr>
        <w:spacing w:after="0" w:line="240" w:lineRule="auto"/>
        <w:rPr>
          <w:rFonts w:ascii="Palatino Linotype" w:hAnsi="Palatino Linotype" w:cs="Times New Roman"/>
          <w:b/>
          <w:sz w:val="20"/>
          <w:szCs w:val="20"/>
          <w:lang w:val="en-US"/>
        </w:rPr>
      </w:pPr>
    </w:p>
    <w:p w:rsidR="00FF04F2" w:rsidRPr="00DE7531" w:rsidRDefault="00FF04F2" w:rsidP="00FF04F2">
      <w:pPr>
        <w:spacing w:after="0" w:line="240" w:lineRule="auto"/>
        <w:rPr>
          <w:rFonts w:ascii="Palatino Linotype" w:hAnsi="Palatino Linotype" w:cs="Times New Roman"/>
          <w:sz w:val="20"/>
          <w:szCs w:val="20"/>
          <w:lang w:val="en-US"/>
        </w:rPr>
      </w:pPr>
      <w:r w:rsidRPr="00DE7531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Table S2. </w:t>
      </w:r>
      <w:r w:rsidRPr="00DE7531">
        <w:rPr>
          <w:rFonts w:ascii="Palatino Linotype" w:hAnsi="Palatino Linotype" w:cs="Times New Roman"/>
          <w:sz w:val="20"/>
          <w:szCs w:val="20"/>
          <w:lang w:val="en-US"/>
        </w:rPr>
        <w:t>Optimal conditions for the ubiquitin quantification assay</w:t>
      </w:r>
    </w:p>
    <w:p w:rsidR="006E3FB3" w:rsidRPr="00DE7531" w:rsidRDefault="00FF04F2">
      <w:pPr>
        <w:rPr>
          <w:rFonts w:ascii="Palatino Linotype" w:hAnsi="Palatino Linotype" w:cs="Times New Roman"/>
          <w:sz w:val="20"/>
          <w:szCs w:val="20"/>
          <w:lang w:val="en-US"/>
        </w:rPr>
      </w:pPr>
      <w:r w:rsidRPr="00DE7531">
        <w:rPr>
          <w:rFonts w:ascii="Palatino Linotype" w:hAnsi="Palatino Linotype" w:cs="Times New Roman"/>
          <w:sz w:val="20"/>
          <w:szCs w:val="20"/>
          <w:lang w:val="en-US"/>
        </w:rPr>
        <w:t>EDTA= Ethylenediaminetetraacetic acid; IAA=</w:t>
      </w:r>
      <w:r w:rsidRPr="00DE7531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DE7531">
        <w:rPr>
          <w:rFonts w:ascii="Palatino Linotype" w:hAnsi="Palatino Linotype" w:cs="Times New Roman"/>
          <w:sz w:val="20"/>
          <w:szCs w:val="20"/>
          <w:lang w:val="en-US"/>
        </w:rPr>
        <w:t>Iodoacetamide; NEM=</w:t>
      </w:r>
      <w:r w:rsidRPr="00DE7531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DE7531">
        <w:rPr>
          <w:rFonts w:ascii="Palatino Linotype" w:hAnsi="Palatino Linotype" w:cs="Times New Roman"/>
          <w:sz w:val="20"/>
          <w:szCs w:val="20"/>
          <w:lang w:val="en-US"/>
        </w:rPr>
        <w:t>N-Ethylmaleimide; DTT=</w:t>
      </w:r>
      <w:r w:rsidRPr="00DE7531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DE7531">
        <w:rPr>
          <w:rFonts w:ascii="Palatino Linotype" w:hAnsi="Palatino Linotype" w:cs="Times New Roman"/>
          <w:sz w:val="20"/>
          <w:szCs w:val="20"/>
          <w:lang w:val="en-US"/>
        </w:rPr>
        <w:t>Dithiothreitol and CPIC=</w:t>
      </w:r>
      <w:r w:rsidRPr="00DE7531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DE7531">
        <w:rPr>
          <w:rFonts w:ascii="Palatino Linotype" w:hAnsi="Palatino Linotype" w:cs="Times New Roman"/>
          <w:sz w:val="20"/>
          <w:szCs w:val="20"/>
          <w:lang w:val="en-US"/>
        </w:rPr>
        <w:t>Complete Protease Inhibitor Cocktail</w:t>
      </w:r>
    </w:p>
    <w:sectPr w:rsidR="006E3FB3" w:rsidRPr="00DE7531" w:rsidSect="00CB32C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2D" w:rsidRDefault="000C762D" w:rsidP="00BF51D1">
      <w:pPr>
        <w:spacing w:after="0" w:line="240" w:lineRule="auto"/>
      </w:pPr>
      <w:r>
        <w:separator/>
      </w:r>
    </w:p>
  </w:endnote>
  <w:endnote w:type="continuationSeparator" w:id="0">
    <w:p w:rsidR="000C762D" w:rsidRDefault="000C762D" w:rsidP="00BF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2D" w:rsidRDefault="000C762D" w:rsidP="00BF51D1">
      <w:pPr>
        <w:spacing w:after="0" w:line="240" w:lineRule="auto"/>
      </w:pPr>
      <w:r>
        <w:separator/>
      </w:r>
    </w:p>
  </w:footnote>
  <w:footnote w:type="continuationSeparator" w:id="0">
    <w:p w:rsidR="000C762D" w:rsidRDefault="000C762D" w:rsidP="00BF5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B3"/>
    <w:rsid w:val="000A222A"/>
    <w:rsid w:val="000C762D"/>
    <w:rsid w:val="001D38F2"/>
    <w:rsid w:val="002B2E58"/>
    <w:rsid w:val="00400025"/>
    <w:rsid w:val="00562210"/>
    <w:rsid w:val="006E3FB3"/>
    <w:rsid w:val="007E5F12"/>
    <w:rsid w:val="00874D27"/>
    <w:rsid w:val="008C16D3"/>
    <w:rsid w:val="00BF51D1"/>
    <w:rsid w:val="00C9187D"/>
    <w:rsid w:val="00CB32C8"/>
    <w:rsid w:val="00DE7531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F58AA-4784-45C4-AD1E-E177ADC8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3FB3"/>
    <w:rPr>
      <w:rFonts w:asciiTheme="minorHAnsi" w:hAnsiTheme="minorHAnsi" w:cstheme="minorBidi"/>
      <w:sz w:val="22"/>
      <w:szCs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3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F5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51D1"/>
    <w:rPr>
      <w:rFonts w:asciiTheme="minorHAnsi" w:hAnsiTheme="minorHAnsi" w:cstheme="minorBidi"/>
      <w:sz w:val="22"/>
      <w:szCs w:val="22"/>
      <w:lang w:val="hu-HU"/>
    </w:rPr>
  </w:style>
  <w:style w:type="paragraph" w:styleId="llb">
    <w:name w:val="footer"/>
    <w:basedOn w:val="Norml"/>
    <w:link w:val="llbChar"/>
    <w:uiPriority w:val="99"/>
    <w:unhideWhenUsed/>
    <w:rsid w:val="00BF5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51D1"/>
    <w:rPr>
      <w:rFonts w:asciiTheme="minorHAnsi" w:hAnsiTheme="minorHAnsi" w:cstheme="minorBidi"/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Ágota</dc:creator>
  <cp:keywords/>
  <dc:description/>
  <cp:lastModifiedBy>DeakP</cp:lastModifiedBy>
  <cp:revision>2</cp:revision>
  <dcterms:created xsi:type="dcterms:W3CDTF">2018-06-25T15:08:00Z</dcterms:created>
  <dcterms:modified xsi:type="dcterms:W3CDTF">2018-06-25T15:08:00Z</dcterms:modified>
</cp:coreProperties>
</file>